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Change Future busca facilitar el acceso a productos personalizados de impresión 3D, ofreciendo una plataforma web sencilla, visual y accesible que permita a los usuarios explorar, personalizar y adquirir productos de acuerdo con sus preferencias y necesidades, incluso sin contar con conocimientos técnicos de diseño o impresión 3D.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La plataforma busca transformar el proceso tradicional de personalización, dejando todo centrado en un solo lugar: la exploración de productos, definición de características, generación de propuestas a partir de imágenes, compra y seguimiento de pedidos.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Pilares de Change Future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2.6584136111055"/>
        <w:gridCol w:w="7072.853397412518"/>
        <w:tblGridChange w:id="0">
          <w:tblGrid>
            <w:gridCol w:w="1952.6584136111055"/>
            <w:gridCol w:w="7072.8533974125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Accesibilidad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Facilitar el acceso a productos personalizados mediante una plataforma intuitiva y fácil de comprender, especialmente para personas sin conocimientos técnicos de diseño o impresión 3D.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Personalización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que los usuarios adapten los productos según sus preferencias de diseño, color y tamaño, incorporando imágenes como referencia para generar propuestas personalizadas.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Confianza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Entregar información clara sobre los productos y el proceso de compra, permitiendo al usuario conocer las características de su pedido, visualizar su propuesta y realizar seguimiento de su estado.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Gestión integrada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Centralizar el catálogo, personalización, carrito, pedidos y gestión administrativa en una única plataforma, reduciendo la necesidad de utilizar distintos canales para gestionar una compra.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