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КОММЕРЧЕСКОЕ ПРЕДЛОЖЕНИЕ</w:t>
      </w:r>
    </w:p>
    <w:p>
      <w:pPr>
        <w:pStyle w:val="Heading1"/>
      </w:pPr>
      <w:r>
        <w:t>Внедрение HR-системы NS SYSTEM</w:t>
      </w:r>
    </w:p>
    <w:p>
      <w:r>
        <w:rPr>
          <w:b w:val="0"/>
        </w:rPr>
      </w:r>
      <w:r>
        <w:rPr>
          <w:b/>
        </w:rPr>
        <w:t>Поставщик:</w:t>
      </w:r>
      <w:r>
        <w:rPr>
          <w:b w:val="0"/>
        </w:rPr>
        <w:t xml:space="preserve"> [наименование и реквизиты поставщика]</w:t>
      </w:r>
    </w:p>
    <w:p>
      <w:r>
        <w:rPr>
          <w:b w:val="0"/>
        </w:rPr>
      </w:r>
      <w:r>
        <w:rPr>
          <w:b/>
        </w:rPr>
        <w:t>Заказчик:</w:t>
      </w:r>
      <w:r>
        <w:rPr>
          <w:b w:val="0"/>
        </w:rPr>
        <w:t xml:space="preserve"> [наименование заказчика]</w:t>
      </w:r>
    </w:p>
    <w:p>
      <w:r>
        <w:rPr>
          <w:b w:val="0"/>
        </w:rPr>
      </w:r>
      <w:r>
        <w:rPr>
          <w:b/>
        </w:rPr>
        <w:t>Дата:</w:t>
      </w:r>
      <w:r>
        <w:rPr>
          <w:b w:val="0"/>
        </w:rPr>
        <w:t xml:space="preserve"> 02 октября 2026 г.</w:t>
      </w:r>
    </w:p>
    <w:p>
      <w:r>
        <w:rPr>
          <w:b w:val="0"/>
        </w:rPr>
      </w:r>
      <w:r>
        <w:rPr>
          <w:b/>
        </w:rPr>
        <w:t>Срок действия предложения:</w:t>
      </w:r>
      <w:r>
        <w:rPr>
          <w:b w:val="0"/>
        </w:rPr>
        <w:t xml:space="preserve"> [указать срок]</w:t>
      </w:r>
    </w:p>
    <w:p>
      <w:r>
        <w:rPr>
          <w:b w:val="0"/>
        </w:rPr>
        <w:t>Уважаемые коллеги!</w:t>
      </w:r>
    </w:p>
    <w:p>
      <w:r>
        <w:rPr>
          <w:b w:val="0"/>
        </w:rPr>
        <w:t>Предлагаем внедрение NS SYSTEM — внутренней HR-системы для ведения кадровых данных, подготовки документов и контроля основных кадровых процессов организации.</w:t>
      </w:r>
    </w:p>
    <w:p>
      <w:pPr>
        <w:pStyle w:val="Heading1"/>
      </w:pPr>
      <w:r>
        <w:t>Что решает система</w:t>
      </w:r>
    </w:p>
    <w:p>
      <w:r>
        <w:rPr>
          <w:b w:val="0"/>
        </w:rPr>
        <w:t>NS SYSTEM объединяет сведения о сотрудниках и кадровые документы в одном рабочем интерфейсе. Система может быть размещена в инфраструктуре заказчика; файлы и база данных хранятся локально, без передачи персональных данных во внешние AI-сервисы.</w:t>
      </w:r>
    </w:p>
    <w:p>
      <w:pPr>
        <w:pStyle w:val="Heading1"/>
      </w:pPr>
      <w:r>
        <w:t>Функциональные возможности</w:t>
      </w:r>
    </w:p>
    <w:p>
      <w:pPr>
        <w:pStyle w:val="ListBullet"/>
      </w:pPr>
      <w:r>
        <w:t>Карточки сотрудников: основные персональные и кадровые сведения, статус, должность и подразделение.</w:t>
      </w:r>
    </w:p>
    <w:p>
      <w:pPr>
        <w:pStyle w:val="ListBullet"/>
      </w:pPr>
      <w:r>
        <w:t>Формирование документов DOCX по шаблонам с подстановкой данных выбранного сотрудника.</w:t>
      </w:r>
    </w:p>
    <w:p>
      <w:pPr>
        <w:pStyle w:val="ListBullet"/>
      </w:pPr>
      <w:r>
        <w:t>Распознавание данных удостоверений личности Казахстана из изображений и PDF. Результат можно проверить и отредактировать; для работы требуется установленный Tesseract OCR.</w:t>
      </w:r>
    </w:p>
    <w:p>
      <w:pPr>
        <w:pStyle w:val="ListBullet"/>
      </w:pPr>
      <w:r>
        <w:t>Учёт отпусков и отсутствий сотрудников.</w:t>
      </w:r>
    </w:p>
    <w:p>
      <w:pPr>
        <w:pStyle w:val="ListBullet"/>
      </w:pPr>
      <w:r>
        <w:t>Ролевое разграничение доступа и журнал действий пользователей.</w:t>
      </w:r>
    </w:p>
    <w:p>
      <w:pPr>
        <w:pStyle w:val="ListBullet"/>
      </w:pPr>
      <w:r>
        <w:t>Резервное копирование базы данных, документов, шаблонов и загруженных файлов.</w:t>
      </w:r>
    </w:p>
    <w:p>
      <w:pPr>
        <w:pStyle w:val="Heading1"/>
      </w:pPr>
      <w:r>
        <w:t>Предлагаемый состав работ</w:t>
      </w:r>
    </w:p>
    <w:p>
      <w:pPr>
        <w:pStyle w:val="ListNumber"/>
      </w:pPr>
      <w:r>
        <w:t>Уточнение требований, инфраструктуры и перечня пользователей.</w:t>
      </w:r>
    </w:p>
    <w:p>
      <w:pPr>
        <w:pStyle w:val="ListNumber"/>
      </w:pPr>
      <w:r>
        <w:t>Установка и базовая настройка системы в согласованной среде.</w:t>
      </w:r>
    </w:p>
    <w:p>
      <w:pPr>
        <w:pStyle w:val="ListNumber"/>
      </w:pPr>
      <w:r>
        <w:t>Настройка ролей и загрузка согласованных шаблонов документов.</w:t>
      </w:r>
    </w:p>
    <w:p>
      <w:pPr>
        <w:pStyle w:val="ListNumber"/>
      </w:pPr>
      <w:r>
        <w:t>Проверка сценариев работы, обучение назначенных пользователей.</w:t>
      </w:r>
    </w:p>
    <w:p>
      <w:pPr>
        <w:pStyle w:val="ListNumber"/>
      </w:pPr>
      <w:r>
        <w:t>Передача инструкции и результатов работ заказчику.</w:t>
      </w:r>
    </w:p>
    <w:p>
      <w:r>
        <w:rPr>
          <w:b w:val="0"/>
        </w:rPr>
        <w:t>Перенос данных из других систем, разработка новых функций и интеграции с внешними сервисами не включены в базовый объём и оцениваются отдельно после обследования.</w:t>
      </w:r>
    </w:p>
    <w:p>
      <w:pPr>
        <w:pStyle w:val="Heading1"/>
      </w:pPr>
      <w:r>
        <w:t>Размещение и требования</w:t>
      </w:r>
    </w:p>
    <w:p>
      <w:r>
        <w:rPr>
          <w:b w:val="0"/>
        </w:rPr>
        <w:t>Возможна установка в локальной сети заказчика. Для OCR необходимо отдельно установить Tesseract и языковые модели. Для промышленной эксплуатации следует согласовать резервное копирование, TLS-доступ, управление секретами и регламент обслуживания.</w:t>
      </w:r>
    </w:p>
    <w:p>
      <w:pPr>
        <w:pStyle w:val="Heading1"/>
      </w:pPr>
      <w:r>
        <w:t>Стоимость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ptos" w:hAnsi="Aptos"/>
                <w:sz w:val="18"/>
              </w:rPr>
              <w:t>Позиция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sz w:val="18"/>
              </w:rPr>
              <w:t>Стоимость</w:t>
            </w:r>
          </w:p>
        </w:tc>
      </w:tr>
      <w:tr>
        <w:tc>
          <w:tcPr>
            <w:tcW w:type="dxa" w:w="4986"/>
          </w:tcPr>
          <w:p>
            <w:r>
              <w:rPr>
                <w:rFonts w:ascii="Aptos" w:hAnsi="Aptos"/>
                <w:sz w:val="18"/>
              </w:rPr>
              <w:t>Лицензия / право использования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sz w:val="18"/>
              </w:rPr>
              <w:t>[указать]</w:t>
            </w:r>
          </w:p>
        </w:tc>
      </w:tr>
      <w:tr>
        <w:tc>
          <w:tcPr>
            <w:tcW w:type="dxa" w:w="4986"/>
          </w:tcPr>
          <w:p>
            <w:r>
              <w:rPr>
                <w:rFonts w:ascii="Aptos" w:hAnsi="Aptos"/>
                <w:sz w:val="18"/>
              </w:rPr>
              <w:t>Установка и базовая настройка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sz w:val="18"/>
              </w:rPr>
              <w:t>[указать]</w:t>
            </w:r>
          </w:p>
        </w:tc>
      </w:tr>
      <w:tr>
        <w:tc>
          <w:tcPr>
            <w:tcW w:type="dxa" w:w="4986"/>
          </w:tcPr>
          <w:p>
            <w:r>
              <w:rPr>
                <w:rFonts w:ascii="Aptos" w:hAnsi="Aptos"/>
                <w:sz w:val="18"/>
              </w:rPr>
              <w:t>Настройка шаблонов и обучение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sz w:val="18"/>
              </w:rPr>
              <w:t>[указать]</w:t>
            </w:r>
          </w:p>
        </w:tc>
      </w:tr>
      <w:tr>
        <w:tc>
          <w:tcPr>
            <w:tcW w:type="dxa" w:w="4986"/>
          </w:tcPr>
          <w:p>
            <w:r>
              <w:rPr>
                <w:rFonts w:ascii="Aptos" w:hAnsi="Aptos"/>
                <w:sz w:val="18"/>
              </w:rPr>
              <w:t>Дополнительные работы (при необходимости)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sz w:val="18"/>
              </w:rPr>
              <w:t>[по оценке]</w:t>
            </w:r>
          </w:p>
        </w:tc>
      </w:tr>
      <w:tr>
        <w:tc>
          <w:tcPr>
            <w:tcW w:type="dxa" w:w="4986"/>
          </w:tcPr>
          <w:p>
            <w:r>
              <w:rPr>
                <w:rFonts w:ascii="Aptos" w:hAnsi="Aptos"/>
                <w:sz w:val="18"/>
              </w:rPr>
              <w:t>Итого</w:t>
            </w:r>
          </w:p>
        </w:tc>
        <w:tc>
          <w:tcPr>
            <w:tcW w:type="dxa" w:w="4986"/>
          </w:tcPr>
          <w:p>
            <w:r>
              <w:rPr>
                <w:rFonts w:ascii="Aptos" w:hAnsi="Aptos"/>
                <w:sz w:val="18"/>
              </w:rPr>
              <w:t>[указать]</w:t>
            </w:r>
          </w:p>
        </w:tc>
      </w:tr>
    </w:tbl>
    <w:p>
      <w:r>
        <w:rPr>
          <w:b w:val="0"/>
        </w:rPr>
      </w:r>
      <w:r>
        <w:rPr>
          <w:b/>
        </w:rPr>
        <w:t>Налоги:</w:t>
      </w:r>
      <w:r>
        <w:rPr>
          <w:b w:val="0"/>
        </w:rPr>
        <w:t xml:space="preserve"> [указать порядок включения НДС / налоговый режим].</w:t>
      </w:r>
    </w:p>
    <w:p>
      <w:r>
        <w:rPr>
          <w:b w:val="0"/>
        </w:rPr>
      </w:r>
      <w:r>
        <w:rPr>
          <w:b/>
        </w:rPr>
        <w:t>Срок выполнения:</w:t>
      </w:r>
      <w:r>
        <w:rPr>
          <w:b w:val="0"/>
        </w:rPr>
        <w:t xml:space="preserve"> [указать после согласования состава работ].</w:t>
      </w:r>
    </w:p>
    <w:p>
      <w:r>
        <w:rPr>
          <w:b w:val="0"/>
        </w:rPr>
      </w:r>
      <w:r>
        <w:rPr>
          <w:b/>
        </w:rPr>
        <w:t>Условия оплаты:</w:t>
      </w:r>
      <w:r>
        <w:rPr>
          <w:b w:val="0"/>
        </w:rPr>
        <w:t xml:space="preserve"> [указать].</w:t>
      </w:r>
    </w:p>
    <w:p>
      <w:r>
        <w:rPr>
          <w:b w:val="0"/>
        </w:rPr>
      </w:r>
      <w:r>
        <w:rPr>
          <w:b/>
        </w:rPr>
        <w:t>Техническая поддержка:</w:t>
      </w:r>
      <w:r>
        <w:rPr>
          <w:b w:val="0"/>
        </w:rPr>
        <w:t xml:space="preserve"> [состав, срок и стоимость согласовать отдельно].</w:t>
      </w:r>
    </w:p>
    <w:p>
      <w:pPr>
        <w:pStyle w:val="Heading1"/>
      </w:pPr>
      <w:r>
        <w:t>Следующий шаг</w:t>
      </w:r>
    </w:p>
    <w:p>
      <w:r>
        <w:rPr>
          <w:b w:val="0"/>
        </w:rPr>
        <w:t>Для подготовки окончательной редакции предложения необходимо согласовать количество пользователей, способ размещения, перечень шаблонов, необходимость переноса данных и интеграций. После этого фиксируются стоимость, сроки и условия договора.</w:t>
      </w:r>
    </w:p>
    <w:p>
      <w:r>
        <w:rPr>
          <w:b w:val="0"/>
        </w:rPr>
        <w:t>С уважением,</w:t>
      </w:r>
    </w:p>
    <w:p>
      <w:r>
        <w:rPr>
          <w:b w:val="0"/>
        </w:rPr>
        <w:t>[ФИО и должность представителя поставщика]</w:t>
      </w:r>
    </w:p>
    <w:p>
      <w:r>
        <w:rPr>
          <w:b w:val="0"/>
        </w:rPr>
        <w:t>[Телефон] · [Электронная почта]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??????????? ???????????  ?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167C80"/>
      </w:rPr>
      <w:t>NS SYSTEM  |  HR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C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