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C48FE" w14:textId="77777777" w:rsidR="005E04C1" w:rsidRDefault="005E04C1" w:rsidP="005E04C1">
      <w:pPr>
        <w:rPr>
          <w:b/>
          <w:bCs/>
          <w:sz w:val="32"/>
          <w:szCs w:val="32"/>
        </w:rPr>
      </w:pPr>
      <w:r>
        <w:rPr>
          <w:b/>
          <w:bCs/>
          <w:sz w:val="32"/>
          <w:szCs w:val="32"/>
        </w:rPr>
        <w:t>Supplementary Information for: Genome-wide methylation profiles of ribosomal DNA copy number at birth</w:t>
      </w:r>
    </w:p>
    <w:p w14:paraId="23192E96" w14:textId="77777777" w:rsidR="005E04C1" w:rsidRDefault="005E04C1" w:rsidP="005E04C1">
      <w:pPr>
        <w:rPr>
          <w:b/>
          <w:bCs/>
          <w:sz w:val="16"/>
          <w:szCs w:val="16"/>
        </w:rPr>
      </w:pPr>
    </w:p>
    <w:p w14:paraId="181D0311" w14:textId="77777777" w:rsidR="005E04C1" w:rsidRDefault="005E04C1" w:rsidP="005E04C1">
      <w:r>
        <w:t xml:space="preserve">Kathrin Barth; </w:t>
      </w:r>
      <w:proofErr w:type="spellStart"/>
      <w:r>
        <w:t>Rossella</w:t>
      </w:r>
      <w:proofErr w:type="spellEnd"/>
      <w:r>
        <w:t xml:space="preserve"> Alfano; Michelle </w:t>
      </w:r>
      <w:proofErr w:type="spellStart"/>
      <w:r>
        <w:t>Plusquin</w:t>
      </w:r>
      <w:proofErr w:type="spellEnd"/>
      <w:r>
        <w:t xml:space="preserve">; </w:t>
      </w:r>
      <w:proofErr w:type="spellStart"/>
      <w:r>
        <w:t>Congrong</w:t>
      </w:r>
      <w:proofErr w:type="spellEnd"/>
      <w:r>
        <w:t xml:space="preserve"> Wang; Tim S. </w:t>
      </w:r>
      <w:proofErr w:type="spellStart"/>
      <w:r>
        <w:t>Nawrot</w:t>
      </w:r>
      <w:proofErr w:type="spellEnd"/>
      <w:r>
        <w:t>; Dries S. Martens</w:t>
      </w:r>
    </w:p>
    <w:p w14:paraId="419770A5" w14:textId="0A663D2A" w:rsidR="00267E3D" w:rsidRDefault="00267E3D"/>
    <w:sdt>
      <w:sdtPr>
        <w:rPr>
          <w:rFonts w:ascii="Arial" w:eastAsia="Arial" w:hAnsi="Arial" w:cs="Arial"/>
          <w:color w:val="auto"/>
          <w:sz w:val="22"/>
          <w:szCs w:val="22"/>
          <w:lang w:eastAsia="nl-BE"/>
        </w:rPr>
        <w:id w:val="-484163083"/>
        <w:docPartObj>
          <w:docPartGallery w:val="Table of Contents"/>
          <w:docPartUnique/>
        </w:docPartObj>
      </w:sdtPr>
      <w:sdtEndPr>
        <w:rPr>
          <w:noProof/>
          <w:sz w:val="20"/>
          <w:szCs w:val="20"/>
        </w:rPr>
      </w:sdtEndPr>
      <w:sdtContent>
        <w:p w14:paraId="723C5998" w14:textId="615EAAFD" w:rsidR="005E04C1" w:rsidRPr="005E04C1" w:rsidRDefault="005E04C1">
          <w:pPr>
            <w:pStyle w:val="TOCHeading"/>
            <w:rPr>
              <w:rFonts w:ascii="Arial" w:hAnsi="Arial" w:cs="Arial"/>
              <w:b/>
              <w:bCs/>
              <w:color w:val="auto"/>
              <w:sz w:val="24"/>
              <w:szCs w:val="24"/>
            </w:rPr>
          </w:pPr>
          <w:r w:rsidRPr="005E04C1">
            <w:rPr>
              <w:rFonts w:ascii="Arial" w:hAnsi="Arial" w:cs="Arial"/>
              <w:b/>
              <w:bCs/>
              <w:color w:val="auto"/>
              <w:sz w:val="24"/>
              <w:szCs w:val="24"/>
            </w:rPr>
            <w:t>Table of Contents</w:t>
          </w:r>
        </w:p>
        <w:p w14:paraId="338F3D80" w14:textId="770068F5" w:rsidR="00BA3894" w:rsidRPr="00BA3894" w:rsidRDefault="005E04C1">
          <w:pPr>
            <w:pStyle w:val="TOC1"/>
            <w:tabs>
              <w:tab w:val="right" w:leader="dot" w:pos="9062"/>
            </w:tabs>
            <w:rPr>
              <w:rFonts w:asciiTheme="minorHAnsi" w:eastAsiaTheme="minorEastAsia" w:hAnsiTheme="minorHAnsi" w:cstheme="minorBidi"/>
              <w:noProof/>
              <w:sz w:val="20"/>
              <w:szCs w:val="20"/>
              <w:lang w:val="nl-BE"/>
            </w:rPr>
          </w:pPr>
          <w:r w:rsidRPr="005E04C1">
            <w:rPr>
              <w:sz w:val="20"/>
              <w:szCs w:val="20"/>
            </w:rPr>
            <w:fldChar w:fldCharType="begin"/>
          </w:r>
          <w:r w:rsidRPr="005E04C1">
            <w:rPr>
              <w:sz w:val="20"/>
              <w:szCs w:val="20"/>
            </w:rPr>
            <w:instrText xml:space="preserve"> TOC \o "1-3" \h \z \u </w:instrText>
          </w:r>
          <w:r w:rsidRPr="005E04C1">
            <w:rPr>
              <w:sz w:val="20"/>
              <w:szCs w:val="20"/>
            </w:rPr>
            <w:fldChar w:fldCharType="separate"/>
          </w:r>
          <w:hyperlink w:anchor="_Toc206068488" w:history="1">
            <w:r w:rsidR="00BA3894" w:rsidRPr="00BA3894">
              <w:rPr>
                <w:rStyle w:val="Hyperlink"/>
                <w:noProof/>
                <w:sz w:val="20"/>
                <w:szCs w:val="20"/>
              </w:rPr>
              <w:t>Text S1: DNA methylation measurement with the Illumina HumanMethylationEPIC Bead-Chip arrays</w:t>
            </w:r>
            <w:r w:rsidR="00BA3894" w:rsidRPr="00BA3894">
              <w:rPr>
                <w:noProof/>
                <w:webHidden/>
                <w:sz w:val="20"/>
                <w:szCs w:val="20"/>
              </w:rPr>
              <w:tab/>
            </w:r>
            <w:r w:rsidR="00BA3894" w:rsidRPr="00BA3894">
              <w:rPr>
                <w:noProof/>
                <w:webHidden/>
                <w:sz w:val="20"/>
                <w:szCs w:val="20"/>
              </w:rPr>
              <w:fldChar w:fldCharType="begin"/>
            </w:r>
            <w:r w:rsidR="00BA3894" w:rsidRPr="00BA3894">
              <w:rPr>
                <w:noProof/>
                <w:webHidden/>
                <w:sz w:val="20"/>
                <w:szCs w:val="20"/>
              </w:rPr>
              <w:instrText xml:space="preserve"> PAGEREF _Toc206068488 \h </w:instrText>
            </w:r>
            <w:r w:rsidR="00BA3894" w:rsidRPr="00BA3894">
              <w:rPr>
                <w:noProof/>
                <w:webHidden/>
                <w:sz w:val="20"/>
                <w:szCs w:val="20"/>
              </w:rPr>
            </w:r>
            <w:r w:rsidR="00BA3894" w:rsidRPr="00BA3894">
              <w:rPr>
                <w:noProof/>
                <w:webHidden/>
                <w:sz w:val="20"/>
                <w:szCs w:val="20"/>
              </w:rPr>
              <w:fldChar w:fldCharType="separate"/>
            </w:r>
            <w:r w:rsidR="00C66E62">
              <w:rPr>
                <w:noProof/>
                <w:webHidden/>
                <w:sz w:val="20"/>
                <w:szCs w:val="20"/>
              </w:rPr>
              <w:t>1</w:t>
            </w:r>
            <w:r w:rsidR="00BA3894" w:rsidRPr="00BA3894">
              <w:rPr>
                <w:noProof/>
                <w:webHidden/>
                <w:sz w:val="20"/>
                <w:szCs w:val="20"/>
              </w:rPr>
              <w:fldChar w:fldCharType="end"/>
            </w:r>
          </w:hyperlink>
        </w:p>
        <w:p w14:paraId="19371A90" w14:textId="6718C519" w:rsidR="00BA3894" w:rsidRPr="00BA3894" w:rsidRDefault="005E7714">
          <w:pPr>
            <w:pStyle w:val="TOC1"/>
            <w:tabs>
              <w:tab w:val="right" w:leader="dot" w:pos="9062"/>
            </w:tabs>
            <w:rPr>
              <w:rFonts w:asciiTheme="minorHAnsi" w:eastAsiaTheme="minorEastAsia" w:hAnsiTheme="minorHAnsi" w:cstheme="minorBidi"/>
              <w:noProof/>
              <w:sz w:val="20"/>
              <w:szCs w:val="20"/>
              <w:lang w:val="nl-BE"/>
            </w:rPr>
          </w:pPr>
          <w:hyperlink w:anchor="_Toc206068489" w:history="1">
            <w:r w:rsidR="00BA3894" w:rsidRPr="00BA3894">
              <w:rPr>
                <w:rStyle w:val="Hyperlink"/>
                <w:noProof/>
                <w:sz w:val="20"/>
                <w:szCs w:val="20"/>
              </w:rPr>
              <w:t>Text S2: DNA methylation measurement with the Illumina HumanMethylation450K Bead-Chip arrays</w:t>
            </w:r>
            <w:r w:rsidR="00BA3894" w:rsidRPr="00BA3894">
              <w:rPr>
                <w:noProof/>
                <w:webHidden/>
                <w:sz w:val="20"/>
                <w:szCs w:val="20"/>
              </w:rPr>
              <w:tab/>
            </w:r>
            <w:r w:rsidR="00BA3894" w:rsidRPr="00BA3894">
              <w:rPr>
                <w:noProof/>
                <w:webHidden/>
                <w:sz w:val="20"/>
                <w:szCs w:val="20"/>
              </w:rPr>
              <w:fldChar w:fldCharType="begin"/>
            </w:r>
            <w:r w:rsidR="00BA3894" w:rsidRPr="00BA3894">
              <w:rPr>
                <w:noProof/>
                <w:webHidden/>
                <w:sz w:val="20"/>
                <w:szCs w:val="20"/>
              </w:rPr>
              <w:instrText xml:space="preserve"> PAGEREF _Toc206068489 \h </w:instrText>
            </w:r>
            <w:r w:rsidR="00BA3894" w:rsidRPr="00BA3894">
              <w:rPr>
                <w:noProof/>
                <w:webHidden/>
                <w:sz w:val="20"/>
                <w:szCs w:val="20"/>
              </w:rPr>
            </w:r>
            <w:r w:rsidR="00BA3894" w:rsidRPr="00BA3894">
              <w:rPr>
                <w:noProof/>
                <w:webHidden/>
                <w:sz w:val="20"/>
                <w:szCs w:val="20"/>
              </w:rPr>
              <w:fldChar w:fldCharType="separate"/>
            </w:r>
            <w:r w:rsidR="00C66E62">
              <w:rPr>
                <w:noProof/>
                <w:webHidden/>
                <w:sz w:val="20"/>
                <w:szCs w:val="20"/>
              </w:rPr>
              <w:t>2</w:t>
            </w:r>
            <w:r w:rsidR="00BA3894" w:rsidRPr="00BA3894">
              <w:rPr>
                <w:noProof/>
                <w:webHidden/>
                <w:sz w:val="20"/>
                <w:szCs w:val="20"/>
              </w:rPr>
              <w:fldChar w:fldCharType="end"/>
            </w:r>
          </w:hyperlink>
        </w:p>
        <w:p w14:paraId="7202CF97" w14:textId="2162899A" w:rsidR="00BA3894" w:rsidRPr="00BA3894" w:rsidRDefault="005E7714">
          <w:pPr>
            <w:pStyle w:val="TOC1"/>
            <w:tabs>
              <w:tab w:val="right" w:leader="dot" w:pos="9062"/>
            </w:tabs>
            <w:rPr>
              <w:rFonts w:asciiTheme="minorHAnsi" w:eastAsiaTheme="minorEastAsia" w:hAnsiTheme="minorHAnsi" w:cstheme="minorBidi"/>
              <w:noProof/>
              <w:sz w:val="20"/>
              <w:szCs w:val="20"/>
              <w:lang w:val="nl-BE"/>
            </w:rPr>
          </w:pPr>
          <w:hyperlink w:anchor="_Toc206068490" w:history="1">
            <w:r w:rsidR="00BA3894" w:rsidRPr="00BA3894">
              <w:rPr>
                <w:rStyle w:val="Hyperlink"/>
                <w:noProof/>
                <w:sz w:val="20"/>
                <w:szCs w:val="20"/>
              </w:rPr>
              <w:t>Text S3: Micro-array gene-expression analysis</w:t>
            </w:r>
            <w:r w:rsidR="00BA3894" w:rsidRPr="00BA3894">
              <w:rPr>
                <w:noProof/>
                <w:webHidden/>
                <w:sz w:val="20"/>
                <w:szCs w:val="20"/>
              </w:rPr>
              <w:tab/>
            </w:r>
            <w:r w:rsidR="00BA3894" w:rsidRPr="00BA3894">
              <w:rPr>
                <w:noProof/>
                <w:webHidden/>
                <w:sz w:val="20"/>
                <w:szCs w:val="20"/>
              </w:rPr>
              <w:fldChar w:fldCharType="begin"/>
            </w:r>
            <w:r w:rsidR="00BA3894" w:rsidRPr="00BA3894">
              <w:rPr>
                <w:noProof/>
                <w:webHidden/>
                <w:sz w:val="20"/>
                <w:szCs w:val="20"/>
              </w:rPr>
              <w:instrText xml:space="preserve"> PAGEREF _Toc206068490 \h </w:instrText>
            </w:r>
            <w:r w:rsidR="00BA3894" w:rsidRPr="00BA3894">
              <w:rPr>
                <w:noProof/>
                <w:webHidden/>
                <w:sz w:val="20"/>
                <w:szCs w:val="20"/>
              </w:rPr>
            </w:r>
            <w:r w:rsidR="00BA3894" w:rsidRPr="00BA3894">
              <w:rPr>
                <w:noProof/>
                <w:webHidden/>
                <w:sz w:val="20"/>
                <w:szCs w:val="20"/>
              </w:rPr>
              <w:fldChar w:fldCharType="separate"/>
            </w:r>
            <w:r w:rsidR="00C66E62">
              <w:rPr>
                <w:noProof/>
                <w:webHidden/>
                <w:sz w:val="20"/>
                <w:szCs w:val="20"/>
              </w:rPr>
              <w:t>2</w:t>
            </w:r>
            <w:r w:rsidR="00BA3894" w:rsidRPr="00BA3894">
              <w:rPr>
                <w:noProof/>
                <w:webHidden/>
                <w:sz w:val="20"/>
                <w:szCs w:val="20"/>
              </w:rPr>
              <w:fldChar w:fldCharType="end"/>
            </w:r>
          </w:hyperlink>
        </w:p>
        <w:p w14:paraId="70E2C66B" w14:textId="75A42052" w:rsidR="00BA3894" w:rsidRDefault="005E7714">
          <w:pPr>
            <w:pStyle w:val="TOC1"/>
            <w:tabs>
              <w:tab w:val="right" w:leader="dot" w:pos="9062"/>
            </w:tabs>
            <w:rPr>
              <w:rFonts w:asciiTheme="minorHAnsi" w:eastAsiaTheme="minorEastAsia" w:hAnsiTheme="minorHAnsi" w:cstheme="minorBidi"/>
              <w:noProof/>
              <w:lang w:val="nl-BE"/>
            </w:rPr>
          </w:pPr>
          <w:hyperlink w:anchor="_Toc206068491" w:history="1">
            <w:r w:rsidR="00BA3894" w:rsidRPr="00BA3894">
              <w:rPr>
                <w:rStyle w:val="Hyperlink"/>
                <w:noProof/>
                <w:sz w:val="20"/>
                <w:szCs w:val="20"/>
              </w:rPr>
              <w:t>References</w:t>
            </w:r>
            <w:r w:rsidR="00BA3894" w:rsidRPr="00BA3894">
              <w:rPr>
                <w:noProof/>
                <w:webHidden/>
                <w:sz w:val="20"/>
                <w:szCs w:val="20"/>
              </w:rPr>
              <w:tab/>
            </w:r>
            <w:r w:rsidR="00BA3894" w:rsidRPr="00BA3894">
              <w:rPr>
                <w:noProof/>
                <w:webHidden/>
                <w:sz w:val="20"/>
                <w:szCs w:val="20"/>
              </w:rPr>
              <w:fldChar w:fldCharType="begin"/>
            </w:r>
            <w:r w:rsidR="00BA3894" w:rsidRPr="00BA3894">
              <w:rPr>
                <w:noProof/>
                <w:webHidden/>
                <w:sz w:val="20"/>
                <w:szCs w:val="20"/>
              </w:rPr>
              <w:instrText xml:space="preserve"> PAGEREF _Toc206068491 \h </w:instrText>
            </w:r>
            <w:r w:rsidR="00BA3894" w:rsidRPr="00BA3894">
              <w:rPr>
                <w:noProof/>
                <w:webHidden/>
                <w:sz w:val="20"/>
                <w:szCs w:val="20"/>
              </w:rPr>
            </w:r>
            <w:r w:rsidR="00BA3894" w:rsidRPr="00BA3894">
              <w:rPr>
                <w:noProof/>
                <w:webHidden/>
                <w:sz w:val="20"/>
                <w:szCs w:val="20"/>
              </w:rPr>
              <w:fldChar w:fldCharType="separate"/>
            </w:r>
            <w:r w:rsidR="00C66E62">
              <w:rPr>
                <w:noProof/>
                <w:webHidden/>
                <w:sz w:val="20"/>
                <w:szCs w:val="20"/>
              </w:rPr>
              <w:t>4</w:t>
            </w:r>
            <w:r w:rsidR="00BA3894" w:rsidRPr="00BA3894">
              <w:rPr>
                <w:noProof/>
                <w:webHidden/>
                <w:sz w:val="20"/>
                <w:szCs w:val="20"/>
              </w:rPr>
              <w:fldChar w:fldCharType="end"/>
            </w:r>
          </w:hyperlink>
        </w:p>
        <w:p w14:paraId="10461767" w14:textId="46E2ECBC" w:rsidR="005E04C1" w:rsidRPr="005E04C1" w:rsidRDefault="005E04C1">
          <w:pPr>
            <w:rPr>
              <w:sz w:val="20"/>
              <w:szCs w:val="20"/>
            </w:rPr>
          </w:pPr>
          <w:r w:rsidRPr="005E04C1">
            <w:rPr>
              <w:noProof/>
              <w:sz w:val="20"/>
              <w:szCs w:val="20"/>
            </w:rPr>
            <w:fldChar w:fldCharType="end"/>
          </w:r>
        </w:p>
      </w:sdtContent>
    </w:sdt>
    <w:p w14:paraId="133BCDB8" w14:textId="77777777" w:rsidR="005E04C1" w:rsidRDefault="005E04C1">
      <w:pPr>
        <w:spacing w:after="160" w:line="259" w:lineRule="auto"/>
        <w:sectPr w:rsidR="005E04C1" w:rsidSect="005E04C1">
          <w:footerReference w:type="default" r:id="rId7"/>
          <w:pgSz w:w="11906" w:h="16838"/>
          <w:pgMar w:top="1417" w:right="1417" w:bottom="1417" w:left="1417" w:header="708" w:footer="708" w:gutter="0"/>
          <w:pgNumType w:start="1"/>
          <w:cols w:space="708"/>
          <w:docGrid w:linePitch="360"/>
        </w:sectPr>
      </w:pPr>
      <w:r>
        <w:br w:type="page"/>
      </w:r>
    </w:p>
    <w:p w14:paraId="163194D0" w14:textId="269277FD" w:rsidR="005E04C1" w:rsidRPr="00BA3894" w:rsidRDefault="00BA3894" w:rsidP="00BA3894">
      <w:pPr>
        <w:pStyle w:val="Heading1"/>
        <w:rPr>
          <w:rFonts w:ascii="Arial" w:hAnsi="Arial" w:cs="Arial"/>
          <w:b/>
          <w:bCs/>
          <w:color w:val="000000" w:themeColor="text1"/>
          <w:sz w:val="22"/>
          <w:szCs w:val="22"/>
        </w:rPr>
      </w:pPr>
      <w:bookmarkStart w:id="0" w:name="_Toc206068488"/>
      <w:r w:rsidRPr="00BA3894">
        <w:rPr>
          <w:rFonts w:ascii="Arial" w:hAnsi="Arial" w:cs="Arial"/>
          <w:b/>
          <w:bCs/>
          <w:color w:val="000000" w:themeColor="text1"/>
          <w:sz w:val="22"/>
          <w:szCs w:val="22"/>
        </w:rPr>
        <w:lastRenderedPageBreak/>
        <w:t>Text S1: DNA methylation measurement</w:t>
      </w:r>
      <w:bookmarkStart w:id="1" w:name="_heading=h.2s8eyo1" w:colFirst="0" w:colLast="0"/>
      <w:bookmarkEnd w:id="1"/>
      <w:r w:rsidRPr="00BA3894">
        <w:rPr>
          <w:rFonts w:ascii="Arial" w:hAnsi="Arial" w:cs="Arial"/>
          <w:b/>
          <w:bCs/>
          <w:color w:val="000000" w:themeColor="text1"/>
          <w:sz w:val="22"/>
          <w:szCs w:val="22"/>
        </w:rPr>
        <w:t xml:space="preserve"> with the </w:t>
      </w:r>
      <w:r w:rsidR="005E04C1" w:rsidRPr="00BA3894">
        <w:rPr>
          <w:rFonts w:ascii="Arial" w:hAnsi="Arial" w:cs="Arial"/>
          <w:b/>
          <w:bCs/>
          <w:color w:val="000000" w:themeColor="text1"/>
          <w:sz w:val="22"/>
          <w:szCs w:val="22"/>
        </w:rPr>
        <w:t xml:space="preserve">Illumina </w:t>
      </w:r>
      <w:proofErr w:type="spellStart"/>
      <w:r w:rsidR="005E04C1" w:rsidRPr="00BA3894">
        <w:rPr>
          <w:rFonts w:ascii="Arial" w:hAnsi="Arial" w:cs="Arial"/>
          <w:b/>
          <w:bCs/>
          <w:color w:val="000000" w:themeColor="text1"/>
          <w:sz w:val="22"/>
          <w:szCs w:val="22"/>
        </w:rPr>
        <w:t>HumanMethylationEPIC</w:t>
      </w:r>
      <w:proofErr w:type="spellEnd"/>
      <w:r w:rsidR="005E04C1" w:rsidRPr="00BA3894">
        <w:rPr>
          <w:rFonts w:ascii="Arial" w:hAnsi="Arial" w:cs="Arial"/>
          <w:b/>
          <w:bCs/>
          <w:color w:val="000000" w:themeColor="text1"/>
          <w:sz w:val="22"/>
          <w:szCs w:val="22"/>
        </w:rPr>
        <w:t xml:space="preserve"> Bead-Chip arrays</w:t>
      </w:r>
      <w:bookmarkEnd w:id="0"/>
    </w:p>
    <w:p w14:paraId="0726A058" w14:textId="688F323A" w:rsidR="005E04C1" w:rsidRPr="008817BF" w:rsidRDefault="005E04C1" w:rsidP="005E04C1">
      <w:pPr>
        <w:spacing w:line="480" w:lineRule="auto"/>
        <w:jc w:val="both"/>
        <w:rPr>
          <w:color w:val="FF0000"/>
          <w:sz w:val="20"/>
          <w:szCs w:val="20"/>
        </w:rPr>
      </w:pPr>
      <w:r>
        <w:rPr>
          <w:sz w:val="20"/>
          <w:szCs w:val="20"/>
        </w:rPr>
        <w:t>Ill</w:t>
      </w:r>
      <w:r w:rsidRPr="008817BF">
        <w:rPr>
          <w:sz w:val="20"/>
          <w:szCs w:val="20"/>
        </w:rPr>
        <w:t xml:space="preserve">umina </w:t>
      </w:r>
      <w:proofErr w:type="spellStart"/>
      <w:r w:rsidRPr="008817BF">
        <w:rPr>
          <w:sz w:val="20"/>
          <w:szCs w:val="20"/>
        </w:rPr>
        <w:t>HumanMethylationEPIC</w:t>
      </w:r>
      <w:proofErr w:type="spellEnd"/>
      <w:r w:rsidRPr="008817BF">
        <w:rPr>
          <w:sz w:val="20"/>
          <w:szCs w:val="20"/>
        </w:rPr>
        <w:t xml:space="preserve"> Bead-Chip arrays (EPIC, Illumina Inc., San Diego, USA) </w:t>
      </w:r>
      <w:r>
        <w:rPr>
          <w:sz w:val="20"/>
          <w:szCs w:val="20"/>
        </w:rPr>
        <w:t>were used to measure DNA methylation for the EPIC discovery dataset.</w:t>
      </w:r>
      <w:r w:rsidRPr="008817BF">
        <w:rPr>
          <w:sz w:val="20"/>
          <w:szCs w:val="20"/>
        </w:rPr>
        <w:t xml:space="preserve"> DNA samples were normalized to a concentration of 25ng/µL before the samples were sent on dry ice to the </w:t>
      </w:r>
      <w:proofErr w:type="spellStart"/>
      <w:r w:rsidRPr="008817BF">
        <w:rPr>
          <w:sz w:val="20"/>
          <w:szCs w:val="20"/>
        </w:rPr>
        <w:t>GenomeScan</w:t>
      </w:r>
      <w:proofErr w:type="spellEnd"/>
      <w:r w:rsidRPr="008817BF">
        <w:rPr>
          <w:sz w:val="20"/>
          <w:szCs w:val="20"/>
        </w:rPr>
        <w:t xml:space="preserve"> laboratory (Leiden, The Netherlands). DNA was </w:t>
      </w:r>
      <w:proofErr w:type="spellStart"/>
      <w:r w:rsidRPr="008817BF">
        <w:rPr>
          <w:sz w:val="20"/>
          <w:szCs w:val="20"/>
        </w:rPr>
        <w:t>bisulphite</w:t>
      </w:r>
      <w:proofErr w:type="spellEnd"/>
      <w:r w:rsidRPr="008817BF">
        <w:rPr>
          <w:sz w:val="20"/>
          <w:szCs w:val="20"/>
        </w:rPr>
        <w:t xml:space="preserve"> converted (EZ DNA Methylation Gold kit, </w:t>
      </w:r>
      <w:proofErr w:type="spellStart"/>
      <w:r w:rsidRPr="008817BF">
        <w:rPr>
          <w:sz w:val="20"/>
          <w:szCs w:val="20"/>
        </w:rPr>
        <w:t>Zymo</w:t>
      </w:r>
      <w:proofErr w:type="spellEnd"/>
      <w:r w:rsidRPr="008817BF">
        <w:rPr>
          <w:sz w:val="20"/>
          <w:szCs w:val="20"/>
        </w:rPr>
        <w:t xml:space="preserve"> Research, Irvine, CA, USA)</w:t>
      </w:r>
      <w:r>
        <w:rPr>
          <w:sz w:val="20"/>
          <w:szCs w:val="20"/>
        </w:rPr>
        <w:t>,</w:t>
      </w:r>
      <w:r w:rsidRPr="008817BF">
        <w:rPr>
          <w:sz w:val="20"/>
          <w:szCs w:val="20"/>
        </w:rPr>
        <w:t xml:space="preserve"> hybridized to the </w:t>
      </w:r>
      <w:r>
        <w:rPr>
          <w:sz w:val="20"/>
          <w:szCs w:val="20"/>
        </w:rPr>
        <w:t>Ill</w:t>
      </w:r>
      <w:r w:rsidRPr="008817BF">
        <w:rPr>
          <w:sz w:val="20"/>
          <w:szCs w:val="20"/>
        </w:rPr>
        <w:t xml:space="preserve">umina </w:t>
      </w:r>
      <w:proofErr w:type="spellStart"/>
      <w:r w:rsidRPr="008817BF">
        <w:rPr>
          <w:sz w:val="20"/>
          <w:szCs w:val="20"/>
        </w:rPr>
        <w:t>HumanMethylationEPIC</w:t>
      </w:r>
      <w:proofErr w:type="spellEnd"/>
      <w:r w:rsidRPr="008817BF">
        <w:rPr>
          <w:sz w:val="20"/>
          <w:szCs w:val="20"/>
        </w:rPr>
        <w:t xml:space="preserve"> Bead-Chip arrays</w:t>
      </w:r>
      <w:r>
        <w:rPr>
          <w:sz w:val="20"/>
          <w:szCs w:val="20"/>
        </w:rPr>
        <w:t>,</w:t>
      </w:r>
      <w:r w:rsidRPr="008817BF">
        <w:rPr>
          <w:sz w:val="20"/>
          <w:szCs w:val="20"/>
        </w:rPr>
        <w:t xml:space="preserve"> and scanned using an Illumina </w:t>
      </w:r>
      <w:proofErr w:type="spellStart"/>
      <w:r w:rsidRPr="008817BF">
        <w:rPr>
          <w:sz w:val="20"/>
          <w:szCs w:val="20"/>
        </w:rPr>
        <w:t>iScan</w:t>
      </w:r>
      <w:proofErr w:type="spellEnd"/>
      <w:r w:rsidRPr="008817BF">
        <w:rPr>
          <w:sz w:val="20"/>
          <w:szCs w:val="20"/>
        </w:rPr>
        <w:t xml:space="preserve">. The quality of the data was evaluated with the R script </w:t>
      </w:r>
      <w:proofErr w:type="spellStart"/>
      <w:r w:rsidRPr="008817BF">
        <w:rPr>
          <w:sz w:val="20"/>
          <w:szCs w:val="20"/>
        </w:rPr>
        <w:t>MethylAid</w:t>
      </w:r>
      <w:proofErr w:type="spellEnd"/>
      <w:r w:rsidRPr="008817BF">
        <w:rPr>
          <w:sz w:val="20"/>
          <w:szCs w:val="20"/>
        </w:rPr>
        <w:t>, using a detection p-value &gt; 10e-16. The probe call rate was set to &lt;</w:t>
      </w:r>
      <w:r>
        <w:rPr>
          <w:sz w:val="20"/>
          <w:szCs w:val="20"/>
        </w:rPr>
        <w:t> </w:t>
      </w:r>
      <w:r w:rsidRPr="008817BF">
        <w:rPr>
          <w:sz w:val="20"/>
          <w:szCs w:val="20"/>
        </w:rPr>
        <w:t xml:space="preserve">95%. There were no samples with more than 2% missing probes, so no data had to be deleted for </w:t>
      </w:r>
      <w:r>
        <w:rPr>
          <w:sz w:val="20"/>
          <w:szCs w:val="20"/>
        </w:rPr>
        <w:t xml:space="preserve">a </w:t>
      </w:r>
      <w:r w:rsidRPr="008817BF">
        <w:rPr>
          <w:sz w:val="20"/>
          <w:szCs w:val="20"/>
        </w:rPr>
        <w:t>low sample call rate (&lt;</w:t>
      </w:r>
      <w:r>
        <w:rPr>
          <w:sz w:val="20"/>
          <w:szCs w:val="20"/>
        </w:rPr>
        <w:t xml:space="preserve"> </w:t>
      </w:r>
      <w:r w:rsidRPr="008817BF">
        <w:rPr>
          <w:sz w:val="20"/>
          <w:szCs w:val="20"/>
        </w:rPr>
        <w:t xml:space="preserve">98%). Furthermore, the samples were tested for discordant sex using </w:t>
      </w:r>
      <w:proofErr w:type="spellStart"/>
      <w:r w:rsidRPr="008817BF">
        <w:rPr>
          <w:sz w:val="20"/>
          <w:szCs w:val="20"/>
        </w:rPr>
        <w:t>shinyMethyl</w:t>
      </w:r>
      <w:proofErr w:type="spellEnd"/>
      <w:r w:rsidRPr="008817BF">
        <w:rPr>
          <w:sz w:val="20"/>
          <w:szCs w:val="20"/>
        </w:rPr>
        <w:t xml:space="preserve"> </w:t>
      </w:r>
      <w:r w:rsidRPr="008817BF">
        <w:rPr>
          <w:sz w:val="20"/>
          <w:szCs w:val="20"/>
        </w:rPr>
        <w:fldChar w:fldCharType="begin" w:fldLock="1"/>
      </w:r>
      <w:r w:rsidR="00BA3894">
        <w:rPr>
          <w:sz w:val="20"/>
          <w:szCs w:val="20"/>
        </w:rPr>
        <w:instrText>ADDIN CSL_CITATION {"citationItems":[{"id":"ITEM-1","itemData":{"DOI":"10.12688/f1000research.4680.1","author":[{"dropping-particle":"","family":"Fortin","given":"Jean-Philippe","non-dropping-particle":"","parse-names":false,"suffix":""},{"dropping-particle":"","family":"Fertig","given":"Elana","non-dropping-particle":"","parse-names":false,"suffix":""},{"dropping-particle":"","family":"Hansen","given":"Kasper","non-dropping-particle":"","parse-names":false,"suffix":""}],"container-title":"F1000Research","id":"ITEM-1","issue":"May","issued":{"date-parts":[["2014"]]},"title":"shinyMethyl: interactive quality control of Illumina 450k DNA methylation arrays in R","type":"article-journal"},"uris":["http://www.mendeley.com/documents/?uuid=34c65091-76d1-43e5-8c5b-5dd2128b1d71"]}],"mendeley":{"formattedCitation":"(Fortin, Fertig, &amp; Hansen, 2014)","plainTextFormattedCitation":"(Fortin, Fertig, &amp; Hansen, 2014)","previouslyFormattedCitation":"[1]"},"properties":{"noteIndex":0},"schema":"https://github.com/citation-style-language/schema/raw/master/csl-citation.json"}</w:instrText>
      </w:r>
      <w:r w:rsidRPr="008817BF">
        <w:rPr>
          <w:sz w:val="20"/>
          <w:szCs w:val="20"/>
        </w:rPr>
        <w:fldChar w:fldCharType="separate"/>
      </w:r>
      <w:r w:rsidR="00BA3894" w:rsidRPr="00BA3894">
        <w:rPr>
          <w:noProof/>
          <w:sz w:val="20"/>
          <w:szCs w:val="20"/>
        </w:rPr>
        <w:t>(Fortin, Fertig, &amp; Hansen, 2014)</w:t>
      </w:r>
      <w:r w:rsidRPr="008817BF">
        <w:rPr>
          <w:sz w:val="20"/>
          <w:szCs w:val="20"/>
        </w:rPr>
        <w:fldChar w:fldCharType="end"/>
      </w:r>
      <w:r w:rsidRPr="008817BF">
        <w:rPr>
          <w:sz w:val="20"/>
          <w:szCs w:val="20"/>
        </w:rPr>
        <w:t xml:space="preserve">. The ones that were found positive </w:t>
      </w:r>
      <w:r>
        <w:rPr>
          <w:sz w:val="20"/>
          <w:szCs w:val="20"/>
        </w:rPr>
        <w:t>were</w:t>
      </w:r>
      <w:r w:rsidRPr="008817BF">
        <w:rPr>
          <w:sz w:val="20"/>
          <w:szCs w:val="20"/>
        </w:rPr>
        <w:t xml:space="preserve"> removed from the dataset.</w:t>
      </w:r>
    </w:p>
    <w:p w14:paraId="6FE20CF5" w14:textId="6B8919D0" w:rsidR="005E04C1" w:rsidRPr="008817BF" w:rsidRDefault="005E04C1" w:rsidP="005E04C1">
      <w:pPr>
        <w:spacing w:line="480" w:lineRule="auto"/>
        <w:ind w:firstLine="284"/>
        <w:jc w:val="both"/>
        <w:rPr>
          <w:sz w:val="20"/>
          <w:szCs w:val="20"/>
        </w:rPr>
      </w:pPr>
      <w:r w:rsidRPr="008817BF">
        <w:rPr>
          <w:sz w:val="20"/>
          <w:szCs w:val="20"/>
        </w:rPr>
        <w:t>The methylation levels of the probes were given as β values</w:t>
      </w:r>
      <w:r>
        <w:rPr>
          <w:sz w:val="20"/>
          <w:szCs w:val="20"/>
        </w:rPr>
        <w:t>,</w:t>
      </w:r>
      <w:r w:rsidRPr="008817BF">
        <w:rPr>
          <w:sz w:val="20"/>
          <w:szCs w:val="20"/>
        </w:rPr>
        <w:t xml:space="preserve"> which </w:t>
      </w:r>
      <w:r>
        <w:rPr>
          <w:sz w:val="20"/>
          <w:szCs w:val="20"/>
        </w:rPr>
        <w:t>represent</w:t>
      </w:r>
      <w:r w:rsidRPr="008817BF">
        <w:rPr>
          <w:sz w:val="20"/>
          <w:szCs w:val="20"/>
        </w:rPr>
        <w:t xml:space="preserve"> the ratio of methylated probe intensity to the total intensity of both methylated and unmethylated probes. Functional normalization </w:t>
      </w:r>
      <w:r w:rsidRPr="008817BF">
        <w:rPr>
          <w:sz w:val="20"/>
          <w:szCs w:val="20"/>
        </w:rPr>
        <w:fldChar w:fldCharType="begin" w:fldLock="1"/>
      </w:r>
      <w:r w:rsidR="00BA3894">
        <w:rPr>
          <w:sz w:val="20"/>
          <w:szCs w:val="20"/>
        </w:rPr>
        <w:instrText>ADDIN CSL_CITATION {"citationItems":[{"id":"ITEM-1","itemData":{"DOI":"10.1016/j.ygeno.2011.07.007","ISSN":"08887543","PMID":"21839163","abstract":"We propose an extension to quantile normalization that removes unwanted technical variation using control probes. We adapt our algorithm, functional normalization, to the Illumina 450k methylation array and address the open problem of normalizing methylation data with global epigenetic changes, such as human cancers. Using data sets from The Cancer Genome Atlas and a large case–control study, we show that our algorithm outperforms all existing normalization methods with respect to replication of results between experiments, and yields robust results even in the presence of batch effects. Functional normalization can be applied to any microarray platform, provided suitable control probes are available.","author":[{"dropping-particle":"","family":"Fortin","given":"Jean-Philippe","non-dropping-particle":"","parse-names":false,"suffix":""},{"dropping-particle":"","family":"Labbe","given":"Aurélie","non-dropping-particle":"","parse-names":false,"suffix":""},{"dropping-particle":"","family":"Lemire","given":"Mathieu","non-dropping-particle":"","parse-names":false,"suffix":""},{"dropping-particle":"","family":"Zanke","given":"Brent W","non-dropping-particle":"","parse-names":false,"suffix":""},{"dropping-particle":"","family":"Hudson","given":"Thomas J","non-dropping-particle":"","parse-names":false,"suffix":""},{"dropping-particle":"","family":"Fertig","given":"Elana J","non-dropping-particle":"","parse-names":false,"suffix":""},{"dropping-particle":"","family":"Greenwood","given":"Celia MT","non-dropping-particle":"","parse-names":false,"suffix":""},{"dropping-particle":"","family":"Hansen","given":"Kasper D","non-dropping-particle":"","parse-names":false,"suffix":""}],"container-title":"Genome Biology","id":"ITEM-1","issue":"11","issued":{"date-parts":[["2014"]]},"title":"Functional normalization of 450k methylation array data improves replication in large cancer studies","type":"article-journal","volume":"15"},"uris":["http://www.mendeley.com/documents/?uuid=5e2937d8-3fad-4bfc-b963-2f37e95c16f9"]}],"mendeley":{"formattedCitation":"(Fortin, Labbe, et al., 2014)","plainTextFormattedCitation":"(Fortin, Labbe, et al., 2014)","previouslyFormattedCitation":"[2]"},"properties":{"noteIndex":0},"schema":"https://github.com/citation-style-language/schema/raw/master/csl-citation.json"}</w:instrText>
      </w:r>
      <w:r w:rsidRPr="008817BF">
        <w:rPr>
          <w:sz w:val="20"/>
          <w:szCs w:val="20"/>
        </w:rPr>
        <w:fldChar w:fldCharType="separate"/>
      </w:r>
      <w:r w:rsidR="00BA3894" w:rsidRPr="00BA3894">
        <w:rPr>
          <w:noProof/>
          <w:sz w:val="20"/>
          <w:szCs w:val="20"/>
        </w:rPr>
        <w:t>(Fortin, Labbe, et al., 2014)</w:t>
      </w:r>
      <w:r w:rsidRPr="008817BF">
        <w:rPr>
          <w:sz w:val="20"/>
          <w:szCs w:val="20"/>
        </w:rPr>
        <w:fldChar w:fldCharType="end"/>
      </w:r>
      <w:r w:rsidRPr="008817BF">
        <w:rPr>
          <w:sz w:val="20"/>
          <w:szCs w:val="20"/>
        </w:rPr>
        <w:t xml:space="preserve"> was performed in R using the </w:t>
      </w:r>
      <w:proofErr w:type="spellStart"/>
      <w:r w:rsidRPr="008817BF">
        <w:rPr>
          <w:sz w:val="20"/>
          <w:szCs w:val="20"/>
        </w:rPr>
        <w:t>minfi</w:t>
      </w:r>
      <w:proofErr w:type="spellEnd"/>
      <w:r w:rsidRPr="008817BF">
        <w:rPr>
          <w:sz w:val="20"/>
          <w:szCs w:val="20"/>
        </w:rPr>
        <w:t xml:space="preserve"> package </w:t>
      </w:r>
      <w:r w:rsidRPr="008817BF">
        <w:rPr>
          <w:sz w:val="20"/>
          <w:szCs w:val="20"/>
        </w:rPr>
        <w:fldChar w:fldCharType="begin" w:fldLock="1"/>
      </w:r>
      <w:r w:rsidR="00BA3894">
        <w:rPr>
          <w:sz w:val="20"/>
          <w:szCs w:val="20"/>
        </w:rPr>
        <w:instrText xml:space="preserve">ADDIN CSL_CITATION {"citationItems":[{"id":"ITEM-1","itemData":{"DOI":"10.1093/bioinformatics/btu049","ISSN":"14602059","PMID":"24478339","abstract":"Motivation: The recently released Infinium HumanMethylation450 array (the '450k' array) provides a high-throughput assay to quantify DNA methylation (DNAm) at </w:instrText>
      </w:r>
      <w:r w:rsidR="00BA3894">
        <w:rPr>
          <w:rFonts w:ascii="Cambria Math" w:hAnsi="Cambria Math" w:cs="Cambria Math"/>
          <w:sz w:val="20"/>
          <w:szCs w:val="20"/>
        </w:rPr>
        <w:instrText>∼</w:instrText>
      </w:r>
      <w:r w:rsidR="00BA3894">
        <w:rPr>
          <w:sz w:val="20"/>
          <w:szCs w:val="20"/>
        </w:rPr>
        <w:instrText>450 000 loci across a range of genomic features. Although less comprehensive than high-throughput sequencing-based techniques, this product is more cost-effective and promises to be the most widely used DNAm high-throughput measurement technology over the next several years. Results: Here we describe a suite of computational tools that incorporate state-of-the-art statistical techniques for the analysis of DNAm data. The software is structured to easily adapt to future versions of the technology. We include methods for preprocessing, quality assessment and detection of differentially methylated regions from the kilobase to the megabase scale. We show how our software provides a powerful and flexible development platform for future methods. We also illustrate how our methods empower the technology to make discoveries previously thought to be possible only with sequencing-based methods. © The Author 2014.","author":[{"dropping-particle":"","family":"Aryee","given":"Martin J.","non-dropping-particle":"","parse-names":false,"suffix":""},{"dropping-particle":"","family":"Jaffe","given":"Andrew E.","non-dropping-particle":"","parse-names":false,"suffix":""},{"dropping-particle":"","family":"Corrada-Bravo","given":"Hector","non-dropping-particle":"","parse-names":false,"suffix":""},{"dropping-particle":"","family":"Ladd-Acosta","given":"Christine","non-dropping-particle":"","parse-names":false,"suffix":""},{"dropping-particle":"","family":"Feinberg","given":"Andrew P.","non-dropping-particle":"","parse-names":false,"suffix":""},{"dropping-particle":"","family":"Hansen","given":"Kasper D.","non-dropping-particle":"","parse-names":false,"suffix":""},{"dropping-particle":"","family":"Irizarry","given":"Rafael A.","non-dropping-particle":"","parse-names":false,"suffix":""}],"container-title":"Bioinformatics","id":"ITEM-1","issue":"10","issued":{"date-parts":[["2014"]]},"page":"1363-1369","title":"Minfi: A flexible and comprehensive Bioconductor package for the analysis of Infinium DNA methylation microarrays","type":"article-journal","volume":"30"},"uris":["http://www.mendeley.com/documents/?uuid=2baaecfc-9233-4a50-9abc-eae897169b90"]}],"mendeley":{"formattedCitation":"(Aryee et al., 2014)","plainTextFormattedCitation":"(Aryee et al., 2014)","previouslyFormattedCitation":"[3]"},"properties":{"noteIndex":0},"schema":"https://github.com/citation-style-language/schema/raw/master/csl-citation.json"}</w:instrText>
      </w:r>
      <w:r w:rsidRPr="008817BF">
        <w:rPr>
          <w:sz w:val="20"/>
          <w:szCs w:val="20"/>
        </w:rPr>
        <w:fldChar w:fldCharType="separate"/>
      </w:r>
      <w:r w:rsidR="00BA3894" w:rsidRPr="00BA3894">
        <w:rPr>
          <w:noProof/>
          <w:sz w:val="20"/>
          <w:szCs w:val="20"/>
        </w:rPr>
        <w:t>(Aryee et al., 2014)</w:t>
      </w:r>
      <w:r w:rsidRPr="008817BF">
        <w:rPr>
          <w:sz w:val="20"/>
          <w:szCs w:val="20"/>
        </w:rPr>
        <w:fldChar w:fldCharType="end"/>
      </w:r>
      <w:r w:rsidRPr="008817BF">
        <w:rPr>
          <w:sz w:val="20"/>
          <w:szCs w:val="20"/>
        </w:rPr>
        <w:t>. Missing β values in the matrix were imputed by K-nearest neighbor (KNN) imputation</w:t>
      </w:r>
      <w:r>
        <w:rPr>
          <w:sz w:val="20"/>
          <w:szCs w:val="20"/>
        </w:rPr>
        <w:t>,</w:t>
      </w:r>
      <w:r w:rsidRPr="008817BF">
        <w:rPr>
          <w:sz w:val="20"/>
          <w:szCs w:val="20"/>
        </w:rPr>
        <w:t xml:space="preserve"> and an empirical Bayes method </w:t>
      </w:r>
      <w:r w:rsidRPr="008817BF">
        <w:rPr>
          <w:sz w:val="20"/>
          <w:szCs w:val="20"/>
        </w:rPr>
        <w:fldChar w:fldCharType="begin" w:fldLock="1"/>
      </w:r>
      <w:r w:rsidR="00BA3894">
        <w:rPr>
          <w:sz w:val="20"/>
          <w:szCs w:val="20"/>
        </w:rPr>
        <w:instrText>ADDIN CSL_CITATION {"citationItems":[{"id":"ITEM-1","itemData":{"DOI":"10.1093/BIOSTATISTICS/KXJ037","ISSN":"1465-4644","PMID":"16632515","abstract":"Non-biological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 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http://biosun1.harvard.edu/complab/batch/.","author":[{"dropping-particle":"","family":"Johnson","given":"W. Evan","non-dropping-particle":"","parse-names":false,"suffix":""},{"dropping-particle":"","family":"Li","given":"Cheng","non-dropping-particle":"","parse-names":false,"suffix":""},{"dropping-particle":"","family":"Rabinovic","given":"Ariel","non-dropping-particle":"","parse-names":false,"suffix":""}],"container-title":"Biostatistics","id":"ITEM-1","issue":"1","issued":{"date-parts":[["2007","1","1"]]},"page":"118-127","publisher":"Oxford Academic","title":"Adjusting batch effects in microarray expression data using empirical Bayes methods","type":"article-journal","volume":"8"},"uris":["http://www.mendeley.com/documents/?uuid=a49776a1-b61b-3a4a-bd1d-a606ba1b5bb0"]}],"mendeley":{"formattedCitation":"(Johnson, Li, &amp; Rabinovic, 2007)","plainTextFormattedCitation":"(Johnson, Li, &amp; Rabinovic, 2007)","previouslyFormattedCitation":"[4]"},"properties":{"noteIndex":0},"schema":"https://github.com/citation-style-language/schema/raw/master/csl-citation.json"}</w:instrText>
      </w:r>
      <w:r w:rsidRPr="008817BF">
        <w:rPr>
          <w:sz w:val="20"/>
          <w:szCs w:val="20"/>
        </w:rPr>
        <w:fldChar w:fldCharType="separate"/>
      </w:r>
      <w:r w:rsidR="00BA3894" w:rsidRPr="00BA3894">
        <w:rPr>
          <w:noProof/>
          <w:sz w:val="20"/>
          <w:szCs w:val="20"/>
        </w:rPr>
        <w:t>(Johnson, Li, &amp; Rabinovic, 2007)</w:t>
      </w:r>
      <w:r w:rsidRPr="008817BF">
        <w:rPr>
          <w:sz w:val="20"/>
          <w:szCs w:val="20"/>
        </w:rPr>
        <w:fldChar w:fldCharType="end"/>
      </w:r>
      <w:r w:rsidRPr="008817BF">
        <w:rPr>
          <w:color w:val="FF0000"/>
          <w:sz w:val="20"/>
          <w:szCs w:val="20"/>
        </w:rPr>
        <w:t xml:space="preserve"> </w:t>
      </w:r>
      <w:r w:rsidRPr="008817BF">
        <w:rPr>
          <w:sz w:val="20"/>
          <w:szCs w:val="20"/>
        </w:rPr>
        <w:t>was used to remove technical confounding effects (batch and position).</w:t>
      </w:r>
    </w:p>
    <w:p w14:paraId="4E180DA9" w14:textId="757B64A5" w:rsidR="005E04C1" w:rsidRDefault="005E04C1" w:rsidP="005E04C1">
      <w:pPr>
        <w:spacing w:line="480" w:lineRule="auto"/>
        <w:ind w:firstLine="284"/>
        <w:jc w:val="both"/>
        <w:rPr>
          <w:sz w:val="20"/>
          <w:szCs w:val="20"/>
        </w:rPr>
      </w:pPr>
      <w:r w:rsidRPr="008817BF">
        <w:rPr>
          <w:sz w:val="20"/>
          <w:szCs w:val="20"/>
        </w:rPr>
        <w:t xml:space="preserve">The data was trimmed for outliers using Tukey’s method. </w:t>
      </w:r>
      <w:proofErr w:type="spellStart"/>
      <w:r w:rsidRPr="008817BF">
        <w:rPr>
          <w:sz w:val="20"/>
          <w:szCs w:val="20"/>
        </w:rPr>
        <w:t>CpGs</w:t>
      </w:r>
      <w:proofErr w:type="spellEnd"/>
      <w:r w:rsidRPr="008817BF">
        <w:rPr>
          <w:sz w:val="20"/>
          <w:szCs w:val="20"/>
        </w:rPr>
        <w:t xml:space="preserve"> </w:t>
      </w:r>
      <w:r>
        <w:rPr>
          <w:sz w:val="20"/>
          <w:szCs w:val="20"/>
        </w:rPr>
        <w:t>that</w:t>
      </w:r>
      <w:r w:rsidRPr="008817BF">
        <w:rPr>
          <w:sz w:val="20"/>
          <w:szCs w:val="20"/>
        </w:rPr>
        <w:t xml:space="preserve"> were lower </w:t>
      </w:r>
      <w:r w:rsidRPr="0040498F">
        <w:rPr>
          <w:sz w:val="20"/>
          <w:szCs w:val="20"/>
        </w:rPr>
        <w:t>than 3 inter-quartile range below the 1st quartile or higher than 3 inter-quartile range</w:t>
      </w:r>
      <w:r w:rsidRPr="008817BF">
        <w:rPr>
          <w:sz w:val="20"/>
          <w:szCs w:val="20"/>
        </w:rPr>
        <w:t xml:space="preserve"> above the 3rd quartile were removed from the dataset.</w:t>
      </w:r>
      <w:r w:rsidRPr="008817BF">
        <w:rPr>
          <w:color w:val="FF0000"/>
          <w:sz w:val="20"/>
          <w:szCs w:val="20"/>
        </w:rPr>
        <w:t xml:space="preserve"> </w:t>
      </w:r>
      <w:r w:rsidRPr="008817BF">
        <w:rPr>
          <w:sz w:val="20"/>
          <w:szCs w:val="20"/>
        </w:rPr>
        <w:t>After that, the data was filtered. We excluded probes (</w:t>
      </w:r>
      <w:proofErr w:type="spellStart"/>
      <w:r w:rsidRPr="008817BF">
        <w:rPr>
          <w:sz w:val="20"/>
          <w:szCs w:val="20"/>
        </w:rPr>
        <w:t>i</w:t>
      </w:r>
      <w:proofErr w:type="spellEnd"/>
      <w:r w:rsidRPr="008817BF">
        <w:rPr>
          <w:sz w:val="20"/>
          <w:szCs w:val="20"/>
        </w:rPr>
        <w:t>) for which more than 20% of the values were missing, (ii) located on X and Y chromosomes, iii) non-CpG targeting</w:t>
      </w:r>
      <w:r>
        <w:rPr>
          <w:sz w:val="20"/>
          <w:szCs w:val="20"/>
        </w:rPr>
        <w:t>,</w:t>
      </w:r>
      <w:r w:rsidRPr="008817BF">
        <w:rPr>
          <w:sz w:val="20"/>
          <w:szCs w:val="20"/>
        </w:rPr>
        <w:t xml:space="preserve"> and iv) known to overlap known SNPs (SNPs at </w:t>
      </w:r>
      <w:proofErr w:type="spellStart"/>
      <w:r w:rsidRPr="008817BF">
        <w:rPr>
          <w:sz w:val="20"/>
          <w:szCs w:val="20"/>
        </w:rPr>
        <w:t>CpGs</w:t>
      </w:r>
      <w:proofErr w:type="spellEnd"/>
      <w:r w:rsidRPr="008817BF">
        <w:rPr>
          <w:sz w:val="20"/>
          <w:szCs w:val="20"/>
        </w:rPr>
        <w:t>/single-base extension (SBE) with the minor allele frequency &gt;</w:t>
      </w:r>
      <w:r>
        <w:rPr>
          <w:sz w:val="20"/>
          <w:szCs w:val="20"/>
        </w:rPr>
        <w:t> </w:t>
      </w:r>
      <w:r w:rsidRPr="008817BF">
        <w:rPr>
          <w:sz w:val="20"/>
          <w:szCs w:val="20"/>
        </w:rPr>
        <w:t xml:space="preserve">0.05 were excluded), and v) cross-reactive with multiple genomic locations (tested using the </w:t>
      </w:r>
      <w:proofErr w:type="spellStart"/>
      <w:r w:rsidRPr="008817BF">
        <w:rPr>
          <w:sz w:val="20"/>
          <w:szCs w:val="20"/>
        </w:rPr>
        <w:t>Maxprobe</w:t>
      </w:r>
      <w:proofErr w:type="spellEnd"/>
      <w:r w:rsidRPr="008817BF">
        <w:rPr>
          <w:sz w:val="20"/>
          <w:szCs w:val="20"/>
        </w:rPr>
        <w:t xml:space="preserve"> package in R </w:t>
      </w:r>
      <w:r w:rsidRPr="008817BF">
        <w:rPr>
          <w:sz w:val="20"/>
          <w:szCs w:val="20"/>
        </w:rPr>
        <w:fldChar w:fldCharType="begin" w:fldLock="1"/>
      </w:r>
      <w:r w:rsidR="00BA3894">
        <w:rPr>
          <w:sz w:val="20"/>
          <w:szCs w:val="20"/>
        </w:rPr>
        <w:instrText>ADDIN CSL_CITATION {"citationItems":[{"id":"ITEM-1","itemData":{"DOI":"10.1186/s13059-016-1066-1","ISSN":"1474760X","PMID":"27717381","abstract":"Background: In recent years the Illumina HumanMethylation450 (HM450) BeadChip has provided a user-friendly platform to profile DNA methylation in human samples. However, HM450 lacked coverage of distal regulatory elements. Illumina have now released the MethylationEPIC (EPIC) BeadChip, with new content specifically designed to target these regions. We have used HM450 and whole-genome bisulphite sequencing (WGBS) to perform a critical evaluation of the new EPIC array platform. Results: EPIC covers over 850,000 CpG sites, including &gt;90 % of the CpGs from the HM450 and an additional 413,743 CpGs. Even though the additional probes improve the coverage of regulatory elements, including 58 % of FANTOM5 enhancers, only 7 % distal and 27 % proximal ENCODE regulatory elements are represented. Detailed comparisons of regulatory elements from EPIC and WGBS show that a single EPIC probe is not always informative for those distal regulatory elements showing variable methylation across the region. However, overall data from the EPIC array at single loci are highly reproducible across technical and biological replicates and demonstrate high correlation with HM450 and WGBS data. We show that the HM450 and EPIC arrays distinguish differentially methylated probes, but the absolute agreement depends on the threshold set for each platform. Finally, we provide an annotated list of probes whose signal could be affected by cross-hybridisation or underlying genetic variation. Conclusion: The EPIC array is a significant improvement over the HM450 array, with increased genome coverage of regulatory regions and high reproducibility and reliability, providing a valuable tool for high-throughput human methylome analyses from diverse clinical samples.","author":[{"dropping-particle":"","family":"Pidsley","given":"Ruth","non-dropping-particle":"","parse-names":false,"suffix":""},{"dropping-particle":"","family":"Zotenko","given":"Elena","non-dropping-particle":"","parse-names":false,"suffix":""},{"dropping-particle":"","family":"Peters","given":"Timothy J.","non-dropping-particle":"","parse-names":false,"suffix":""},{"dropping-particle":"","family":"Lawrence","given":"Mitchell G.","non-dropping-particle":"","parse-names":false,"suffix":""},{"dropping-particle":"","family":"Risbridger","given":"Gail P.","non-dropping-particle":"","parse-names":false,"suffix":""},{"dropping-particle":"","family":"Molloy","given":"Peter","non-dropping-particle":"","parse-names":false,"suffix":""},{"dropping-particle":"","family":"Djik","given":"Susan","non-dropping-particle":"Van","parse-names":false,"suffix":""},{"dropping-particle":"","family":"Muhlhausler","given":"Beverly","non-dropping-particle":"","parse-names":false,"suffix":""},{"dropping-particle":"","family":"Stirzaker","given":"Clare","non-dropping-particle":"","parse-names":false,"suffix":""},{"dropping-particle":"","family":"Clark","given":"Susan J.","non-dropping-particle":"","parse-names":false,"suffix":""}],"container-title":"Genome Biology","id":"ITEM-1","issue":"1","issued":{"date-parts":[["2016"]]},"page":"1-17","publisher":"Genome Biology","title":"Critical evaluation of the Illumina MethylationEPIC BeadChip microarray for whole-genome DNA methylation profiling","type":"article-journal","volume":"17"},"uris":["http://www.mendeley.com/documents/?uuid=4aa9d24e-844b-4437-a3e4-312e869a9a19"]}],"mendeley":{"formattedCitation":"(Pidsley et al., 2016)","plainTextFormattedCitation":"(Pidsley et al., 2016)","previouslyFormattedCitation":"[5]"},"properties":{"noteIndex":0},"schema":"https://github.com/citation-style-language/schema/raw/master/csl-citation.json"}</w:instrText>
      </w:r>
      <w:r w:rsidRPr="008817BF">
        <w:rPr>
          <w:sz w:val="20"/>
          <w:szCs w:val="20"/>
        </w:rPr>
        <w:fldChar w:fldCharType="separate"/>
      </w:r>
      <w:r w:rsidR="00BA3894" w:rsidRPr="00BA3894">
        <w:rPr>
          <w:noProof/>
          <w:sz w:val="20"/>
          <w:szCs w:val="20"/>
        </w:rPr>
        <w:t>(Pidsley et al., 2016)</w:t>
      </w:r>
      <w:r w:rsidRPr="008817BF">
        <w:rPr>
          <w:sz w:val="20"/>
          <w:szCs w:val="20"/>
        </w:rPr>
        <w:fldChar w:fldCharType="end"/>
      </w:r>
      <w:r w:rsidRPr="008817BF">
        <w:rPr>
          <w:sz w:val="20"/>
          <w:szCs w:val="20"/>
        </w:rPr>
        <w:t xml:space="preserve">). The β values were converted to M values using the beta2M function from the R package </w:t>
      </w:r>
      <w:proofErr w:type="spellStart"/>
      <w:r w:rsidRPr="008817BF">
        <w:rPr>
          <w:sz w:val="20"/>
          <w:szCs w:val="20"/>
        </w:rPr>
        <w:t>lumi</w:t>
      </w:r>
      <w:proofErr w:type="spellEnd"/>
      <w:r w:rsidRPr="008817BF">
        <w:rPr>
          <w:sz w:val="20"/>
          <w:szCs w:val="20"/>
        </w:rPr>
        <w:t xml:space="preserve"> </w:t>
      </w:r>
      <w:r>
        <w:rPr>
          <w:sz w:val="20"/>
          <w:szCs w:val="20"/>
        </w:rPr>
        <w:fldChar w:fldCharType="begin" w:fldLock="1"/>
      </w:r>
      <w:r w:rsidR="00BA3894">
        <w:rPr>
          <w:sz w:val="20"/>
          <w:szCs w:val="20"/>
        </w:rPr>
        <w:instrText>ADDIN CSL_CITATION {"citationItems":[{"id":"ITEM-1","itemData":{"DOI":"10.1093/bioinformatics/btn224","ISSN":"13674811","PMID":"18467348","abstract":"Summary: Illumina microarray is becoming a popular microarray platform. The BeadArray technology from Illumina makes its preprocessing and quality control different from other microarray technologies. Unfortunately, most other analyses have not taken advantage of the unique properties of the BeadArray system, and have just incorporated preprocessing methods originally designed for Affymetrix microarrays. lumi is a Bioconductor package especially designed to process the Illumina microarray data. It includes data input, quality control, variance stabilization, normalization and gene annotation portions. In specific, the lumi package includes a variance-stabilizing transformation (VST) algorithm that takes advantage of the technical replicates available on every Illumina microarray. Different normalization method options and multiple quality control plots are provided in the package. To better annotate the Illumina data, a vendor independent nucleotide universal identifier (nuID) was devised to identify the probes of Illumina microarray. The nuID annotation packages and output of lumi processed results can be easily integrated with other Bioconductor packages to construct a statistical data analysis pipeline for Illumina data. © The Author 2008. Published by Oxford University Press. All rights reserved.","author":[{"dropping-particle":"","family":"Du","given":"Pan","non-dropping-particle":"","parse-names":false,"suffix":""},{"dropping-particle":"","family":"Kibbe","given":"Warren A.","non-dropping-particle":"","parse-names":false,"suffix":""},{"dropping-particle":"","family":"Lin","given":"Simon M.","non-dropping-particle":"","parse-names":false,"suffix":""}],"container-title":"Bioinformatics","id":"ITEM-1","issue":"13","issued":{"date-parts":[["2008"]]},"page":"1547-1548","title":"lumi: A pipeline for processing Illumina microarray","type":"article-journal","volume":"24"},"uris":["http://www.mendeley.com/documents/?uuid=a5e6deec-c901-4a3b-afad-1d63182691ae"]}],"mendeley":{"formattedCitation":"(Du, Kibbe, &amp; Lin, 2008)","plainTextFormattedCitation":"(Du, Kibbe, &amp; Lin, 2008)","previouslyFormattedCitation":"[6]"},"properties":{"noteIndex":0},"schema":"https://github.com/citation-style-language/schema/raw/master/csl-citation.json"}</w:instrText>
      </w:r>
      <w:r>
        <w:rPr>
          <w:sz w:val="20"/>
          <w:szCs w:val="20"/>
        </w:rPr>
        <w:fldChar w:fldCharType="separate"/>
      </w:r>
      <w:r w:rsidR="00BA3894" w:rsidRPr="00BA3894">
        <w:rPr>
          <w:noProof/>
          <w:sz w:val="20"/>
          <w:szCs w:val="20"/>
        </w:rPr>
        <w:t>(Du, Kibbe, &amp; Lin, 2008)</w:t>
      </w:r>
      <w:r>
        <w:rPr>
          <w:sz w:val="20"/>
          <w:szCs w:val="20"/>
        </w:rPr>
        <w:fldChar w:fldCharType="end"/>
      </w:r>
      <w:r>
        <w:rPr>
          <w:sz w:val="20"/>
          <w:szCs w:val="20"/>
        </w:rPr>
        <w:t>.</w:t>
      </w:r>
      <w:r w:rsidRPr="008817BF">
        <w:rPr>
          <w:sz w:val="20"/>
          <w:szCs w:val="20"/>
        </w:rPr>
        <w:t xml:space="preserve"> </w:t>
      </w:r>
      <w:r>
        <w:rPr>
          <w:sz w:val="20"/>
          <w:szCs w:val="20"/>
        </w:rPr>
        <w:t>A</w:t>
      </w:r>
      <w:r w:rsidRPr="008817BF">
        <w:rPr>
          <w:sz w:val="20"/>
          <w:szCs w:val="20"/>
        </w:rPr>
        <w:t>fter that</w:t>
      </w:r>
      <w:r>
        <w:rPr>
          <w:sz w:val="20"/>
          <w:szCs w:val="20"/>
        </w:rPr>
        <w:t>,</w:t>
      </w:r>
      <w:r w:rsidRPr="008817BF">
        <w:rPr>
          <w:sz w:val="20"/>
          <w:szCs w:val="20"/>
        </w:rPr>
        <w:t xml:space="preserve"> a </w:t>
      </w:r>
      <w:r w:rsidRPr="008817BF">
        <w:rPr>
          <w:color w:val="000000" w:themeColor="text1"/>
          <w:sz w:val="20"/>
          <w:szCs w:val="20"/>
        </w:rPr>
        <w:t xml:space="preserve">total of 787,264 </w:t>
      </w:r>
      <w:proofErr w:type="spellStart"/>
      <w:r w:rsidRPr="008817BF">
        <w:rPr>
          <w:color w:val="000000" w:themeColor="text1"/>
          <w:sz w:val="20"/>
          <w:szCs w:val="20"/>
        </w:rPr>
        <w:t>CpGs</w:t>
      </w:r>
      <w:proofErr w:type="spellEnd"/>
      <w:r w:rsidRPr="008817BF">
        <w:rPr>
          <w:color w:val="000000" w:themeColor="text1"/>
          <w:sz w:val="20"/>
          <w:szCs w:val="20"/>
        </w:rPr>
        <w:t xml:space="preserve"> </w:t>
      </w:r>
      <w:r w:rsidRPr="008817BF">
        <w:rPr>
          <w:sz w:val="20"/>
          <w:szCs w:val="20"/>
        </w:rPr>
        <w:t>were available for further analysis</w:t>
      </w:r>
      <w:r w:rsidRPr="009B5D23">
        <w:rPr>
          <w:sz w:val="20"/>
          <w:szCs w:val="20"/>
        </w:rPr>
        <w:t>.</w:t>
      </w:r>
      <w:r w:rsidRPr="009B5D23">
        <w:rPr>
          <w:color w:val="FF0000"/>
          <w:sz w:val="20"/>
          <w:szCs w:val="20"/>
        </w:rPr>
        <w:t xml:space="preserve"> </w:t>
      </w:r>
      <w:r w:rsidRPr="009B5D23">
        <w:rPr>
          <w:sz w:val="20"/>
          <w:szCs w:val="20"/>
        </w:rPr>
        <w:t xml:space="preserve">Based on the DNA methylation data, blood cell proportions (monocytes, natural killer cells, B cells, CD4+ T cells, CD8+ T cells, and granulocytes) in the cord blood samples were estimated using the </w:t>
      </w:r>
      <w:proofErr w:type="spellStart"/>
      <w:r w:rsidRPr="009B5D23">
        <w:rPr>
          <w:sz w:val="20"/>
          <w:szCs w:val="20"/>
        </w:rPr>
        <w:t>Bakulski</w:t>
      </w:r>
      <w:proofErr w:type="spellEnd"/>
      <w:r w:rsidRPr="009B5D23">
        <w:rPr>
          <w:sz w:val="20"/>
          <w:szCs w:val="20"/>
        </w:rPr>
        <w:t xml:space="preserve"> algorithm </w:t>
      </w:r>
      <w:r w:rsidRPr="009B5D23">
        <w:rPr>
          <w:sz w:val="20"/>
          <w:szCs w:val="20"/>
        </w:rPr>
        <w:fldChar w:fldCharType="begin" w:fldLock="1"/>
      </w:r>
      <w:r w:rsidR="00BA3894">
        <w:rPr>
          <w:sz w:val="20"/>
          <w:szCs w:val="20"/>
        </w:rPr>
        <w:instrText>ADDIN CSL_CITATION {"citationItems":[{"id":"ITEM-1","itemData":{"DOI":"10.1080/15592294.2016.1161875","ISSN":"15592308","PMID":"27019159","abstract":"ABSTRACT: Epigenome-wide association studies of disease widely use DNA methylation measured in blood as a surrogate tissue. Cell proportions can vary between people and confound associations of exposure or outcome. An adequate reference panel for estimating cell proportions from adult whole blood for DNA methylation studies is available, but an analogous cord blood cell reference panel is not yet available. Cord blood has unique cell types and the epigenetic signatures of standard cell types may not be consistent throughout the life course. Using magnetic bead sorting, we isolated cord blood cell types (nucleated red blood cells, granulocytes, monocytes, natural killer cells, B cells, CD4+T cells, and CD8+T cells) from 17 live births at Johns Hopkins Hospital. We confirmed enrichment of the cell types using fluorescence assisted cell sorting and ran DNA from the separated cell types on the Illumina Infinium HumanMethylation450 BeadChip array. After filtering, the final analysis was on 104 samples at 429,794 probes. We compared cell type specific signatures in cord to each other and methylation at 49.2% of CpG sites on the array differed by cell type (F-test P &lt; 10−8). Differences between nucleated red blood cells and the remainder of the cell types were most pronounced (36.9% of CpG sites at P &lt; 10−8) and 99.5% of these sites were hypomethylated relative to the other cell types. We also compared the mean-centered sorted cord profiles to the available adult reference panel and observed high correlation between the overlapping cell types for granulocytes and monocytes (both r=0.74), and poor correlation for CD8+T cells and NK cells (both r=0.08). We further provide an algorithm for estimating cell proportions in cord blood using the newly developed cord reference panel, which estimates biologically plausible cell proportions in whole cord blood samples.","author":[{"dropping-particle":"","family":"Bakulski","given":"Kelly M","non-dropping-particle":"","parse-names":false,"suffix":""},{"dropping-particle":"","family":"Feinberg","given":"Jason I.","non-dropping-particle":"","parse-names":false,"suffix":""},{"dropping-particle":"V","family":"Andrews","given":"Shan","non-dropping-particle":"","parse-names":false,"suffix":""},{"dropping-particle":"","family":"Yang","given":"Jack","non-dropping-particle":"","parse-names":false,"suffix":""},{"dropping-particle":"","family":"Brown","given":"Shannon","non-dropping-particle":"","parse-names":false,"suffix":""},{"dropping-particle":"","family":"L. McKenney","given":"Stephanie","non-dropping-particle":"","parse-names":false,"suffix":""},{"dropping-particle":"","family":"Witter","given":"Frank","non-dropping-particle":"","parse-names":false,"suffix":""},{"dropping-particle":"","family":"Walston","given":"Jeremy","non-dropping-particle":"","parse-names":false,"suffix":""},{"dropping-particle":"","family":"Feinberg","given":"Andrew P","non-dropping-particle":"","parse-names":false,"suffix":""},{"dropping-particle":"","family":"Fallin","given":"M Daniele","non-dropping-particle":"","parse-names":false,"suffix":""}],"container-title":"Epigenetics","id":"ITEM-1","issue":"5","issued":{"date-parts":[["2016"]]},"page":"354-362","title":"DNA methylation of cord blood cell types: Applications for mixed cell birth studies","type":"article-journal","volume":"11"},"uris":["http://www.mendeley.com/documents/?uuid=cf11f493-20f3-328f-bcee-139a48379039"]}],"mendeley":{"formattedCitation":"(Bakulski et al., 2016)","plainTextFormattedCitation":"(Bakulski et al., 2016)","previouslyFormattedCitation":"[7]"},"properties":{"noteIndex":0},"schema":"https://github.com/citation-style-language/schema/raw/master/csl-citation.json"}</w:instrText>
      </w:r>
      <w:r w:rsidRPr="009B5D23">
        <w:rPr>
          <w:sz w:val="20"/>
          <w:szCs w:val="20"/>
        </w:rPr>
        <w:fldChar w:fldCharType="separate"/>
      </w:r>
      <w:r w:rsidR="00BA3894" w:rsidRPr="00BA3894">
        <w:rPr>
          <w:noProof/>
          <w:sz w:val="20"/>
          <w:szCs w:val="20"/>
        </w:rPr>
        <w:t>(Bakulski et al., 2016)</w:t>
      </w:r>
      <w:r w:rsidRPr="009B5D23">
        <w:rPr>
          <w:sz w:val="20"/>
          <w:szCs w:val="20"/>
        </w:rPr>
        <w:fldChar w:fldCharType="end"/>
      </w:r>
      <w:r w:rsidRPr="009B5D23">
        <w:rPr>
          <w:sz w:val="20"/>
          <w:szCs w:val="20"/>
        </w:rPr>
        <w:t>.</w:t>
      </w:r>
    </w:p>
    <w:p w14:paraId="0BD0F393" w14:textId="15A3B83B" w:rsidR="005E04C1" w:rsidRPr="00BA3894" w:rsidRDefault="00BA3894" w:rsidP="00BA3894">
      <w:pPr>
        <w:pStyle w:val="Heading1"/>
        <w:rPr>
          <w:rFonts w:ascii="Arial" w:hAnsi="Arial" w:cs="Arial"/>
          <w:b/>
          <w:bCs/>
          <w:color w:val="000000" w:themeColor="text1"/>
          <w:sz w:val="22"/>
          <w:szCs w:val="22"/>
        </w:rPr>
      </w:pPr>
      <w:bookmarkStart w:id="2" w:name="_Toc206068489"/>
      <w:bookmarkStart w:id="3" w:name="_Hlk201649538"/>
      <w:r>
        <w:rPr>
          <w:rFonts w:ascii="Arial" w:hAnsi="Arial" w:cs="Arial"/>
          <w:b/>
          <w:bCs/>
          <w:color w:val="000000" w:themeColor="text1"/>
          <w:sz w:val="22"/>
          <w:szCs w:val="22"/>
        </w:rPr>
        <w:lastRenderedPageBreak/>
        <w:t xml:space="preserve">Text S2: </w:t>
      </w:r>
      <w:r w:rsidRPr="00BA3894">
        <w:rPr>
          <w:rFonts w:ascii="Arial" w:hAnsi="Arial" w:cs="Arial"/>
          <w:b/>
          <w:bCs/>
          <w:color w:val="000000" w:themeColor="text1"/>
          <w:sz w:val="22"/>
          <w:szCs w:val="22"/>
        </w:rPr>
        <w:t xml:space="preserve">DNA methylation measurement with the </w:t>
      </w:r>
      <w:r w:rsidR="005E04C1" w:rsidRPr="00BA3894">
        <w:rPr>
          <w:rFonts w:ascii="Arial" w:hAnsi="Arial" w:cs="Arial"/>
          <w:b/>
          <w:bCs/>
          <w:color w:val="000000" w:themeColor="text1"/>
          <w:sz w:val="22"/>
          <w:szCs w:val="22"/>
        </w:rPr>
        <w:t>Illumina HumanMethylation450K Bead-Chip arrays</w:t>
      </w:r>
      <w:bookmarkEnd w:id="2"/>
    </w:p>
    <w:bookmarkEnd w:id="3"/>
    <w:p w14:paraId="6A1D0672" w14:textId="07560897" w:rsidR="005E04C1" w:rsidRPr="00194A29" w:rsidRDefault="005E04C1" w:rsidP="005E04C1">
      <w:pPr>
        <w:spacing w:line="480" w:lineRule="auto"/>
        <w:jc w:val="both"/>
        <w:rPr>
          <w:b/>
          <w:bCs/>
          <w:sz w:val="20"/>
          <w:szCs w:val="20"/>
        </w:rPr>
      </w:pPr>
      <w:r w:rsidRPr="00194A29">
        <w:rPr>
          <w:sz w:val="20"/>
          <w:szCs w:val="20"/>
        </w:rPr>
        <w:t xml:space="preserve">For </w:t>
      </w:r>
      <w:r>
        <w:rPr>
          <w:sz w:val="20"/>
          <w:szCs w:val="20"/>
        </w:rPr>
        <w:t xml:space="preserve">the 450K replication dataset, </w:t>
      </w:r>
      <w:r w:rsidRPr="00194A29">
        <w:rPr>
          <w:sz w:val="20"/>
          <w:szCs w:val="20"/>
        </w:rPr>
        <w:t>DNA methylation measurement</w:t>
      </w:r>
      <w:r>
        <w:rPr>
          <w:sz w:val="20"/>
          <w:szCs w:val="20"/>
        </w:rPr>
        <w:t xml:space="preserve">s were performed with the </w:t>
      </w:r>
      <w:r w:rsidRPr="00194A29">
        <w:rPr>
          <w:sz w:val="20"/>
          <w:szCs w:val="20"/>
        </w:rPr>
        <w:t xml:space="preserve">Infinium HumanMethylation450 </w:t>
      </w:r>
      <w:proofErr w:type="spellStart"/>
      <w:r w:rsidRPr="00194A29">
        <w:rPr>
          <w:sz w:val="20"/>
          <w:szCs w:val="20"/>
        </w:rPr>
        <w:t>BeadChip</w:t>
      </w:r>
      <w:proofErr w:type="spellEnd"/>
      <w:r w:rsidRPr="00194A29">
        <w:rPr>
          <w:sz w:val="20"/>
          <w:szCs w:val="20"/>
        </w:rPr>
        <w:t xml:space="preserve"> arrays (450K, Illumina Inc., San Diego, USA), </w:t>
      </w:r>
      <w:r>
        <w:rPr>
          <w:sz w:val="20"/>
          <w:szCs w:val="20"/>
        </w:rPr>
        <w:t>at the</w:t>
      </w:r>
      <w:r w:rsidRPr="00194A29">
        <w:rPr>
          <w:sz w:val="20"/>
          <w:szCs w:val="20"/>
        </w:rPr>
        <w:t xml:space="preserve"> International Agency for Research on Cancer (Lyon, France)</w:t>
      </w:r>
      <w:r>
        <w:rPr>
          <w:sz w:val="20"/>
          <w:szCs w:val="20"/>
        </w:rPr>
        <w:t xml:space="preserve">. </w:t>
      </w:r>
      <w:r w:rsidRPr="00194A29">
        <w:rPr>
          <w:sz w:val="20"/>
          <w:szCs w:val="20"/>
        </w:rPr>
        <w:t xml:space="preserve">In brief, </w:t>
      </w:r>
      <w:r>
        <w:rPr>
          <w:sz w:val="20"/>
          <w:szCs w:val="20"/>
        </w:rPr>
        <w:t>600 ng of cord blood g</w:t>
      </w:r>
      <w:r w:rsidRPr="00194A29">
        <w:rPr>
          <w:sz w:val="20"/>
          <w:szCs w:val="20"/>
        </w:rPr>
        <w:t>DNA was</w:t>
      </w:r>
      <w:r>
        <w:rPr>
          <w:sz w:val="20"/>
          <w:szCs w:val="20"/>
        </w:rPr>
        <w:t xml:space="preserve"> </w:t>
      </w:r>
      <w:r w:rsidRPr="00194A29">
        <w:rPr>
          <w:sz w:val="20"/>
          <w:szCs w:val="20"/>
        </w:rPr>
        <w:t xml:space="preserve">bisulfite converted (600 ng of DNA using EZ-96 DNA Methylation kit, </w:t>
      </w:r>
      <w:proofErr w:type="spellStart"/>
      <w:r w:rsidRPr="00194A29">
        <w:rPr>
          <w:sz w:val="20"/>
          <w:szCs w:val="20"/>
        </w:rPr>
        <w:t>Zymo</w:t>
      </w:r>
      <w:proofErr w:type="spellEnd"/>
      <w:r w:rsidRPr="00194A29">
        <w:rPr>
          <w:sz w:val="20"/>
          <w:szCs w:val="20"/>
        </w:rPr>
        <w:t xml:space="preserve"> Research D5004), and hybridized to Illumina </w:t>
      </w:r>
      <w:proofErr w:type="spellStart"/>
      <w:r w:rsidRPr="00194A29">
        <w:rPr>
          <w:sz w:val="20"/>
          <w:szCs w:val="20"/>
        </w:rPr>
        <w:t>HumanMethylation</w:t>
      </w:r>
      <w:proofErr w:type="spellEnd"/>
      <w:r w:rsidRPr="00194A29">
        <w:rPr>
          <w:sz w:val="20"/>
          <w:szCs w:val="20"/>
        </w:rPr>
        <w:t xml:space="preserve"> 450 K Bead-Chip arrays. After that, the arrays were scanned with an Illumina </w:t>
      </w:r>
      <w:proofErr w:type="spellStart"/>
      <w:r w:rsidRPr="00194A29">
        <w:rPr>
          <w:sz w:val="20"/>
          <w:szCs w:val="20"/>
        </w:rPr>
        <w:t>iScan</w:t>
      </w:r>
      <w:proofErr w:type="spellEnd"/>
      <w:r w:rsidRPr="00194A29">
        <w:rPr>
          <w:sz w:val="20"/>
          <w:szCs w:val="20"/>
        </w:rPr>
        <w:t xml:space="preserve">. Methylation features were filtered from cross-reactive probes and low-quality probes (probes having bead counts &lt;3 in at least 5% of samples). Box plots, showing the distribution of methylated and unmethylated signals, were used to assess data quality. Sample outliers and potential gender mismatches were removed after the evaluation of multidimensional scaling plots and unsupervised clustering. Samples with more than 1% of CpG sites with a detection P-value higher than 0.05 were excluded as well. The β values were converted to M values using the beta2M function from the R package </w:t>
      </w:r>
      <w:proofErr w:type="spellStart"/>
      <w:r w:rsidRPr="00194A29">
        <w:rPr>
          <w:sz w:val="20"/>
          <w:szCs w:val="20"/>
        </w:rPr>
        <w:t>lumi</w:t>
      </w:r>
      <w:proofErr w:type="spellEnd"/>
      <w:r w:rsidRPr="00194A29">
        <w:rPr>
          <w:sz w:val="20"/>
          <w:szCs w:val="20"/>
        </w:rPr>
        <w:t xml:space="preserve"> </w:t>
      </w:r>
      <w:r w:rsidRPr="00194A29">
        <w:rPr>
          <w:sz w:val="20"/>
          <w:szCs w:val="20"/>
        </w:rPr>
        <w:fldChar w:fldCharType="begin" w:fldLock="1"/>
      </w:r>
      <w:r w:rsidR="00BA3894">
        <w:rPr>
          <w:sz w:val="20"/>
          <w:szCs w:val="20"/>
        </w:rPr>
        <w:instrText>ADDIN CSL_CITATION {"citationItems":[{"id":"ITEM-1","itemData":{"DOI":"10.1093/bioinformatics/btn224","ISSN":"13674811","PMID":"18467348","abstract":"Summary: Illumina microarray is becoming a popular microarray platform. The BeadArray technology from Illumina makes its preprocessing and quality control different from other microarray technologies. Unfortunately, most other analyses have not taken advantage of the unique properties of the BeadArray system, and have just incorporated preprocessing methods originally designed for Affymetrix microarrays. lumi is a Bioconductor package especially designed to process the Illumina microarray data. It includes data input, quality control, variance stabilization, normalization and gene annotation portions. In specific, the lumi package includes a variance-stabilizing transformation (VST) algorithm that takes advantage of the technical replicates available on every Illumina microarray. Different normalization method options and multiple quality control plots are provided in the package. To better annotate the Illumina data, a vendor independent nucleotide universal identifier (nuID) was devised to identify the probes of Illumina microarray. The nuID annotation packages and output of lumi processed results can be easily integrated with other Bioconductor packages to construct a statistical data analysis pipeline for Illumina data. © The Author 2008. Published by Oxford University Press. All rights reserved.","author":[{"dropping-particle":"","family":"Du","given":"Pan","non-dropping-particle":"","parse-names":false,"suffix":""},{"dropping-particle":"","family":"Kibbe","given":"Warren A.","non-dropping-particle":"","parse-names":false,"suffix":""},{"dropping-particle":"","family":"Lin","given":"Simon M.","non-dropping-particle":"","parse-names":false,"suffix":""}],"container-title":"Bioinformatics","id":"ITEM-1","issue":"13","issued":{"date-parts":[["2008"]]},"page":"1547-1548","title":"lumi: A pipeline for processing Illumina microarray","type":"article-journal","volume":"24"},"uris":["http://www.mendeley.com/documents/?uuid=a5e6deec-c901-4a3b-afad-1d63182691ae"]}],"mendeley":{"formattedCitation":"(Du et al., 2008)","plainTextFormattedCitation":"(Du et al., 2008)","previouslyFormattedCitation":"[6]"},"properties":{"noteIndex":0},"schema":"https://github.com/citation-style-language/schema/raw/master/csl-citation.json"}</w:instrText>
      </w:r>
      <w:r w:rsidRPr="00194A29">
        <w:rPr>
          <w:sz w:val="20"/>
          <w:szCs w:val="20"/>
        </w:rPr>
        <w:fldChar w:fldCharType="separate"/>
      </w:r>
      <w:r w:rsidR="00BA3894" w:rsidRPr="00BA3894">
        <w:rPr>
          <w:noProof/>
          <w:sz w:val="20"/>
          <w:szCs w:val="20"/>
        </w:rPr>
        <w:t>(Du et al., 2008)</w:t>
      </w:r>
      <w:r w:rsidRPr="00194A29">
        <w:rPr>
          <w:sz w:val="20"/>
          <w:szCs w:val="20"/>
        </w:rPr>
        <w:fldChar w:fldCharType="end"/>
      </w:r>
      <w:r w:rsidRPr="00194A29">
        <w:rPr>
          <w:sz w:val="20"/>
          <w:szCs w:val="20"/>
        </w:rPr>
        <w:t xml:space="preserve">. </w:t>
      </w:r>
      <w:proofErr w:type="spellStart"/>
      <w:r w:rsidRPr="00194A29">
        <w:rPr>
          <w:sz w:val="20"/>
          <w:szCs w:val="20"/>
        </w:rPr>
        <w:t>CpGs</w:t>
      </w:r>
      <w:proofErr w:type="spellEnd"/>
      <w:r w:rsidRPr="00194A29">
        <w:rPr>
          <w:sz w:val="20"/>
          <w:szCs w:val="20"/>
        </w:rPr>
        <w:t xml:space="preserve"> on the X and Y chromosomes were excluded, resulting in a total of 459,781 </w:t>
      </w:r>
      <w:proofErr w:type="spellStart"/>
      <w:r w:rsidRPr="00194A29">
        <w:rPr>
          <w:sz w:val="20"/>
          <w:szCs w:val="20"/>
        </w:rPr>
        <w:t>CpGs</w:t>
      </w:r>
      <w:proofErr w:type="spellEnd"/>
      <w:r w:rsidRPr="00194A29">
        <w:rPr>
          <w:sz w:val="20"/>
          <w:szCs w:val="20"/>
        </w:rPr>
        <w:t xml:space="preserve"> that were available for further analysis. </w:t>
      </w:r>
    </w:p>
    <w:p w14:paraId="1CD5D5EE" w14:textId="302E5193" w:rsidR="005E04C1" w:rsidRDefault="005E04C1"/>
    <w:p w14:paraId="1759F8E5" w14:textId="56034F23" w:rsidR="005E04C1" w:rsidRPr="00BA3894" w:rsidRDefault="00BA3894" w:rsidP="005E04C1">
      <w:pPr>
        <w:pStyle w:val="Heading1"/>
        <w:rPr>
          <w:rFonts w:ascii="Arial" w:hAnsi="Arial" w:cs="Arial"/>
          <w:b/>
          <w:bCs/>
          <w:color w:val="auto"/>
          <w:sz w:val="20"/>
          <w:szCs w:val="20"/>
        </w:rPr>
      </w:pPr>
      <w:bookmarkStart w:id="4" w:name="_Toc206068490"/>
      <w:r w:rsidRPr="00BA3894">
        <w:rPr>
          <w:rFonts w:ascii="Arial" w:hAnsi="Arial" w:cs="Arial"/>
          <w:b/>
          <w:bCs/>
          <w:color w:val="auto"/>
          <w:sz w:val="22"/>
          <w:szCs w:val="22"/>
        </w:rPr>
        <w:t xml:space="preserve">Text S3: </w:t>
      </w:r>
      <w:r w:rsidR="005E04C1" w:rsidRPr="00BA3894">
        <w:rPr>
          <w:rFonts w:ascii="Arial" w:hAnsi="Arial" w:cs="Arial"/>
          <w:b/>
          <w:bCs/>
          <w:color w:val="auto"/>
          <w:sz w:val="22"/>
          <w:szCs w:val="22"/>
        </w:rPr>
        <w:t>Micro-array gene-expression analysis</w:t>
      </w:r>
      <w:bookmarkEnd w:id="4"/>
    </w:p>
    <w:p w14:paraId="71AE29DA" w14:textId="46309790" w:rsidR="005E04C1" w:rsidRPr="008673F9" w:rsidRDefault="005E04C1" w:rsidP="005E04C1">
      <w:pPr>
        <w:spacing w:line="480" w:lineRule="auto"/>
        <w:jc w:val="both"/>
        <w:rPr>
          <w:color w:val="FF0000"/>
          <w:sz w:val="20"/>
          <w:szCs w:val="20"/>
        </w:rPr>
      </w:pPr>
      <w:r w:rsidRPr="008817BF">
        <w:rPr>
          <w:sz w:val="20"/>
          <w:szCs w:val="20"/>
        </w:rPr>
        <w:t xml:space="preserve">An aliquot of 0.2 </w:t>
      </w:r>
      <w:proofErr w:type="spellStart"/>
      <w:r w:rsidRPr="008817BF">
        <w:rPr>
          <w:sz w:val="20"/>
          <w:szCs w:val="20"/>
        </w:rPr>
        <w:t>μg</w:t>
      </w:r>
      <w:proofErr w:type="spellEnd"/>
      <w:r w:rsidRPr="008817BF">
        <w:rPr>
          <w:sz w:val="20"/>
          <w:szCs w:val="20"/>
        </w:rPr>
        <w:t xml:space="preserve"> total RNA was reverse-transcribed into cDNA, labeled with cyanine-3 following the Agilent one-color Quick-Amp labeling protocol (Agilent Technologies)</w:t>
      </w:r>
      <w:r>
        <w:rPr>
          <w:sz w:val="20"/>
          <w:szCs w:val="20"/>
        </w:rPr>
        <w:t>,</w:t>
      </w:r>
      <w:r w:rsidRPr="008817BF">
        <w:rPr>
          <w:sz w:val="20"/>
          <w:szCs w:val="20"/>
        </w:rPr>
        <w:t xml:space="preserve"> and hybridized onto Agilent Whole Human Genome 8 × 60 K microarrays. Microarray signals were detected using the Agilent DNA G2505C Microarray Scanner (Agilent Technologies). The Agilent Feature Extraction Software (Version 10.7.3.1, Agilent Technologies, Amstelveen, The Netherlands) was used to convert the </w:t>
      </w:r>
      <w:r>
        <w:rPr>
          <w:sz w:val="20"/>
          <w:szCs w:val="20"/>
        </w:rPr>
        <w:t>scanned</w:t>
      </w:r>
      <w:r w:rsidRPr="008817BF">
        <w:rPr>
          <w:sz w:val="20"/>
          <w:szCs w:val="20"/>
        </w:rPr>
        <w:t xml:space="preserve"> images into TXT files. An in-house developed quality control pipeline in R software was used to preprocess those files as follows: Local background correction, omission of controls, flagging of bad spots and spots with too low intensity, log</w:t>
      </w:r>
      <w:r w:rsidRPr="008817BF">
        <w:rPr>
          <w:sz w:val="20"/>
          <w:szCs w:val="20"/>
          <w:vertAlign w:val="subscript"/>
        </w:rPr>
        <w:t>2</w:t>
      </w:r>
      <w:r w:rsidRPr="008817BF">
        <w:rPr>
          <w:sz w:val="20"/>
          <w:szCs w:val="20"/>
        </w:rPr>
        <w:t xml:space="preserve"> transformation</w:t>
      </w:r>
      <w:r>
        <w:rPr>
          <w:sz w:val="20"/>
          <w:szCs w:val="20"/>
        </w:rPr>
        <w:t>,</w:t>
      </w:r>
      <w:r w:rsidRPr="008817BF">
        <w:rPr>
          <w:sz w:val="20"/>
          <w:szCs w:val="20"/>
        </w:rPr>
        <w:t xml:space="preserve"> and quantile normalization using </w:t>
      </w:r>
      <w:proofErr w:type="spellStart"/>
      <w:r w:rsidRPr="008817BF">
        <w:rPr>
          <w:sz w:val="20"/>
          <w:szCs w:val="20"/>
        </w:rPr>
        <w:t>arrayQC</w:t>
      </w:r>
      <w:proofErr w:type="spellEnd"/>
      <w:r w:rsidRPr="008817BF">
        <w:rPr>
          <w:sz w:val="20"/>
          <w:szCs w:val="20"/>
        </w:rPr>
        <w:t xml:space="preserve">. </w:t>
      </w:r>
      <w:r>
        <w:rPr>
          <w:sz w:val="20"/>
          <w:szCs w:val="20"/>
        </w:rPr>
        <w:t>R scripts</w:t>
      </w:r>
      <w:r w:rsidRPr="008817BF">
        <w:rPr>
          <w:sz w:val="20"/>
          <w:szCs w:val="20"/>
        </w:rPr>
        <w:t xml:space="preserve"> containing the quality control pipeline and more detailed information on the flagging </w:t>
      </w:r>
      <w:r>
        <w:rPr>
          <w:sz w:val="20"/>
          <w:szCs w:val="20"/>
        </w:rPr>
        <w:t>are</w:t>
      </w:r>
      <w:r w:rsidRPr="008817BF">
        <w:rPr>
          <w:sz w:val="20"/>
          <w:szCs w:val="20"/>
        </w:rPr>
        <w:t xml:space="preserve"> available at https://github.com/BiGCAT-UM/arrayQC_Module. In further steps, genes with more than 30% flagged data were removed, replicates were merged based on the median, missing values were imputed by means of K-nearest neighbor imputation (K = 15)</w:t>
      </w:r>
      <w:r>
        <w:rPr>
          <w:sz w:val="20"/>
          <w:szCs w:val="20"/>
        </w:rPr>
        <w:t>,</w:t>
      </w:r>
      <w:r w:rsidRPr="008817BF">
        <w:rPr>
          <w:sz w:val="20"/>
          <w:szCs w:val="20"/>
        </w:rPr>
        <w:t xml:space="preserve"> and batch effects were corrected using an empirical Bayes method </w:t>
      </w:r>
      <w:r w:rsidRPr="008817BF">
        <w:rPr>
          <w:sz w:val="20"/>
          <w:szCs w:val="20"/>
        </w:rPr>
        <w:fldChar w:fldCharType="begin" w:fldLock="1"/>
      </w:r>
      <w:r w:rsidR="00BA3894">
        <w:rPr>
          <w:sz w:val="20"/>
          <w:szCs w:val="20"/>
        </w:rPr>
        <w:instrText>ADDIN CSL_CITATION {"citationItems":[{"id":"ITEM-1","itemData":{"DOI":"10.1093/BIOSTATISTICS/KXJ037","ISSN":"1465-4644","PMID":"16632515","abstract":"Non-biological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 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http://biosun1.harvard.edu/complab/batch/.","author":[{"dropping-particle":"","family":"Johnson","given":"W. Evan","non-dropping-particle":"","parse-names":false,"suffix":""},{"dropping-particle":"","family":"Li","given":"Cheng","non-dropping-particle":"","parse-names":false,"suffix":""},{"dropping-particle":"","family":"Rabinovic","given":"Ariel","non-dropping-particle":"","parse-names":false,"suffix":""}],"container-title":"Biostatistics","id":"ITEM-1","issue":"1","issued":{"date-parts":[["2007","1","1"]]},"page":"118-127","publisher":"Oxford Academic","title":"Adjusting batch effects in microarray expression data using empirical Bayes methods","type":"article-journal","volume":"8"},"uris":["http://www.mendeley.com/documents/?uuid=a49776a1-b61b-3a4a-bd1d-a606ba1b5bb0"]}],"mendeley":{"formattedCitation":"(Johnson et al., 2007)","plainTextFormattedCitation":"(Johnson et al., 2007)","previouslyFormattedCitation":"[4]"},"properties":{"noteIndex":0},"schema":"https://github.com/citation-style-language/schema/raw/master/csl-citation.json"}</w:instrText>
      </w:r>
      <w:r w:rsidRPr="008817BF">
        <w:rPr>
          <w:sz w:val="20"/>
          <w:szCs w:val="20"/>
        </w:rPr>
        <w:fldChar w:fldCharType="separate"/>
      </w:r>
      <w:r w:rsidR="00BA3894" w:rsidRPr="00BA3894">
        <w:rPr>
          <w:noProof/>
          <w:sz w:val="20"/>
          <w:szCs w:val="20"/>
        </w:rPr>
        <w:t>(Johnson et al., 2007)</w:t>
      </w:r>
      <w:r w:rsidRPr="008817BF">
        <w:rPr>
          <w:sz w:val="20"/>
          <w:szCs w:val="20"/>
        </w:rPr>
        <w:fldChar w:fldCharType="end"/>
      </w:r>
      <w:r w:rsidRPr="008817BF">
        <w:rPr>
          <w:sz w:val="20"/>
          <w:szCs w:val="20"/>
        </w:rPr>
        <w:t xml:space="preserve">. For genes represented by multiple probes, only the probe with the largest interquartile range was considered. The final dataset used for statistical analyses contained </w:t>
      </w:r>
      <w:r w:rsidRPr="008817BF">
        <w:rPr>
          <w:sz w:val="20"/>
          <w:szCs w:val="20"/>
        </w:rPr>
        <w:lastRenderedPageBreak/>
        <w:t xml:space="preserve">28,555 </w:t>
      </w:r>
      <w:r w:rsidRPr="00194A29">
        <w:rPr>
          <w:sz w:val="20"/>
          <w:szCs w:val="20"/>
        </w:rPr>
        <w:t>probes.</w:t>
      </w:r>
      <w:r w:rsidRPr="00194A29">
        <w:t xml:space="preserve"> </w:t>
      </w:r>
      <w:r w:rsidRPr="00194A29">
        <w:rPr>
          <w:sz w:val="20"/>
          <w:szCs w:val="20"/>
        </w:rPr>
        <w:t>Transcriptomic measurements were available for a subset of 64 out of the 194 participants comprising the EPIC discovery dataset. Those</w:t>
      </w:r>
      <w:r w:rsidRPr="008673F9">
        <w:rPr>
          <w:sz w:val="20"/>
          <w:szCs w:val="20"/>
        </w:rPr>
        <w:t xml:space="preserve"> were included in the subsequent </w:t>
      </w:r>
      <w:proofErr w:type="spellStart"/>
      <w:r w:rsidRPr="008673F9">
        <w:rPr>
          <w:sz w:val="20"/>
          <w:szCs w:val="20"/>
        </w:rPr>
        <w:t>eQTM</w:t>
      </w:r>
      <w:proofErr w:type="spellEnd"/>
      <w:r w:rsidRPr="008673F9">
        <w:rPr>
          <w:sz w:val="20"/>
          <w:szCs w:val="20"/>
        </w:rPr>
        <w:t xml:space="preserve"> analysis.</w:t>
      </w:r>
    </w:p>
    <w:p w14:paraId="7BFC4117" w14:textId="1AA6FD2C" w:rsidR="00BA3894" w:rsidRDefault="00BA3894">
      <w:pPr>
        <w:spacing w:after="160" w:line="259" w:lineRule="auto"/>
      </w:pPr>
      <w:r>
        <w:br w:type="page"/>
      </w:r>
    </w:p>
    <w:p w14:paraId="134B53C8" w14:textId="77777777" w:rsidR="005E04C1" w:rsidRDefault="005E04C1"/>
    <w:p w14:paraId="6B368FAB" w14:textId="7B1B266A" w:rsidR="00BA3894" w:rsidRDefault="00BA3894" w:rsidP="00BA3894">
      <w:pPr>
        <w:pStyle w:val="Heading1"/>
        <w:rPr>
          <w:rFonts w:ascii="Arial" w:hAnsi="Arial" w:cs="Arial"/>
          <w:b/>
          <w:bCs/>
          <w:color w:val="000000" w:themeColor="text1"/>
          <w:sz w:val="22"/>
          <w:szCs w:val="22"/>
        </w:rPr>
      </w:pPr>
      <w:bookmarkStart w:id="5" w:name="_Toc206068491"/>
      <w:r w:rsidRPr="00BA3894">
        <w:rPr>
          <w:rFonts w:ascii="Arial" w:hAnsi="Arial" w:cs="Arial"/>
          <w:b/>
          <w:bCs/>
          <w:color w:val="000000" w:themeColor="text1"/>
          <w:sz w:val="22"/>
          <w:szCs w:val="22"/>
        </w:rPr>
        <w:t>References</w:t>
      </w:r>
      <w:bookmarkEnd w:id="5"/>
    </w:p>
    <w:p w14:paraId="3B7BCCFA" w14:textId="21F4A027" w:rsidR="00BA3894" w:rsidRPr="00BA3894" w:rsidRDefault="00BA3894" w:rsidP="00BA3894">
      <w:pPr>
        <w:widowControl w:val="0"/>
        <w:autoSpaceDE w:val="0"/>
        <w:autoSpaceDN w:val="0"/>
        <w:adjustRightInd w:val="0"/>
        <w:spacing w:line="240" w:lineRule="auto"/>
        <w:ind w:left="480" w:hanging="480"/>
        <w:rPr>
          <w:noProof/>
          <w:szCs w:val="24"/>
        </w:rPr>
      </w:pPr>
      <w:r>
        <w:fldChar w:fldCharType="begin" w:fldLock="1"/>
      </w:r>
      <w:r>
        <w:instrText xml:space="preserve">ADDIN Mendeley Bibliography CSL_BIBLIOGRAPHY </w:instrText>
      </w:r>
      <w:r>
        <w:fldChar w:fldCharType="separate"/>
      </w:r>
      <w:r w:rsidRPr="00BA3894">
        <w:rPr>
          <w:noProof/>
          <w:szCs w:val="24"/>
        </w:rPr>
        <w:t xml:space="preserve">Aryee, M. J., Jaffe, A. E., Corrada-Bravo, H., Ladd-Acosta, C., Feinberg, A. P., Hansen, K. D., &amp; Irizarry, R. A. (2014). Minfi: A flexible and comprehensive Bioconductor package for the analysis of Infinium DNA methylation microarrays. </w:t>
      </w:r>
      <w:r w:rsidRPr="00BA3894">
        <w:rPr>
          <w:i/>
          <w:iCs/>
          <w:noProof/>
          <w:szCs w:val="24"/>
        </w:rPr>
        <w:t>Bioinformatics</w:t>
      </w:r>
      <w:r w:rsidRPr="00BA3894">
        <w:rPr>
          <w:noProof/>
          <w:szCs w:val="24"/>
        </w:rPr>
        <w:t xml:space="preserve">, </w:t>
      </w:r>
      <w:r w:rsidRPr="00BA3894">
        <w:rPr>
          <w:i/>
          <w:iCs/>
          <w:noProof/>
          <w:szCs w:val="24"/>
        </w:rPr>
        <w:t>30</w:t>
      </w:r>
      <w:r w:rsidRPr="00BA3894">
        <w:rPr>
          <w:noProof/>
          <w:szCs w:val="24"/>
        </w:rPr>
        <w:t>(10), 1363–1369. https://doi.org/10.1093/bioinformatics/btu049</w:t>
      </w:r>
    </w:p>
    <w:p w14:paraId="17736C37" w14:textId="77777777" w:rsidR="00BA3894" w:rsidRPr="00BA3894" w:rsidRDefault="00BA3894" w:rsidP="00BA3894">
      <w:pPr>
        <w:widowControl w:val="0"/>
        <w:autoSpaceDE w:val="0"/>
        <w:autoSpaceDN w:val="0"/>
        <w:adjustRightInd w:val="0"/>
        <w:spacing w:line="240" w:lineRule="auto"/>
        <w:ind w:left="480" w:hanging="480"/>
        <w:rPr>
          <w:noProof/>
          <w:szCs w:val="24"/>
        </w:rPr>
      </w:pPr>
      <w:r w:rsidRPr="00BA3894">
        <w:rPr>
          <w:noProof/>
          <w:szCs w:val="24"/>
        </w:rPr>
        <w:t xml:space="preserve">Bakulski, K. M., Feinberg, J. I., Andrews, S. V, Yang, J., Brown, S., L. McKenney, S., … Fallin, M. D. (2016). DNA methylation of cord blood cell types: Applications for mixed cell birth studies. </w:t>
      </w:r>
      <w:r w:rsidRPr="00BA3894">
        <w:rPr>
          <w:i/>
          <w:iCs/>
          <w:noProof/>
          <w:szCs w:val="24"/>
        </w:rPr>
        <w:t>Epigenetics</w:t>
      </w:r>
      <w:r w:rsidRPr="00BA3894">
        <w:rPr>
          <w:noProof/>
          <w:szCs w:val="24"/>
        </w:rPr>
        <w:t xml:space="preserve">, </w:t>
      </w:r>
      <w:r w:rsidRPr="00BA3894">
        <w:rPr>
          <w:i/>
          <w:iCs/>
          <w:noProof/>
          <w:szCs w:val="24"/>
        </w:rPr>
        <w:t>11</w:t>
      </w:r>
      <w:r w:rsidRPr="00BA3894">
        <w:rPr>
          <w:noProof/>
          <w:szCs w:val="24"/>
        </w:rPr>
        <w:t>(5), 354–362. https://doi.org/10.1080/15592294.2016.1161875</w:t>
      </w:r>
    </w:p>
    <w:p w14:paraId="420B38D8" w14:textId="77777777" w:rsidR="00BA3894" w:rsidRPr="00BA3894" w:rsidRDefault="00BA3894" w:rsidP="00BA3894">
      <w:pPr>
        <w:widowControl w:val="0"/>
        <w:autoSpaceDE w:val="0"/>
        <w:autoSpaceDN w:val="0"/>
        <w:adjustRightInd w:val="0"/>
        <w:spacing w:line="240" w:lineRule="auto"/>
        <w:ind w:left="480" w:hanging="480"/>
        <w:rPr>
          <w:noProof/>
          <w:szCs w:val="24"/>
        </w:rPr>
      </w:pPr>
      <w:r w:rsidRPr="00BA3894">
        <w:rPr>
          <w:noProof/>
          <w:szCs w:val="24"/>
        </w:rPr>
        <w:t xml:space="preserve">Du, P., Kibbe, W. A., &amp; Lin, S. M. (2008). lumi: A pipeline for processing Illumina microarray. </w:t>
      </w:r>
      <w:r w:rsidRPr="00BA3894">
        <w:rPr>
          <w:i/>
          <w:iCs/>
          <w:noProof/>
          <w:szCs w:val="24"/>
        </w:rPr>
        <w:t>Bioinformatics</w:t>
      </w:r>
      <w:r w:rsidRPr="00BA3894">
        <w:rPr>
          <w:noProof/>
          <w:szCs w:val="24"/>
        </w:rPr>
        <w:t xml:space="preserve">, </w:t>
      </w:r>
      <w:r w:rsidRPr="00BA3894">
        <w:rPr>
          <w:i/>
          <w:iCs/>
          <w:noProof/>
          <w:szCs w:val="24"/>
        </w:rPr>
        <w:t>24</w:t>
      </w:r>
      <w:r w:rsidRPr="00BA3894">
        <w:rPr>
          <w:noProof/>
          <w:szCs w:val="24"/>
        </w:rPr>
        <w:t>(13), 1547–1548. https://doi.org/10.1093/bioinformatics/btn224</w:t>
      </w:r>
    </w:p>
    <w:p w14:paraId="43909F85" w14:textId="77777777" w:rsidR="00BA3894" w:rsidRPr="00BA3894" w:rsidRDefault="00BA3894" w:rsidP="00BA3894">
      <w:pPr>
        <w:widowControl w:val="0"/>
        <w:autoSpaceDE w:val="0"/>
        <w:autoSpaceDN w:val="0"/>
        <w:adjustRightInd w:val="0"/>
        <w:spacing w:line="240" w:lineRule="auto"/>
        <w:ind w:left="480" w:hanging="480"/>
        <w:rPr>
          <w:noProof/>
          <w:szCs w:val="24"/>
        </w:rPr>
      </w:pPr>
      <w:r w:rsidRPr="00BA3894">
        <w:rPr>
          <w:noProof/>
          <w:szCs w:val="24"/>
        </w:rPr>
        <w:t xml:space="preserve">Fortin, J.-P., Fertig, E., &amp; Hansen, K. (2014). shinyMethyl: interactive quality control of Illumina 450k DNA methylation arrays in R. </w:t>
      </w:r>
      <w:r w:rsidRPr="00BA3894">
        <w:rPr>
          <w:i/>
          <w:iCs/>
          <w:noProof/>
          <w:szCs w:val="24"/>
        </w:rPr>
        <w:t>F1000Research</w:t>
      </w:r>
      <w:r w:rsidRPr="00BA3894">
        <w:rPr>
          <w:noProof/>
          <w:szCs w:val="24"/>
        </w:rPr>
        <w:t>, (May). https://doi.org/10.12688/f1000research.4680.1</w:t>
      </w:r>
    </w:p>
    <w:p w14:paraId="1E447E1F" w14:textId="77777777" w:rsidR="00BA3894" w:rsidRPr="00BA3894" w:rsidRDefault="00BA3894" w:rsidP="00BA3894">
      <w:pPr>
        <w:widowControl w:val="0"/>
        <w:autoSpaceDE w:val="0"/>
        <w:autoSpaceDN w:val="0"/>
        <w:adjustRightInd w:val="0"/>
        <w:spacing w:line="240" w:lineRule="auto"/>
        <w:ind w:left="480" w:hanging="480"/>
        <w:rPr>
          <w:noProof/>
          <w:szCs w:val="24"/>
        </w:rPr>
      </w:pPr>
      <w:r w:rsidRPr="00BA3894">
        <w:rPr>
          <w:noProof/>
          <w:szCs w:val="24"/>
        </w:rPr>
        <w:t xml:space="preserve">Fortin, J.-P., Labbe, A., Lemire, M., Zanke, B. W., Hudson, T. J., Fertig, E. J., … Hansen, K. D. (2014). Functional normalization of 450k methylation array data improves replication in large cancer studies. </w:t>
      </w:r>
      <w:r w:rsidRPr="00BA3894">
        <w:rPr>
          <w:i/>
          <w:iCs/>
          <w:noProof/>
          <w:szCs w:val="24"/>
        </w:rPr>
        <w:t>Genome Biology</w:t>
      </w:r>
      <w:r w:rsidRPr="00BA3894">
        <w:rPr>
          <w:noProof/>
          <w:szCs w:val="24"/>
        </w:rPr>
        <w:t xml:space="preserve">, </w:t>
      </w:r>
      <w:r w:rsidRPr="00BA3894">
        <w:rPr>
          <w:i/>
          <w:iCs/>
          <w:noProof/>
          <w:szCs w:val="24"/>
        </w:rPr>
        <w:t>15</w:t>
      </w:r>
      <w:r w:rsidRPr="00BA3894">
        <w:rPr>
          <w:noProof/>
          <w:szCs w:val="24"/>
        </w:rPr>
        <w:t>(11). https://doi.org/10.1016/j.ygeno.2011.07.007</w:t>
      </w:r>
    </w:p>
    <w:p w14:paraId="44A725B5" w14:textId="77777777" w:rsidR="00BA3894" w:rsidRPr="00BA3894" w:rsidRDefault="00BA3894" w:rsidP="00BA3894">
      <w:pPr>
        <w:widowControl w:val="0"/>
        <w:autoSpaceDE w:val="0"/>
        <w:autoSpaceDN w:val="0"/>
        <w:adjustRightInd w:val="0"/>
        <w:spacing w:line="240" w:lineRule="auto"/>
        <w:ind w:left="480" w:hanging="480"/>
        <w:rPr>
          <w:noProof/>
          <w:szCs w:val="24"/>
        </w:rPr>
      </w:pPr>
      <w:r w:rsidRPr="00BA3894">
        <w:rPr>
          <w:noProof/>
          <w:szCs w:val="24"/>
        </w:rPr>
        <w:t xml:space="preserve">Johnson, W. E., Li, C., &amp; Rabinovic, A. (2007). Adjusting batch effects in microarray expression data using empirical Bayes methods. </w:t>
      </w:r>
      <w:r w:rsidRPr="00BA3894">
        <w:rPr>
          <w:i/>
          <w:iCs/>
          <w:noProof/>
          <w:szCs w:val="24"/>
        </w:rPr>
        <w:t>Biostatistics</w:t>
      </w:r>
      <w:r w:rsidRPr="00BA3894">
        <w:rPr>
          <w:noProof/>
          <w:szCs w:val="24"/>
        </w:rPr>
        <w:t xml:space="preserve">, </w:t>
      </w:r>
      <w:r w:rsidRPr="00BA3894">
        <w:rPr>
          <w:i/>
          <w:iCs/>
          <w:noProof/>
          <w:szCs w:val="24"/>
        </w:rPr>
        <w:t>8</w:t>
      </w:r>
      <w:r w:rsidRPr="00BA3894">
        <w:rPr>
          <w:noProof/>
          <w:szCs w:val="24"/>
        </w:rPr>
        <w:t>(1), 118–127. https://doi.org/10.1093/BIOSTATISTICS/KXJ037</w:t>
      </w:r>
    </w:p>
    <w:p w14:paraId="5B5E5E4E" w14:textId="77777777" w:rsidR="00BA3894" w:rsidRPr="00BA3894" w:rsidRDefault="00BA3894" w:rsidP="00BA3894">
      <w:pPr>
        <w:widowControl w:val="0"/>
        <w:autoSpaceDE w:val="0"/>
        <w:autoSpaceDN w:val="0"/>
        <w:adjustRightInd w:val="0"/>
        <w:spacing w:line="240" w:lineRule="auto"/>
        <w:ind w:left="480" w:hanging="480"/>
        <w:rPr>
          <w:noProof/>
        </w:rPr>
      </w:pPr>
      <w:r w:rsidRPr="00BA3894">
        <w:rPr>
          <w:noProof/>
          <w:szCs w:val="24"/>
        </w:rPr>
        <w:t xml:space="preserve">Pidsley, R., Zotenko, E., Peters, T. J., Lawrence, M. G., Risbridger, G. P., Molloy, P., … Clark, S. J. (2016). Critical evaluation of the Illumina MethylationEPIC BeadChip microarray for whole-genome DNA methylation profiling. </w:t>
      </w:r>
      <w:r w:rsidRPr="00BA3894">
        <w:rPr>
          <w:i/>
          <w:iCs/>
          <w:noProof/>
          <w:szCs w:val="24"/>
        </w:rPr>
        <w:t>Genome Biology</w:t>
      </w:r>
      <w:r w:rsidRPr="00BA3894">
        <w:rPr>
          <w:noProof/>
          <w:szCs w:val="24"/>
        </w:rPr>
        <w:t xml:space="preserve">, </w:t>
      </w:r>
      <w:r w:rsidRPr="00BA3894">
        <w:rPr>
          <w:i/>
          <w:iCs/>
          <w:noProof/>
          <w:szCs w:val="24"/>
        </w:rPr>
        <w:t>17</w:t>
      </w:r>
      <w:r w:rsidRPr="00BA3894">
        <w:rPr>
          <w:noProof/>
          <w:szCs w:val="24"/>
        </w:rPr>
        <w:t>(1), 1–17. https://doi.org/10.1186/s13059-016-1066-1</w:t>
      </w:r>
    </w:p>
    <w:p w14:paraId="5B9DAE03" w14:textId="42D063BB" w:rsidR="00BA3894" w:rsidRPr="00BA3894" w:rsidRDefault="00BA3894" w:rsidP="00BA3894">
      <w:r>
        <w:fldChar w:fldCharType="end"/>
      </w:r>
    </w:p>
    <w:sectPr w:rsidR="00BA3894" w:rsidRPr="00BA3894" w:rsidSect="005E04C1">
      <w:headerReference w:type="default" r:id="rId8"/>
      <w:footerReference w:type="default" r:id="rId9"/>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BED1A" w14:textId="77777777" w:rsidR="005E7714" w:rsidRDefault="005E7714" w:rsidP="00BA3894">
      <w:pPr>
        <w:spacing w:line="240" w:lineRule="auto"/>
      </w:pPr>
      <w:r>
        <w:separator/>
      </w:r>
    </w:p>
  </w:endnote>
  <w:endnote w:type="continuationSeparator" w:id="0">
    <w:p w14:paraId="4EDFFADB" w14:textId="77777777" w:rsidR="005E7714" w:rsidRDefault="005E7714" w:rsidP="00BA38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7857071"/>
      <w:docPartObj>
        <w:docPartGallery w:val="Page Numbers (Bottom of Page)"/>
        <w:docPartUnique/>
      </w:docPartObj>
    </w:sdtPr>
    <w:sdtEndPr>
      <w:rPr>
        <w:noProof/>
      </w:rPr>
    </w:sdtEndPr>
    <w:sdtContent>
      <w:p w14:paraId="3419DEB8" w14:textId="77777777" w:rsidR="00BA3894" w:rsidRDefault="00BA3894">
        <w:pPr>
          <w:pStyle w:val="Footer"/>
          <w:jc w:val="right"/>
        </w:pPr>
      </w:p>
      <w:p w14:paraId="6E300DA2" w14:textId="1C737FE2" w:rsidR="00BA3894" w:rsidRDefault="005E7714">
        <w:pPr>
          <w:pStyle w:val="Footer"/>
          <w:jc w:val="right"/>
        </w:pPr>
      </w:p>
    </w:sdtContent>
  </w:sdt>
  <w:p w14:paraId="18AAEB12" w14:textId="77777777" w:rsidR="00BA3894" w:rsidRDefault="00BA38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8179029"/>
      <w:docPartObj>
        <w:docPartGallery w:val="Page Numbers (Bottom of Page)"/>
        <w:docPartUnique/>
      </w:docPartObj>
    </w:sdtPr>
    <w:sdtEndPr>
      <w:rPr>
        <w:noProof/>
      </w:rPr>
    </w:sdtEndPr>
    <w:sdtContent>
      <w:p w14:paraId="455821C3" w14:textId="77777777" w:rsidR="00FA0FF8" w:rsidRDefault="00FA0FF8">
        <w:pPr>
          <w:pStyle w:val="Footer"/>
          <w:jc w:val="right"/>
        </w:pPr>
      </w:p>
      <w:p w14:paraId="61140D5B" w14:textId="77777777" w:rsidR="00FA0FF8" w:rsidRDefault="00FA0F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513BE4" w14:textId="77777777" w:rsidR="00FA0FF8" w:rsidRDefault="00FA0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95E44" w14:textId="77777777" w:rsidR="005E7714" w:rsidRDefault="005E7714" w:rsidP="00BA3894">
      <w:pPr>
        <w:spacing w:line="240" w:lineRule="auto"/>
      </w:pPr>
      <w:r>
        <w:separator/>
      </w:r>
    </w:p>
  </w:footnote>
  <w:footnote w:type="continuationSeparator" w:id="0">
    <w:p w14:paraId="6A3C4F12" w14:textId="77777777" w:rsidR="005E7714" w:rsidRDefault="005E7714" w:rsidP="00BA38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7084F" w14:textId="77777777" w:rsidR="00FA0FF8" w:rsidRDefault="00FA0F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A5B"/>
    <w:rsid w:val="00267E3D"/>
    <w:rsid w:val="003A7DC4"/>
    <w:rsid w:val="005E04C1"/>
    <w:rsid w:val="005E7714"/>
    <w:rsid w:val="00B101DB"/>
    <w:rsid w:val="00BA3894"/>
    <w:rsid w:val="00C66E62"/>
    <w:rsid w:val="00C86A5B"/>
    <w:rsid w:val="00FA0FF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5E300C"/>
  <w15:chartTrackingRefBased/>
  <w15:docId w15:val="{4C4ED8DC-F19D-412C-A267-7BC08EE2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4C1"/>
    <w:pPr>
      <w:spacing w:after="0" w:line="276" w:lineRule="auto"/>
    </w:pPr>
    <w:rPr>
      <w:rFonts w:ascii="Arial" w:eastAsia="Arial" w:hAnsi="Arial" w:cs="Arial"/>
      <w:lang w:val="en-US" w:eastAsia="nl-BE"/>
    </w:rPr>
  </w:style>
  <w:style w:type="paragraph" w:styleId="Heading1">
    <w:name w:val="heading 1"/>
    <w:basedOn w:val="Normal"/>
    <w:next w:val="Normal"/>
    <w:link w:val="Heading1Char"/>
    <w:uiPriority w:val="9"/>
    <w:qFormat/>
    <w:rsid w:val="005E04C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04C1"/>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5E04C1"/>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04C1"/>
    <w:rPr>
      <w:rFonts w:ascii="Arial" w:eastAsia="Arial" w:hAnsi="Arial" w:cs="Arial"/>
      <w:sz w:val="32"/>
      <w:szCs w:val="32"/>
      <w:lang w:val="en-US" w:eastAsia="nl-BE"/>
    </w:rPr>
  </w:style>
  <w:style w:type="character" w:customStyle="1" w:styleId="Heading3Char">
    <w:name w:val="Heading 3 Char"/>
    <w:basedOn w:val="DefaultParagraphFont"/>
    <w:link w:val="Heading3"/>
    <w:uiPriority w:val="9"/>
    <w:rsid w:val="005E04C1"/>
    <w:rPr>
      <w:rFonts w:ascii="Arial" w:eastAsia="Arial" w:hAnsi="Arial" w:cs="Arial"/>
      <w:color w:val="434343"/>
      <w:sz w:val="28"/>
      <w:szCs w:val="28"/>
      <w:lang w:val="en-US" w:eastAsia="nl-BE"/>
    </w:rPr>
  </w:style>
  <w:style w:type="character" w:customStyle="1" w:styleId="Heading1Char">
    <w:name w:val="Heading 1 Char"/>
    <w:basedOn w:val="DefaultParagraphFont"/>
    <w:link w:val="Heading1"/>
    <w:uiPriority w:val="9"/>
    <w:rsid w:val="005E04C1"/>
    <w:rPr>
      <w:rFonts w:asciiTheme="majorHAnsi" w:eastAsiaTheme="majorEastAsia" w:hAnsiTheme="majorHAnsi" w:cstheme="majorBidi"/>
      <w:color w:val="2F5496" w:themeColor="accent1" w:themeShade="BF"/>
      <w:sz w:val="32"/>
      <w:szCs w:val="32"/>
      <w:lang w:val="en-US" w:eastAsia="nl-BE"/>
    </w:rPr>
  </w:style>
  <w:style w:type="paragraph" w:styleId="TOCHeading">
    <w:name w:val="TOC Heading"/>
    <w:basedOn w:val="Heading1"/>
    <w:next w:val="Normal"/>
    <w:uiPriority w:val="39"/>
    <w:unhideWhenUsed/>
    <w:qFormat/>
    <w:rsid w:val="005E04C1"/>
    <w:pPr>
      <w:spacing w:line="259" w:lineRule="auto"/>
      <w:outlineLvl w:val="9"/>
    </w:pPr>
    <w:rPr>
      <w:lang w:eastAsia="en-US"/>
    </w:rPr>
  </w:style>
  <w:style w:type="paragraph" w:styleId="TOC1">
    <w:name w:val="toc 1"/>
    <w:basedOn w:val="Normal"/>
    <w:next w:val="Normal"/>
    <w:autoRedefine/>
    <w:uiPriority w:val="39"/>
    <w:unhideWhenUsed/>
    <w:rsid w:val="005E04C1"/>
    <w:pPr>
      <w:spacing w:after="100"/>
    </w:pPr>
  </w:style>
  <w:style w:type="paragraph" w:styleId="TOC2">
    <w:name w:val="toc 2"/>
    <w:basedOn w:val="Normal"/>
    <w:next w:val="Normal"/>
    <w:autoRedefine/>
    <w:uiPriority w:val="39"/>
    <w:unhideWhenUsed/>
    <w:rsid w:val="005E04C1"/>
    <w:pPr>
      <w:spacing w:after="100"/>
      <w:ind w:left="220"/>
    </w:pPr>
  </w:style>
  <w:style w:type="character" w:styleId="Hyperlink">
    <w:name w:val="Hyperlink"/>
    <w:basedOn w:val="DefaultParagraphFont"/>
    <w:uiPriority w:val="99"/>
    <w:unhideWhenUsed/>
    <w:rsid w:val="005E04C1"/>
    <w:rPr>
      <w:color w:val="0563C1" w:themeColor="hyperlink"/>
      <w:u w:val="single"/>
    </w:rPr>
  </w:style>
  <w:style w:type="paragraph" w:styleId="Header">
    <w:name w:val="header"/>
    <w:basedOn w:val="Normal"/>
    <w:link w:val="HeaderChar"/>
    <w:uiPriority w:val="99"/>
    <w:unhideWhenUsed/>
    <w:rsid w:val="00BA3894"/>
    <w:pPr>
      <w:tabs>
        <w:tab w:val="center" w:pos="4536"/>
        <w:tab w:val="right" w:pos="9072"/>
      </w:tabs>
      <w:spacing w:line="240" w:lineRule="auto"/>
    </w:pPr>
  </w:style>
  <w:style w:type="character" w:customStyle="1" w:styleId="HeaderChar">
    <w:name w:val="Header Char"/>
    <w:basedOn w:val="DefaultParagraphFont"/>
    <w:link w:val="Header"/>
    <w:uiPriority w:val="99"/>
    <w:rsid w:val="00BA3894"/>
    <w:rPr>
      <w:rFonts w:ascii="Arial" w:eastAsia="Arial" w:hAnsi="Arial" w:cs="Arial"/>
      <w:lang w:val="en-US" w:eastAsia="nl-BE"/>
    </w:rPr>
  </w:style>
  <w:style w:type="paragraph" w:styleId="Footer">
    <w:name w:val="footer"/>
    <w:basedOn w:val="Normal"/>
    <w:link w:val="FooterChar"/>
    <w:uiPriority w:val="99"/>
    <w:unhideWhenUsed/>
    <w:rsid w:val="00BA3894"/>
    <w:pPr>
      <w:tabs>
        <w:tab w:val="center" w:pos="4536"/>
        <w:tab w:val="right" w:pos="9072"/>
      </w:tabs>
      <w:spacing w:line="240" w:lineRule="auto"/>
    </w:pPr>
  </w:style>
  <w:style w:type="character" w:customStyle="1" w:styleId="FooterChar">
    <w:name w:val="Footer Char"/>
    <w:basedOn w:val="DefaultParagraphFont"/>
    <w:link w:val="Footer"/>
    <w:uiPriority w:val="99"/>
    <w:rsid w:val="00BA3894"/>
    <w:rPr>
      <w:rFonts w:ascii="Arial" w:eastAsia="Arial" w:hAnsi="Arial" w:cs="Arial"/>
      <w:lang w:val="en-US"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26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5DB7D-ED19-4531-B6A0-AD43F1A86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1142</Words>
  <Characters>6690</Characters>
  <Application>Microsoft Office Word</Application>
  <DocSecurity>0</DocSecurity>
  <Lines>105</Lines>
  <Paragraphs>23</Paragraphs>
  <ScaleCrop>false</ScaleCrop>
  <HeadingPairs>
    <vt:vector size="2" baseType="variant">
      <vt:variant>
        <vt:lpstr>Title</vt:lpstr>
      </vt:variant>
      <vt:variant>
        <vt:i4>1</vt:i4>
      </vt:variant>
    </vt:vector>
  </HeadingPairs>
  <TitlesOfParts>
    <vt:vector size="1" baseType="lpstr">
      <vt:lpstr/>
    </vt:vector>
  </TitlesOfParts>
  <Company>UHasselt</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BARTH Kathrin</dc:creator>
  <cp:keywords/>
  <dc:description/>
  <cp:lastModifiedBy>BARTH Kathrin</cp:lastModifiedBy>
  <cp:revision>6</cp:revision>
  <cp:lastPrinted>2025-08-14T13:45:00Z</cp:lastPrinted>
  <dcterms:created xsi:type="dcterms:W3CDTF">2025-08-14T09:19:00Z</dcterms:created>
  <dcterms:modified xsi:type="dcterms:W3CDTF">2025-08-14T13:46:00Z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d9db180f-6787-4037-9f1c-096469b1ae92</vt:lpwstr>
  </property>
  <property fmtid="{D5CDD505-2E9C-101B-9397-08002B2CF9AE}" pid="3" name="Mendeley Document_1">
    <vt:lpwstr>True</vt:lpwstr>
  </property>
  <property fmtid="{D5CDD505-2E9C-101B-9397-08002B2CF9AE}" pid="4" name="Mendeley Unique User Id_1">
    <vt:lpwstr>485b1b3a-3ca7-3ef4-827a-686328170f3d</vt:lpwstr>
  </property>
  <property fmtid="{D5CDD505-2E9C-101B-9397-08002B2CF9AE}" pid="5" name="Mendeley Citation Style_1">
    <vt:lpwstr>http://www.zotero.org/styles/apa-6th-edition</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http://www.zotero.org/styles/apa-6th-edition</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