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396B"/>
          <w:sz w:val="56"/>
        </w:rPr>
        <w:t>LithoVault Yellow Paper</w:t>
      </w:r>
    </w:p>
    <w:p>
      <w:pPr>
        <w:jc w:val="center"/>
      </w:pPr>
      <w:r>
        <w:rPr>
          <w:b/>
          <w:sz w:val="32"/>
        </w:rPr>
        <w:t>Autonomous Treasury Infrastructure for Lithosphere</w:t>
      </w:r>
    </w:p>
    <w:p>
      <w:pPr>
        <w:jc w:val="center"/>
      </w:pPr>
      <w:r>
        <w:rPr>
          <w:sz w:val="24"/>
        </w:rPr>
        <w:t>Enterprise-grade vaults, governed AI execution, DNNS identity, APP payment rails, and MultX cross-chain treasury settlement</w:t>
      </w:r>
    </w:p>
    <w:p>
      <w:pPr>
        <w:jc w:val="center"/>
      </w:pPr>
      <w:r>
        <w:rPr>
          <w:sz w:val="22"/>
        </w:rPr>
        <w:t>Version 0.9 draft — March 30, 2026</w:t>
      </w:r>
    </w:p>
    <w:p>
      <w:pPr>
        <w:jc w:val="center"/>
      </w:pPr>
      <w:r>
        <w:rPr>
          <w:sz w:val="22"/>
        </w:rPr>
        <w:t>Reference network: Lithosphere Makalu — Chain ID 700777 — RPC https://rpc.litho.ai</w:t>
      </w:r>
    </w:p>
    <w:p/>
    <w:p/>
    <w:p/>
    <w:p/>
    <w:p/>
    <w:tbl>
      <w:tblPr>
        <w:tblStyle w:val="TableGrid"/>
        <w:tblW w:type="auto" w:w="0"/>
        <w:tblLook w:firstColumn="1" w:firstRow="1" w:lastColumn="0" w:lastRow="0" w:noHBand="0" w:noVBand="1" w:val="04A0"/>
      </w:tblPr>
      <w:tblGrid>
        <w:gridCol w:w="4896"/>
        <w:gridCol w:w="4896"/>
      </w:tblGrid>
      <w:tr>
        <w:tc>
          <w:tcPr>
            <w:tcW w:type="dxa" w:w="4896"/>
          </w:tcPr>
          <w:p>
            <w:r>
              <w:t>Product</w:t>
            </w:r>
          </w:p>
        </w:tc>
        <w:tc>
          <w:tcPr>
            <w:tcW w:type="dxa" w:w="4896"/>
          </w:tcPr>
          <w:p>
            <w:r>
              <w:t>LithoVault</w:t>
            </w:r>
          </w:p>
        </w:tc>
      </w:tr>
      <w:tr>
        <w:tc>
          <w:tcPr>
            <w:tcW w:type="dxa" w:w="4896"/>
          </w:tcPr>
          <w:p>
            <w:r>
              <w:t>Positioning</w:t>
            </w:r>
          </w:p>
        </w:tc>
        <w:tc>
          <w:tcPr>
            <w:tcW w:type="dxa" w:w="4896"/>
          </w:tcPr>
          <w:p>
            <w:r>
              <w:t>Autonomous CFO and treasury operating system</w:t>
            </w:r>
          </w:p>
        </w:tc>
      </w:tr>
      <w:tr>
        <w:tc>
          <w:tcPr>
            <w:tcW w:type="dxa" w:w="4896"/>
          </w:tcPr>
          <w:p>
            <w:r>
              <w:t>Core dependencies</w:t>
            </w:r>
          </w:p>
        </w:tc>
        <w:tc>
          <w:tcPr>
            <w:tcW w:type="dxa" w:w="4896"/>
          </w:tcPr>
          <w:p>
            <w:r>
              <w:t>Lithosphere, DNNS, MultX, APP, Quantt pipelines</w:t>
            </w:r>
          </w:p>
        </w:tc>
      </w:tr>
      <w:tr>
        <w:tc>
          <w:tcPr>
            <w:tcW w:type="dxa" w:w="4896"/>
          </w:tcPr>
          <w:p>
            <w:r>
              <w:t>Target users</w:t>
            </w:r>
          </w:p>
        </w:tc>
        <w:tc>
          <w:tcPr>
            <w:tcW w:type="dxa" w:w="4896"/>
          </w:tcPr>
          <w:p>
            <w:r>
              <w:t>Enterprises, DAOs, treasury teams, professional on-chain allocators</w:t>
            </w:r>
          </w:p>
        </w:tc>
      </w:tr>
      <w:tr>
        <w:tc>
          <w:tcPr>
            <w:tcW w:type="dxa" w:w="4896"/>
          </w:tcPr>
          <w:p>
            <w:r>
              <w:t>Repository deliverables</w:t>
            </w:r>
          </w:p>
        </w:tc>
        <w:tc>
          <w:tcPr>
            <w:tcW w:type="dxa" w:w="4896"/>
          </w:tcPr>
          <w:p>
            <w:r>
              <w:t>Web app, mobile app, API, SDKs, CLI, contracts, deployment manifests</w:t>
            </w:r>
          </w:p>
        </w:tc>
      </w:tr>
    </w:tbl>
    <w:p>
      <w:r>
        <w:br w:type="page"/>
      </w:r>
    </w:p>
    <w:p>
      <w:pPr>
        <w:pStyle w:val="Heading1"/>
      </w:pPr>
      <w:r>
        <w:t>Table of Contents</w:t>
      </w:r>
    </w:p>
    <w:p>
      <w:r>
        <w:t>This draft is generated for repository packaging. Update the automatic TOC in Word if needed for a field-based table of contents.</w:t>
      </w:r>
    </w:p>
    <w:p>
      <w:r>
        <w:br w:type="page"/>
      </w:r>
    </w:p>
    <w:p>
      <w:pPr>
        <w:pStyle w:val="Heading1"/>
      </w:pPr>
      <w:r>
        <w:t>1. Executive Summary</w:t>
      </w:r>
    </w:p>
    <w:p>
      <w:r>
        <w:rPr>
          <w:b/>
        </w:rPr>
        <w:t xml:space="preserve">1. Executive Summary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Vision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System thesis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Deliverables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2. Problem Statement</w:t>
      </w:r>
    </w:p>
    <w:p>
      <w:r>
        <w:rPr>
          <w:b/>
        </w:rPr>
        <w:t xml:space="preserve">2. Problem Statement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Operational pain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Market structure</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Why existing tools fall short</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3. Design Principles</w:t>
      </w:r>
    </w:p>
    <w:p>
      <w:r>
        <w:rPr>
          <w:b/>
        </w:rPr>
        <w:t xml:space="preserve">3. Design Principles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Determinism</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Composability</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Human override</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4. System Architecture</w:t>
      </w:r>
    </w:p>
    <w:p>
      <w:r>
        <w:rPr>
          <w:b/>
        </w:rPr>
        <w:t xml:space="preserve">4. System Architecture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Control plane</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Execution plane</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Observability plane</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5. Vault Model</w:t>
      </w:r>
    </w:p>
    <w:p>
      <w:r>
        <w:rPr>
          <w:b/>
        </w:rPr>
        <w:t xml:space="preserve">5. Vault Model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Balances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Policies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Jobs and queues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6. Governance and Roles</w:t>
      </w:r>
    </w:p>
    <w:p>
      <w:r>
        <w:rPr>
          <w:b/>
        </w:rPr>
        <w:t xml:space="preserve">6. Governance and Roles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Signer groups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Delegated limits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Emergency controls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7. APP Payment Rail Integration</w:t>
      </w:r>
    </w:p>
    <w:p>
      <w:r>
        <w:rPr>
          <w:b/>
        </w:rPr>
        <w:t xml:space="preserve">7. APP Payment Rail Integration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Intent accounting</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Payment jobs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Attribution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8. DNNS Identity Model</w:t>
      </w:r>
    </w:p>
    <w:p>
      <w:r>
        <w:rPr>
          <w:b/>
        </w:rPr>
        <w:t xml:space="preserve">8. DNNS Identity Model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Agent identities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Vault namespaces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Controller rotation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9. Quantt Intelligence Layer</w:t>
      </w:r>
    </w:p>
    <w:p>
      <w:r>
        <w:rPr>
          <w:b/>
        </w:rPr>
        <w:t xml:space="preserve">9. Quantt Intelligence Layer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Signal ingestion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Consensus logic</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Decision export</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10. Strategy Engine</w:t>
      </w:r>
    </w:p>
    <w:p>
      <w:r>
        <w:rPr>
          <w:b/>
        </w:rPr>
        <w:t xml:space="preserve">10. Strategy Engine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Yield</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Rebalancing</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Risk reduction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11. DeFi Adapter Layer</w:t>
      </w:r>
    </w:p>
    <w:p>
      <w:r>
        <w:rPr>
          <w:b/>
        </w:rPr>
        <w:t xml:space="preserve">11. DeFi Adapter Layer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wLITHO</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Stablecoin operations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AMM positions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12. MultX Cross-Chain Coordination</w:t>
      </w:r>
    </w:p>
    <w:p>
      <w:r>
        <w:rPr>
          <w:b/>
        </w:rPr>
        <w:t xml:space="preserve">12. MultX Cross-Chain Coordination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Bridge intents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Validator attestations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Finalization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13. ZK Identity Extension</w:t>
      </w:r>
    </w:p>
    <w:p>
      <w:r>
        <w:rPr>
          <w:b/>
        </w:rPr>
        <w:t xml:space="preserve">13. ZK Identity Extension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Commitments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Membership proofs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Nullifiers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14. Risk Framework</w:t>
      </w:r>
    </w:p>
    <w:p>
      <w:r>
        <w:rPr>
          <w:b/>
        </w:rPr>
        <w:t xml:space="preserve">14. Risk Framework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Concentration limits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Bridge caps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Circuit breakers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15. Accounting and Reporting</w:t>
      </w:r>
    </w:p>
    <w:p>
      <w:r>
        <w:rPr>
          <w:b/>
        </w:rPr>
        <w:t xml:space="preserve">15. Accounting and Reporting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P&amp;L</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Board reporting</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Forensics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16. API, SDK, and CLI</w:t>
      </w:r>
    </w:p>
    <w:p>
      <w:r>
        <w:rPr>
          <w:b/>
        </w:rPr>
        <w:t xml:space="preserve">16. API, SDK, and CLI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Interfaces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Automation</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Operator ergonomics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17. Web and Mobile Experience</w:t>
      </w:r>
    </w:p>
    <w:p>
      <w:r>
        <w:rPr>
          <w:b/>
        </w:rPr>
        <w:t xml:space="preserve">17. Web and Mobile Experience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Dashboard</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Approvals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Alerts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18. Reference Smart Contracts</w:t>
      </w:r>
    </w:p>
    <w:p>
      <w:r>
        <w:rPr>
          <w:b/>
        </w:rPr>
        <w:t xml:space="preserve">18. Reference Smart Contracts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Vault</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Governor</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Registry</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19. Deployment Topology</w:t>
      </w:r>
    </w:p>
    <w:p>
      <w:r>
        <w:rPr>
          <w:b/>
        </w:rPr>
        <w:t xml:space="preserve">19. Deployment Topology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Makalu staging</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Production hardening</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Ops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20. Security Analysis</w:t>
      </w:r>
    </w:p>
    <w:p>
      <w:r>
        <w:rPr>
          <w:b/>
        </w:rPr>
        <w:t xml:space="preserve">20. Security Analysis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Threat model</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Assumptions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Residual risks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21. Economic Model</w:t>
      </w:r>
    </w:p>
    <w:p>
      <w:r>
        <w:rPr>
          <w:b/>
        </w:rPr>
        <w:t xml:space="preserve">21. Economic Model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Fee flows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Inference budgets</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Treasury ROI</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22. Roadmap</w:t>
      </w:r>
    </w:p>
    <w:p>
      <w:r>
        <w:rPr>
          <w:b/>
        </w:rPr>
        <w:t xml:space="preserve">22. Roadmap presents the reference design for LithoVault within a governed enterprise treasury context. </w:t>
      </w:r>
      <w:r>
        <w:t>The discussion assumes a deployment on Lithosphere Makalu and uses APP, DNNS, and MultX-compatible interfaces as foundational coordination layers.</w:t>
      </w:r>
    </w:p>
    <w:p>
      <w:pPr>
        <w:pStyle w:val="Heading2"/>
      </w:pPr>
      <w:r>
        <w:t>Near term</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Medium term</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2"/>
      </w:pPr>
      <w:r>
        <w:t>Research agenda</w:t>
      </w:r>
    </w:p>
    <w:p>
      <w:pPr>
        <w:spacing w:after="120"/>
      </w:pPr>
      <w:r>
        <w:t>LithoVault treats treasury management as a controlled execution problem in which intent, policy, simulation, authorization, and settlement are separate stages that can be logged and reviewed independently. 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w:t>
      </w:r>
    </w:p>
    <w:p>
      <w:pPr>
        <w:spacing w:after="120"/>
      </w:pPr>
      <w:r>
        <w:t>The platform is designed so that AI systems never become unbounded operators; every recommendation is expressed as a typed treasury intent, scored by confidence, constrained by policy, and either executed under delegated limits or escalated to governance. 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w:t>
      </w:r>
    </w:p>
    <w:p>
      <w:pPr>
        <w:spacing w:after="120"/>
      </w:pPr>
      <w:r>
        <w:t>By separating vault state from strategy logic and by separating strategy logic from bridge and protocol adapters, the system can evolve individual components without invalidating accounting or governance assumptions. 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w:t>
      </w:r>
    </w:p>
    <w:p>
      <w:pPr>
        <w:spacing w:after="120"/>
      </w:pPr>
      <w:r>
        <w:t>A treasury deployment can map each business unit, legal entity, or mandate to an isolated vault with its own policy envelope, signer set, asset list, reporting cadence, and permissible protocol adapters. 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w:t>
      </w:r>
    </w:p>
    <w:p>
      <w:pPr>
        <w:spacing w:after="120"/>
      </w:pPr>
      <w:r>
        <w:t>The intended operational benefit is not merely higher yield but tighter control over how liquidity moves, why it moves, and what evidence remains after the fact. 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w:t>
      </w:r>
    </w:p>
    <w:p>
      <w:pPr>
        <w:spacing w:after="120"/>
      </w:pPr>
      <w:r>
        <w:t>DNNS naming provides human-readable attachment points for agents, teams, and treasury domains, allowing operators to reason about autonomous actions using recognizable addresses rather than opaque execution identifiers alone. 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MultX-style relay flows are used to express cross-chain instructions as observed events, validator attestations, relay payloads, and destination chain finalization steps, which aligns naturally with enterprise audit requirements. 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spacing w:after="120"/>
      </w:pPr>
      <w:r>
        <w:t>A production deployment should assume volatile market conditions, partial outages, oracle lag, and sudden liquidity changes; therefore the design emphasizes degraded-mode safety, pause semantics, and strict role separation. Quantt model pipelines are intentionally multi-model because treasury decisions often involve competing objectives such as preserving liquidity, maximizing net yield, minimizing bridge exposure, and honoring board-defined concentration limits. The whitepaper focuses on the reference deployment on Makalu, but most interfaces are chain-agnostic and can be extended to additional EVM environments once protocol adapter and risk controls are validated.</w:t>
      </w:r>
    </w:p>
    <w:p>
      <w:pPr>
        <w:pStyle w:val="ListBullet"/>
      </w:pPr>
      <w:r>
        <w:t>Policy evaluation precedes execution and determines whether an action can be delegated, queued, rate-limited, or rejected.</w:t>
      </w:r>
    </w:p>
    <w:p>
      <w:pPr>
        <w:pStyle w:val="ListBullet"/>
      </w:pPr>
      <w:r>
        <w:t>Every material state transition emits a structured event so that operators can reconstruct what happened without depending on off-chain memory.</w:t>
      </w:r>
    </w:p>
    <w:p>
      <w:pPr>
        <w:pStyle w:val="ListBullet"/>
      </w:pPr>
      <w:r>
        <w:t>Execution adapters must be replaceable and versioned to avoid coupling treasury accounting to any single DeFi venue or bridge implementation.</w:t>
      </w:r>
    </w:p>
    <w:tbl>
      <w:tblPr>
        <w:tblStyle w:val="TableGrid"/>
        <w:tblW w:type="auto" w:w="0"/>
        <w:tblLook w:firstColumn="1" w:firstRow="1" w:lastColumn="0" w:lastRow="0" w:noHBand="0" w:noVBand="1" w:val="04A0"/>
      </w:tblPr>
      <w:tblGrid>
        <w:gridCol w:w="3264"/>
        <w:gridCol w:w="3264"/>
        <w:gridCol w:w="3264"/>
      </w:tblGrid>
      <w:tr>
        <w:tc>
          <w:tcPr>
            <w:tcW w:type="dxa" w:w="3264"/>
          </w:tcPr>
          <w:p>
            <w:r>
              <w:t>Control</w:t>
            </w:r>
          </w:p>
        </w:tc>
        <w:tc>
          <w:tcPr>
            <w:tcW w:type="dxa" w:w="3264"/>
          </w:tcPr>
          <w:p>
            <w:r>
              <w:t>Objective</w:t>
            </w:r>
          </w:p>
        </w:tc>
        <w:tc>
          <w:tcPr>
            <w:tcW w:type="dxa" w:w="3264"/>
          </w:tcPr>
          <w:p>
            <w:r>
              <w:t>Reference behavior</w:t>
            </w:r>
          </w:p>
        </w:tc>
      </w:tr>
      <w:tr>
        <w:tc>
          <w:tcPr>
            <w:tcW w:type="dxa" w:w="3264"/>
          </w:tcPr>
          <w:p>
            <w:r>
              <w:t>Policy envelope</w:t>
            </w:r>
          </w:p>
        </w:tc>
        <w:tc>
          <w:tcPr>
            <w:tcW w:type="dxa" w:w="3264"/>
          </w:tcPr>
          <w:p>
            <w:r>
              <w:t>Bound autonomous actions</w:t>
            </w:r>
          </w:p>
        </w:tc>
        <w:tc>
          <w:tcPr>
            <w:tcW w:type="dxa" w:w="3264"/>
          </w:tcPr>
          <w:p>
            <w:r>
              <w:t>Reject moves outside board-approved thresholds</w:t>
            </w:r>
          </w:p>
        </w:tc>
      </w:tr>
      <w:tr>
        <w:tc>
          <w:tcPr>
            <w:tcW w:type="dxa" w:w="3264"/>
          </w:tcPr>
          <w:p>
            <w:r>
              <w:t>Simulation</w:t>
            </w:r>
          </w:p>
        </w:tc>
        <w:tc>
          <w:tcPr>
            <w:tcW w:type="dxa" w:w="3264"/>
          </w:tcPr>
          <w:p>
            <w:r>
              <w:t>Pre-trade validation</w:t>
            </w:r>
          </w:p>
        </w:tc>
        <w:tc>
          <w:tcPr>
            <w:tcW w:type="dxa" w:w="3264"/>
          </w:tcPr>
          <w:p>
            <w:r>
              <w:t>Estimate route, slippage, and failure modes</w:t>
            </w:r>
          </w:p>
        </w:tc>
      </w:tr>
      <w:tr>
        <w:tc>
          <w:tcPr>
            <w:tcW w:type="dxa" w:w="3264"/>
          </w:tcPr>
          <w:p>
            <w:r>
              <w:t>Attestation log</w:t>
            </w:r>
          </w:p>
        </w:tc>
        <w:tc>
          <w:tcPr>
            <w:tcW w:type="dxa" w:w="3264"/>
          </w:tcPr>
          <w:p>
            <w:r>
              <w:t>Auditability</w:t>
            </w:r>
          </w:p>
        </w:tc>
        <w:tc>
          <w:tcPr>
            <w:tcW w:type="dxa" w:w="3264"/>
          </w:tcPr>
          <w:p>
            <w:r>
              <w:t>Persist model vote, signer approval, and transaction hash</w:t>
            </w:r>
          </w:p>
        </w:tc>
      </w:tr>
    </w:tbl>
    <w:p/>
    <w:p>
      <w:pPr>
        <w:pStyle w:val="Heading1"/>
      </w:pPr>
      <w:r>
        <w:t>Appendix A. State and Interface Summary</w:t>
      </w:r>
    </w:p>
    <w:p>
      <w:r>
        <w:t>Vault state includes balances, policy identifiers, execution queue pointers, strategy permissions, and accounting snapshots.</w:t>
      </w:r>
    </w:p>
    <w:p>
      <w:r>
        <w:t>Registry state includes DNNS name, controller, zk commitment root reference, and metadata URI.</w:t>
      </w:r>
    </w:p>
    <w:p>
      <w:r>
        <w:t>Bridge intent state includes source vault, destination domain, payload hash, attestation threshold, and settlement receipt.</w:t>
      </w:r>
    </w:p>
    <w:p>
      <w:pPr>
        <w:pStyle w:val="Heading1"/>
      </w:pPr>
      <w:r>
        <w:t>Appendix B. References</w:t>
      </w:r>
    </w:p>
    <w:p>
      <w:pPr>
        <w:pStyle w:val="ListNumber"/>
      </w:pPr>
      <w:r>
        <w:t>MultX Protocol documentation, multx.litho.ai, accessed March 30, 2026.</w:t>
      </w:r>
    </w:p>
    <w:p>
      <w:pPr>
        <w:pStyle w:val="ListNumber"/>
      </w:pPr>
      <w:r>
        <w:t>Integrating MultX for Cross-Chain Governance &amp; Treasury Management, multx.litho.ai, accessed March 30, 2026.</w:t>
      </w:r>
    </w:p>
    <w:p>
      <w:pPr>
        <w:pStyle w:val="ListNumber"/>
      </w:pPr>
      <w:r>
        <w:t>Lithosphere whitepaper v2.0, paper.litho.ai, accessed March 30, 2026.</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LithoVault Yellow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