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1F4E79" w:sz="12" w:space="12"/>
        </w:pBdr>
        <w:spacing w:after="0" w:before="3000"/>
        <w:jc w:val="center"/>
      </w:pPr>
      <w:r>
        <w:rPr>
          <w:b/>
          <w:bCs/>
          <w:color w:val="1F4E79"/>
          <w:sz w:val="54"/>
          <w:szCs w:val="54"/>
        </w:rPr>
        <w:t xml:space="preserve">MÉMO DE RÉVISION</w:t>
      </w:r>
    </w:p>
    <w:p>
      <w:pPr>
        <w:spacing w:after="280" w:before="220"/>
        <w:jc w:val="center"/>
      </w:pPr>
      <w:r>
        <w:rPr>
          <w:b/>
          <w:bCs/>
          <w:color w:val="2E5E8C"/>
          <w:sz w:val="34"/>
          <w:szCs w:val="34"/>
        </w:rPr>
        <w:t xml:space="preserve">Harbor + Terraform + Pipeline CI sécurisée</w:t>
      </w:r>
    </w:p>
    <w:p>
      <w:pPr>
        <w:spacing w:after="160"/>
        <w:jc w:val="center"/>
      </w:pPr>
      <w:r>
        <w:rPr>
          <w:color w:val="444444"/>
          <w:sz w:val="26"/>
          <w:szCs w:val="26"/>
        </w:rPr>
        <w:t xml:space="preserve">TP DevSecOps — préparation à l’oral</w:t>
      </w:r>
    </w:p>
    <w:p>
      <w:pPr>
        <w:spacing w:after="2600"/>
        <w:jc w:val="center"/>
      </w:pPr>
      <w:r>
        <w:rPr>
          <w:i/>
          <w:iCs/>
          <w:color w:val="666666"/>
          <w:sz w:val="20"/>
          <w:szCs w:val="20"/>
        </w:rPr>
        <w:t xml:space="preserve">IaC (Terraform/Helm) · CI sécurisée (lint·SAST·CVE·DAST·signature) · Observabilité</w:t>
      </w:r>
    </w:p>
    <w:p>
      <w:pPr>
        <w:spacing w:after="80"/>
        <w:jc w:val="center"/>
      </w:pPr>
      <w:r>
        <w:rPr>
          <w:b/>
          <w:bCs/>
          <w:sz w:val="26"/>
          <w:szCs w:val="26"/>
        </w:rPr>
        <w:t xml:space="preserve">Dylan TREPON</w:t>
      </w:r>
    </w:p>
    <w:p>
      <w:pPr>
        <w:spacing w:after="60"/>
        <w:jc w:val="center"/>
      </w:pPr>
      <w:r>
        <w:rPr>
          <w:color w:val="666666"/>
          <w:sz w:val="20"/>
          <w:szCs w:val="20"/>
        </w:rPr>
        <w:t xml:space="preserve">Dépôt : github.com/KaTaKuRi-31/harbor-devsecops</w:t>
      </w:r>
    </w:p>
    <w:p>
      <w:pPr>
        <w:sectPr>
          <w:pgSz w:w="11906" w:h="16838" w:orient="portrait"/>
          <w:pgMar w:top="1134" w:right="1134" w:bottom="1134" w:left="1134" w:header="708" w:footer="708" w:gutter="0"/>
          <w:pgNumType/>
          <w:docGrid w:linePitch="360"/>
        </w:sectPr>
      </w:pPr>
    </w:p>
    <w:p>
      <w:pPr>
        <w:pStyle w:val="Heading1"/>
        <w:spacing w:after="160"/>
      </w:pPr>
      <w:r>
        <w:t xml:space="preserve">Sommaire</w:t>
      </w:r>
    </w:p>
    <w:sdt>
      <w:sdtPr>
        <w:alias w:val="Sommaire"/>
      </w:sdtPr>
      <w:sdtContent>
        <w:p>
          <w:r>
            <w:fldChar w:fldCharType="begin" w:dirty="true"/>
            <w:instrText xml:space="preserve">TOC \h \o "1-2"</w:instrText>
            <w:fldChar w:fldCharType="separate"/>
          </w:r>
        </w:p>
        <w:p>
          <w:r>
            <w:fldChar w:fldCharType="end"/>
          </w:r>
        </w:p>
      </w:sdtContent>
    </w:sdt>
    <w:p>
      <w:pPr>
        <w:pStyle w:val="Heading1"/>
        <w:pageBreakBefore/>
        <w:spacing w:after="160" w:before="320"/>
      </w:pPr>
      <w:r>
        <w:t xml:space="preserve">1. Vue d’ensemble : de quoi parle ce projet ?</w:t>
      </w:r>
    </w:p>
    <w:p>
      <w:pPr>
        <w:spacing w:after="120" w:line="300"/>
        <w:jc w:val="both"/>
      </w:pPr>
      <w:r>
        <w:t xml:space="preserve">Le projet met en place, de façon entièrement automatisée, un </w:t>
      </w:r>
      <w:r>
        <w:rPr>
          <w:b/>
          <w:bCs/>
        </w:rPr>
        <w:t xml:space="preserve">registre d’images Docker d’entreprise (Harbor)</w:t>
      </w:r>
      <w:r>
        <w:t xml:space="preserve">, et tout l’écosystème de sécurité et de surveillance autour. Quatre briques s’enchaînent :</w:t>
      </w:r>
    </w:p>
    <w:p>
      <w:pPr>
        <w:pStyle w:val="ListParagraph"/>
        <w:numPr>
          <w:ilvl w:val="0"/>
          <w:numId w:val="2"/>
        </w:numPr>
        <w:spacing w:after="80" w:line="290"/>
        <w:jc w:val="both"/>
      </w:pPr>
      <w:r>
        <w:rPr>
          <w:b/>
          <w:bCs/>
        </w:rPr>
        <w:t xml:space="preserve">Un entrepôt d’images</w:t>
      </w:r>
      <w:r>
        <w:t xml:space="preserve"> : Harbor stocke les images Docker (les applications empaquetées) et les scanne à la recherche de vulnérabilités.</w:t>
      </w:r>
    </w:p>
    <w:p>
      <w:pPr>
        <w:pStyle w:val="ListParagraph"/>
        <w:numPr>
          <w:ilvl w:val="0"/>
          <w:numId w:val="2"/>
        </w:numPr>
        <w:spacing w:after="80" w:line="290"/>
        <w:jc w:val="both"/>
      </w:pPr>
      <w:r>
        <w:rPr>
          <w:b/>
          <w:bCs/>
        </w:rPr>
        <w:t xml:space="preserve">Une installation automatique (IaC)</w:t>
      </w:r>
      <w:r>
        <w:t xml:space="preserve"> : Terraform + Helm déploient Harbor et la surveillance sur un mini-Kubernetes (k3s/k3d), de façon reproductible.</w:t>
      </w:r>
    </w:p>
    <w:p>
      <w:pPr>
        <w:pStyle w:val="ListParagraph"/>
        <w:numPr>
          <w:ilvl w:val="0"/>
          <w:numId w:val="2"/>
        </w:numPr>
        <w:spacing w:after="80" w:line="290"/>
        <w:jc w:val="both"/>
      </w:pPr>
      <w:r>
        <w:rPr>
          <w:b/>
          <w:bCs/>
        </w:rPr>
        <w:t xml:space="preserve">Une chaîne de contrôle (CI sécurisée)</w:t>
      </w:r>
      <w:r>
        <w:t xml:space="preserve"> : à chaque modification du code, GitHub Actions passe une série de portes de sécurité (lint, SAST, CVE, DAST, signature) ; si une porte échoue, la livraison est bloquée.</w:t>
      </w:r>
    </w:p>
    <w:p>
      <w:pPr>
        <w:pStyle w:val="ListParagraph"/>
        <w:numPr>
          <w:ilvl w:val="0"/>
          <w:numId w:val="2"/>
        </w:numPr>
        <w:spacing w:after="80" w:line="290"/>
        <w:jc w:val="both"/>
      </w:pPr>
      <w:r>
        <w:rPr>
          <w:b/>
          <w:bCs/>
        </w:rPr>
        <w:t xml:space="preserve">La surveillance (observabilité)</w:t>
      </w:r>
      <w:r>
        <w:t xml:space="preserve"> : Prometheus collecte les métriques de Harbor (et les vulnérabilités), Grafana les affiche dans un tableau de bord.</w:t>
      </w:r>
    </w:p>
    <w:p>
      <w:pPr>
        <w:spacing w:after="160"/>
      </w:pPr>
    </w:p>
    <w:p>
      <w:pPr>
        <w:spacing w:after="120" w:line="300"/>
        <w:jc w:val="both"/>
      </w:pPr>
      <w:r>
        <w:rPr>
          <w:b/>
          <w:bCs/>
        </w:rPr>
        <w:t xml:space="preserve">Phrase d’ouverture pour l’oral : </w:t>
      </w:r>
      <w:r>
        <w:t xml:space="preserve">« J’ai déployé un registre Harbor par Infrastructure as Code, sécurisé sa chaîne de livraison avec une pipeline DevSecOps bloquante, et rendu le tout observable via Prometheus et Grafana. »</w:t>
      </w:r>
    </w:p>
    <w:p>
      <w:pPr>
        <w:pStyle w:val="Heading2"/>
        <w:spacing w:after="100" w:before="240"/>
      </w:pPr>
      <w:r>
        <w:t xml:space="preserve">1.1. Schéma d’architecture</w:t>
      </w:r>
    </w:p>
    <w:p>
      <w:pPr>
        <w:spacing w:after="60" w:before="120"/>
        <w:jc w:val="center"/>
      </w:pPr>
      <w:r>
        <w:drawing>
          <wp:inline distT="0" distB="0" distL="0" distR="0">
            <wp:extent cx="5334000" cy="11639550"/>
            <wp:effectExtent t="0" r="0" b="0" l="0"/>
            <wp:docPr id="1" name="architecture.png" descr="Architecture : du push développeur jusqu’à Harbor, en passant par les contrôles de sécurité et la publication." title="Architecture : du push développeur jusqu’à Harbor, en passant par les contrôles de sécurité et la publi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11639550"/>
                    </a:xfrm>
                    <a:prstGeom prst="rect">
                      <a:avLst/>
                    </a:prstGeom>
                  </pic:spPr>
                </pic:pic>
              </a:graphicData>
            </a:graphic>
          </wp:inline>
        </w:drawing>
      </w:r>
    </w:p>
    <w:p>
      <w:pPr>
        <w:spacing w:after="200"/>
        <w:jc w:val="center"/>
      </w:pPr>
      <w:r>
        <w:rPr>
          <w:i/>
          <w:iCs/>
          <w:color w:val="555555"/>
          <w:sz w:val="18"/>
          <w:szCs w:val="18"/>
        </w:rPr>
        <w:t xml:space="preserve">Architecture : du push développeur jusqu’à Harbor, en passant par les contrôles de sécurité et la publication.</w:t>
      </w:r>
    </w:p>
    <w:p>
      <w:pPr>
        <w:pStyle w:val="Heading2"/>
        <w:spacing w:after="100" w:before="240"/>
      </w:pPr>
      <w:r>
        <w:t xml:space="preserve">1.2. Le vocabulaire de base (à maîtriser)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7438"/>
      </w:tblGrid>
      <w:tr>
        <w:trPr>
          <w:tblHeader/>
        </w:trPr>
        <w:tc>
          <w:tcPr>
            <w:tcW w:type="dxa" w:w="2200"/>
            <w:tcBorders>
              <w:top w:val="single" w:color="B0B0B0" w:sz="2"/>
              <w:left w:val="single" w:color="B0B0B0" w:sz="2"/>
              <w:bottom w:val="single" w:color="B0B0B0" w:sz="2"/>
              <w:right w:val="single" w:color="B0B0B0" w:sz="2"/>
            </w:tcBorders>
            <w:shd w:fill="2E5E8C" w:val="clear"/>
            <w:tcMar>
              <w:top w:type="dxa" w:w="60"/>
              <w:left w:type="dxa" w:w="110"/>
              <w:bottom w:type="dxa" w:w="60"/>
              <w:right w:type="dxa" w:w="110"/>
            </w:tcMar>
            <w:vAlign w:val="center"/>
          </w:tcPr>
          <w:p>
            <w:pPr>
              <w:spacing w:after="0"/>
            </w:pPr>
            <w:r>
              <w:rPr>
                <w:b/>
                <w:bCs/>
                <w:color w:val="FFFFFF"/>
                <w:sz w:val="19"/>
                <w:szCs w:val="19"/>
              </w:rPr>
              <w:t xml:space="preserve">Terme</w:t>
            </w:r>
          </w:p>
        </w:tc>
        <w:tc>
          <w:tcPr>
            <w:tcW w:type="dxa" w:w="7438"/>
            <w:tcBorders>
              <w:top w:val="single" w:color="B0B0B0" w:sz="2"/>
              <w:left w:val="single" w:color="B0B0B0" w:sz="2"/>
              <w:bottom w:val="single" w:color="B0B0B0" w:sz="2"/>
              <w:right w:val="single" w:color="B0B0B0" w:sz="2"/>
            </w:tcBorders>
            <w:shd w:fill="2E5E8C" w:val="clear"/>
            <w:tcMar>
              <w:top w:type="dxa" w:w="60"/>
              <w:left w:type="dxa" w:w="110"/>
              <w:bottom w:type="dxa" w:w="60"/>
              <w:right w:type="dxa" w:w="110"/>
            </w:tcMar>
            <w:vAlign w:val="center"/>
          </w:tcPr>
          <w:p>
            <w:pPr>
              <w:spacing w:after="0"/>
            </w:pPr>
            <w:r>
              <w:rPr>
                <w:b/>
                <w:bCs/>
                <w:color w:val="FFFFFF"/>
                <w:sz w:val="19"/>
                <w:szCs w:val="19"/>
              </w:rPr>
              <w:t xml:space="preserve">Définition simple</w:t>
            </w:r>
          </w:p>
        </w:tc>
      </w:tr>
      <w:tr>
        <w:tc>
          <w:tcPr>
            <w:tcW w:type="dxa" w:w="2200"/>
            <w:tcBorders>
              <w:top w:val="single" w:color="B0B0B0" w:sz="2"/>
              <w:left w:val="single" w:color="B0B0B0" w:sz="2"/>
              <w:bottom w:val="single" w:color="B0B0B0" w:sz="2"/>
              <w:right w:val="single" w:color="B0B0B0" w:sz="2"/>
            </w:tcBorders>
            <w:tcMar>
              <w:top w:type="dxa" w:w="60"/>
              <w:left w:type="dxa" w:w="110"/>
              <w:bottom w:type="dxa" w:w="60"/>
              <w:right w:type="dxa" w:w="110"/>
            </w:tcMar>
            <w:vAlign w:val="center"/>
          </w:tcPr>
          <w:p>
            <w:pPr>
              <w:spacing w:after="0"/>
            </w:pPr>
            <w:r>
              <w:rPr>
                <w:b w:val="false"/>
                <w:bCs w:val="false"/>
                <w:sz w:val="19"/>
                <w:szCs w:val="19"/>
              </w:rPr>
              <w:t xml:space="preserve">Conteneur / image Docker</w:t>
            </w:r>
          </w:p>
        </w:tc>
        <w:tc>
          <w:tcPr>
            <w:tcW w:type="dxa" w:w="7438"/>
            <w:tcBorders>
              <w:top w:val="single" w:color="B0B0B0" w:sz="2"/>
              <w:left w:val="single" w:color="B0B0B0" w:sz="2"/>
              <w:bottom w:val="single" w:color="B0B0B0" w:sz="2"/>
              <w:right w:val="single" w:color="B0B0B0" w:sz="2"/>
            </w:tcBorders>
            <w:tcMar>
              <w:top w:type="dxa" w:w="60"/>
              <w:left w:type="dxa" w:w="110"/>
              <w:bottom w:type="dxa" w:w="60"/>
              <w:right w:type="dxa" w:w="110"/>
            </w:tcMar>
            <w:vAlign w:val="center"/>
          </w:tcPr>
          <w:p>
            <w:pPr>
              <w:spacing w:after="0"/>
            </w:pPr>
            <w:r>
              <w:rPr>
                <w:b w:val="false"/>
                <w:bCs w:val="false"/>
                <w:sz w:val="19"/>
                <w:szCs w:val="19"/>
              </w:rPr>
              <w:t xml:space="preserve">Une application empaquetée avec tout ce qu’il lui faut pour tourner. L’« image » est le modèle, le « conteneur » est l’image en cours d’exécution.</w:t>
            </w:r>
          </w:p>
        </w:tc>
      </w:tr>
      <w:tr>
        <w:tc>
          <w:tcPr>
            <w:tcW w:type="dxa" w:w="2200"/>
            <w:tcBorders>
              <w:top w:val="single" w:color="B0B0B0" w:sz="2"/>
              <w:left w:val="single" w:color="B0B0B0" w:sz="2"/>
              <w:bottom w:val="single" w:color="B0B0B0" w:sz="2"/>
              <w:right w:val="single" w:color="B0B0B0" w:sz="2"/>
            </w:tcBorders>
            <w:tcMar>
              <w:top w:type="dxa" w:w="60"/>
              <w:left w:type="dxa" w:w="110"/>
              <w:bottom w:type="dxa" w:w="60"/>
              <w:right w:type="dxa" w:w="110"/>
            </w:tcMar>
            <w:vAlign w:val="center"/>
          </w:tcPr>
          <w:p>
            <w:pPr>
              <w:spacing w:after="0"/>
            </w:pPr>
            <w:r>
              <w:rPr>
                <w:b w:val="false"/>
                <w:bCs w:val="false"/>
                <w:sz w:val="19"/>
                <w:szCs w:val="19"/>
              </w:rPr>
              <w:t xml:space="preserve">Registre d’images</w:t>
            </w:r>
          </w:p>
        </w:tc>
        <w:tc>
          <w:tcPr>
            <w:tcW w:type="dxa" w:w="7438"/>
            <w:tcBorders>
              <w:top w:val="single" w:color="B0B0B0" w:sz="2"/>
              <w:left w:val="single" w:color="B0B0B0" w:sz="2"/>
              <w:bottom w:val="single" w:color="B0B0B0" w:sz="2"/>
              <w:right w:val="single" w:color="B0B0B0" w:sz="2"/>
            </w:tcBorders>
            <w:tcMar>
              <w:top w:type="dxa" w:w="60"/>
              <w:left w:type="dxa" w:w="110"/>
              <w:bottom w:type="dxa" w:w="60"/>
              <w:right w:type="dxa" w:w="110"/>
            </w:tcMar>
            <w:vAlign w:val="center"/>
          </w:tcPr>
          <w:p>
            <w:pPr>
              <w:spacing w:after="0"/>
            </w:pPr>
            <w:r>
              <w:rPr>
                <w:b w:val="false"/>
                <w:bCs w:val="false"/>
                <w:sz w:val="19"/>
                <w:szCs w:val="19"/>
              </w:rPr>
              <w:t xml:space="preserve">Un entrepôt où l’on stocke et distribue les images Docker (ex. Docker Hub, GHCR, et ici Harbor).</w:t>
            </w:r>
          </w:p>
        </w:tc>
      </w:tr>
      <w:tr>
        <w:tc>
          <w:tcPr>
            <w:tcW w:type="dxa" w:w="2200"/>
            <w:tcBorders>
              <w:top w:val="single" w:color="B0B0B0" w:sz="2"/>
              <w:left w:val="single" w:color="B0B0B0" w:sz="2"/>
              <w:bottom w:val="single" w:color="B0B0B0" w:sz="2"/>
              <w:right w:val="single" w:color="B0B0B0" w:sz="2"/>
            </w:tcBorders>
            <w:tcMar>
              <w:top w:type="dxa" w:w="60"/>
              <w:left w:type="dxa" w:w="110"/>
              <w:bottom w:type="dxa" w:w="60"/>
              <w:right w:type="dxa" w:w="110"/>
            </w:tcMar>
            <w:vAlign w:val="center"/>
          </w:tcPr>
          <w:p>
            <w:pPr>
              <w:spacing w:after="0"/>
            </w:pPr>
            <w:r>
              <w:rPr>
                <w:b w:val="false"/>
                <w:bCs w:val="false"/>
                <w:sz w:val="19"/>
                <w:szCs w:val="19"/>
              </w:rPr>
              <w:t xml:space="preserve">Kubernetes (k8s)</w:t>
            </w:r>
          </w:p>
        </w:tc>
        <w:tc>
          <w:tcPr>
            <w:tcW w:type="dxa" w:w="7438"/>
            <w:tcBorders>
              <w:top w:val="single" w:color="B0B0B0" w:sz="2"/>
              <w:left w:val="single" w:color="B0B0B0" w:sz="2"/>
              <w:bottom w:val="single" w:color="B0B0B0" w:sz="2"/>
              <w:right w:val="single" w:color="B0B0B0" w:sz="2"/>
            </w:tcBorders>
            <w:tcMar>
              <w:top w:type="dxa" w:w="60"/>
              <w:left w:type="dxa" w:w="110"/>
              <w:bottom w:type="dxa" w:w="60"/>
              <w:right w:type="dxa" w:w="110"/>
            </w:tcMar>
            <w:vAlign w:val="center"/>
          </w:tcPr>
          <w:p>
            <w:pPr>
              <w:spacing w:after="0"/>
            </w:pPr>
            <w:r>
              <w:rPr>
                <w:b w:val="false"/>
                <w:bCs w:val="false"/>
                <w:sz w:val="19"/>
                <w:szCs w:val="19"/>
              </w:rPr>
              <w:t xml:space="preserve">L’orchestrateur qui fait tourner et gère les conteneurs à grande échelle. k3s en est une version allégée.</w:t>
            </w:r>
          </w:p>
        </w:tc>
      </w:tr>
      <w:tr>
        <w:tc>
          <w:tcPr>
            <w:tcW w:type="dxa" w:w="2200"/>
            <w:tcBorders>
              <w:top w:val="single" w:color="B0B0B0" w:sz="2"/>
              <w:left w:val="single" w:color="B0B0B0" w:sz="2"/>
              <w:bottom w:val="single" w:color="B0B0B0" w:sz="2"/>
              <w:right w:val="single" w:color="B0B0B0" w:sz="2"/>
            </w:tcBorders>
            <w:tcMar>
              <w:top w:type="dxa" w:w="60"/>
              <w:left w:type="dxa" w:w="110"/>
              <w:bottom w:type="dxa" w:w="60"/>
              <w:right w:type="dxa" w:w="110"/>
            </w:tcMar>
            <w:vAlign w:val="center"/>
          </w:tcPr>
          <w:p>
            <w:pPr>
              <w:spacing w:after="0"/>
            </w:pPr>
            <w:r>
              <w:rPr>
                <w:b w:val="false"/>
                <w:bCs w:val="false"/>
                <w:sz w:val="19"/>
                <w:szCs w:val="19"/>
              </w:rPr>
              <w:t xml:space="preserve">k3d</w:t>
            </w:r>
          </w:p>
        </w:tc>
        <w:tc>
          <w:tcPr>
            <w:tcW w:type="dxa" w:w="7438"/>
            <w:tcBorders>
              <w:top w:val="single" w:color="B0B0B0" w:sz="2"/>
              <w:left w:val="single" w:color="B0B0B0" w:sz="2"/>
              <w:bottom w:val="single" w:color="B0B0B0" w:sz="2"/>
              <w:right w:val="single" w:color="B0B0B0" w:sz="2"/>
            </w:tcBorders>
            <w:tcMar>
              <w:top w:type="dxa" w:w="60"/>
              <w:left w:type="dxa" w:w="110"/>
              <w:bottom w:type="dxa" w:w="60"/>
              <w:right w:type="dxa" w:w="110"/>
            </w:tcMar>
            <w:vAlign w:val="center"/>
          </w:tcPr>
          <w:p>
            <w:pPr>
              <w:spacing w:after="0"/>
            </w:pPr>
            <w:r>
              <w:rPr>
                <w:b w:val="false"/>
                <w:bCs w:val="false"/>
                <w:sz w:val="19"/>
                <w:szCs w:val="19"/>
              </w:rPr>
              <w:t xml:space="preserve">Un outil qui lance un cluster k3s à l’intérieur de Docker (idéal sur un poste de travail).</w:t>
            </w:r>
          </w:p>
        </w:tc>
      </w:tr>
      <w:tr>
        <w:tc>
          <w:tcPr>
            <w:tcW w:type="dxa" w:w="2200"/>
            <w:tcBorders>
              <w:top w:val="single" w:color="B0B0B0" w:sz="2"/>
              <w:left w:val="single" w:color="B0B0B0" w:sz="2"/>
              <w:bottom w:val="single" w:color="B0B0B0" w:sz="2"/>
              <w:right w:val="single" w:color="B0B0B0" w:sz="2"/>
            </w:tcBorders>
            <w:tcMar>
              <w:top w:type="dxa" w:w="60"/>
              <w:left w:type="dxa" w:w="110"/>
              <w:bottom w:type="dxa" w:w="60"/>
              <w:right w:type="dxa" w:w="110"/>
            </w:tcMar>
            <w:vAlign w:val="center"/>
          </w:tcPr>
          <w:p>
            <w:pPr>
              <w:spacing w:after="0"/>
            </w:pPr>
            <w:r>
              <w:rPr>
                <w:b w:val="false"/>
                <w:bCs w:val="false"/>
                <w:sz w:val="19"/>
                <w:szCs w:val="19"/>
              </w:rPr>
              <w:t xml:space="preserve">Helm</w:t>
            </w:r>
          </w:p>
        </w:tc>
        <w:tc>
          <w:tcPr>
            <w:tcW w:type="dxa" w:w="7438"/>
            <w:tcBorders>
              <w:top w:val="single" w:color="B0B0B0" w:sz="2"/>
              <w:left w:val="single" w:color="B0B0B0" w:sz="2"/>
              <w:bottom w:val="single" w:color="B0B0B0" w:sz="2"/>
              <w:right w:val="single" w:color="B0B0B0" w:sz="2"/>
            </w:tcBorders>
            <w:tcMar>
              <w:top w:type="dxa" w:w="60"/>
              <w:left w:type="dxa" w:w="110"/>
              <w:bottom w:type="dxa" w:w="60"/>
              <w:right w:type="dxa" w:w="110"/>
            </w:tcMar>
            <w:vAlign w:val="center"/>
          </w:tcPr>
          <w:p>
            <w:pPr>
              <w:spacing w:after="0"/>
            </w:pPr>
            <w:r>
              <w:rPr>
                <w:b w:val="false"/>
                <w:bCs w:val="false"/>
                <w:sz w:val="19"/>
                <w:szCs w:val="19"/>
              </w:rPr>
              <w:t xml:space="preserve">Le « gestionnaire de paquets » de Kubernetes : installe des applications via des paquets paramétrables appelés charts.</w:t>
            </w:r>
          </w:p>
        </w:tc>
      </w:tr>
      <w:tr>
        <w:tc>
          <w:tcPr>
            <w:tcW w:type="dxa" w:w="2200"/>
            <w:tcBorders>
              <w:top w:val="single" w:color="B0B0B0" w:sz="2"/>
              <w:left w:val="single" w:color="B0B0B0" w:sz="2"/>
              <w:bottom w:val="single" w:color="B0B0B0" w:sz="2"/>
              <w:right w:val="single" w:color="B0B0B0" w:sz="2"/>
            </w:tcBorders>
            <w:tcMar>
              <w:top w:type="dxa" w:w="60"/>
              <w:left w:type="dxa" w:w="110"/>
              <w:bottom w:type="dxa" w:w="60"/>
              <w:right w:type="dxa" w:w="110"/>
            </w:tcMar>
            <w:vAlign w:val="center"/>
          </w:tcPr>
          <w:p>
            <w:pPr>
              <w:spacing w:after="0"/>
            </w:pPr>
            <w:r>
              <w:rPr>
                <w:b w:val="false"/>
                <w:bCs w:val="false"/>
                <w:sz w:val="19"/>
                <w:szCs w:val="19"/>
              </w:rPr>
              <w:t xml:space="preserve">Terraform</w:t>
            </w:r>
          </w:p>
        </w:tc>
        <w:tc>
          <w:tcPr>
            <w:tcW w:type="dxa" w:w="7438"/>
            <w:tcBorders>
              <w:top w:val="single" w:color="B0B0B0" w:sz="2"/>
              <w:left w:val="single" w:color="B0B0B0" w:sz="2"/>
              <w:bottom w:val="single" w:color="B0B0B0" w:sz="2"/>
              <w:right w:val="single" w:color="B0B0B0" w:sz="2"/>
            </w:tcBorders>
            <w:tcMar>
              <w:top w:type="dxa" w:w="60"/>
              <w:left w:type="dxa" w:w="110"/>
              <w:bottom w:type="dxa" w:w="60"/>
              <w:right w:type="dxa" w:w="110"/>
            </w:tcMar>
            <w:vAlign w:val="center"/>
          </w:tcPr>
          <w:p>
            <w:pPr>
              <w:spacing w:after="0"/>
            </w:pPr>
            <w:r>
              <w:rPr>
                <w:b w:val="false"/>
                <w:bCs w:val="false"/>
                <w:sz w:val="19"/>
                <w:szCs w:val="19"/>
              </w:rPr>
              <w:t xml:space="preserve">L’outil d’Infrastructure as Code : on décrit l’infra dans des fichiers, et une commande la crée.</w:t>
            </w:r>
          </w:p>
        </w:tc>
      </w:tr>
      <w:tr>
        <w:tc>
          <w:tcPr>
            <w:tcW w:type="dxa" w:w="2200"/>
            <w:tcBorders>
              <w:top w:val="single" w:color="B0B0B0" w:sz="2"/>
              <w:left w:val="single" w:color="B0B0B0" w:sz="2"/>
              <w:bottom w:val="single" w:color="B0B0B0" w:sz="2"/>
              <w:right w:val="single" w:color="B0B0B0" w:sz="2"/>
            </w:tcBorders>
            <w:tcMar>
              <w:top w:type="dxa" w:w="60"/>
              <w:left w:type="dxa" w:w="110"/>
              <w:bottom w:type="dxa" w:w="60"/>
              <w:right w:type="dxa" w:w="110"/>
            </w:tcMar>
            <w:vAlign w:val="center"/>
          </w:tcPr>
          <w:p>
            <w:pPr>
              <w:spacing w:after="0"/>
            </w:pPr>
            <w:r>
              <w:rPr>
                <w:b w:val="false"/>
                <w:bCs w:val="false"/>
                <w:sz w:val="19"/>
                <w:szCs w:val="19"/>
              </w:rPr>
              <w:t xml:space="preserve">CI/CD</w:t>
            </w:r>
          </w:p>
        </w:tc>
        <w:tc>
          <w:tcPr>
            <w:tcW w:type="dxa" w:w="7438"/>
            <w:tcBorders>
              <w:top w:val="single" w:color="B0B0B0" w:sz="2"/>
              <w:left w:val="single" w:color="B0B0B0" w:sz="2"/>
              <w:bottom w:val="single" w:color="B0B0B0" w:sz="2"/>
              <w:right w:val="single" w:color="B0B0B0" w:sz="2"/>
            </w:tcBorders>
            <w:tcMar>
              <w:top w:type="dxa" w:w="60"/>
              <w:left w:type="dxa" w:w="110"/>
              <w:bottom w:type="dxa" w:w="60"/>
              <w:right w:type="dxa" w:w="110"/>
            </w:tcMar>
            <w:vAlign w:val="center"/>
          </w:tcPr>
          <w:p>
            <w:pPr>
              <w:spacing w:after="0"/>
            </w:pPr>
            <w:r>
              <w:rPr>
                <w:b w:val="false"/>
                <w:bCs w:val="false"/>
                <w:sz w:val="19"/>
                <w:szCs w:val="19"/>
              </w:rPr>
              <w:t xml:space="preserve">Intégration / livraison continue : automatiser la construction, les tests et la livraison à chaque changement de code.</w:t>
            </w:r>
          </w:p>
        </w:tc>
      </w:tr>
    </w:tbl>
    <w:p>
      <w:pPr>
        <w:pStyle w:val="Heading1"/>
        <w:pageBreakBefore/>
        <w:spacing w:after="160" w:before="320"/>
      </w:pPr>
      <w:r>
        <w:t xml:space="preserve">2. Pilier 1 — L’Infrastructure as Code (Terraform)</w:t>
      </w:r>
    </w:p>
    <w:p>
      <w:pPr>
        <w:pStyle w:val="Heading2"/>
        <w:spacing w:after="100" w:before="240"/>
      </w:pPr>
      <w:r>
        <w:t xml:space="preserve">2.1. Le problème résolu</w:t>
      </w:r>
    </w:p>
    <w:p>
      <w:pPr>
        <w:spacing w:after="120" w:line="300"/>
        <w:jc w:val="both"/>
      </w:pPr>
      <w:r>
        <w:t xml:space="preserve">Installer Harbor « à la main » demanderait des dizaines de commandes, non reproductibles et sources d’erreurs. L’</w:t>
      </w:r>
      <w:r>
        <w:rPr>
          <w:b/>
          <w:bCs/>
        </w:rPr>
        <w:t xml:space="preserve">IaC décrit l’infrastructure dans des fichiers texte</w:t>
      </w:r>
      <w:r>
        <w:t xml:space="preserve">, versionnés dans Git, appliqués d’une seule commande. On obtient une infrastructure </w:t>
      </w:r>
      <w:r>
        <w:rPr>
          <w:b/>
          <w:bCs/>
        </w:rPr>
        <w:t xml:space="preserve">reproductible, documentée et vérifiable</w:t>
      </w:r>
      <w:r>
        <w:t xml:space="preserve">.</w:t>
      </w:r>
    </w:p>
    <w:p>
      <w:pPr>
        <w:pStyle w:val="Heading2"/>
        <w:spacing w:after="100" w:before="240"/>
      </w:pPr>
      <w:r>
        <w:t xml:space="preserve">2.2. Les trois outils et leur rôle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7638"/>
      </w:tblGrid>
      <w:tr>
        <w:trPr>
          <w:tblHeader/>
        </w:trPr>
        <w:tc>
          <w:tcPr>
            <w:tcW w:type="dxa" w:w="2000"/>
            <w:tcBorders>
              <w:top w:val="single" w:color="B0B0B0" w:sz="2"/>
              <w:left w:val="single" w:color="B0B0B0" w:sz="2"/>
              <w:bottom w:val="single" w:color="B0B0B0" w:sz="2"/>
              <w:right w:val="single" w:color="B0B0B0" w:sz="2"/>
            </w:tcBorders>
            <w:shd w:fill="2E5E8C" w:val="clear"/>
            <w:tcMar>
              <w:top w:type="dxa" w:w="60"/>
              <w:left w:type="dxa" w:w="110"/>
              <w:bottom w:type="dxa" w:w="60"/>
              <w:right w:type="dxa" w:w="110"/>
            </w:tcMar>
            <w:vAlign w:val="center"/>
          </w:tcPr>
          <w:p>
            <w:pPr>
              <w:spacing w:after="0"/>
            </w:pPr>
            <w:r>
              <w:rPr>
                <w:b/>
                <w:bCs/>
                <w:color w:val="FFFFFF"/>
                <w:sz w:val="19"/>
                <w:szCs w:val="19"/>
              </w:rPr>
              <w:t xml:space="preserve">Outil</w:t>
            </w:r>
          </w:p>
        </w:tc>
        <w:tc>
          <w:tcPr>
            <w:tcW w:type="dxa" w:w="7638"/>
            <w:tcBorders>
              <w:top w:val="single" w:color="B0B0B0" w:sz="2"/>
              <w:left w:val="single" w:color="B0B0B0" w:sz="2"/>
              <w:bottom w:val="single" w:color="B0B0B0" w:sz="2"/>
              <w:right w:val="single" w:color="B0B0B0" w:sz="2"/>
            </w:tcBorders>
            <w:shd w:fill="2E5E8C" w:val="clear"/>
            <w:tcMar>
              <w:top w:type="dxa" w:w="60"/>
              <w:left w:type="dxa" w:w="110"/>
              <w:bottom w:type="dxa" w:w="60"/>
              <w:right w:type="dxa" w:w="110"/>
            </w:tcMar>
            <w:vAlign w:val="center"/>
          </w:tcPr>
          <w:p>
            <w:pPr>
              <w:spacing w:after="0"/>
            </w:pPr>
            <w:r>
              <w:rPr>
                <w:b/>
                <w:bCs/>
                <w:color w:val="FFFFFF"/>
                <w:sz w:val="19"/>
                <w:szCs w:val="19"/>
              </w:rPr>
              <w:t xml:space="preserve">Rôle (analogie)</w:t>
            </w:r>
          </w:p>
        </w:tc>
      </w:tr>
      <w:tr>
        <w:tc>
          <w:tcPr>
            <w:tcW w:type="dxa" w:w="2000"/>
            <w:tcBorders>
              <w:top w:val="single" w:color="B0B0B0" w:sz="2"/>
              <w:left w:val="single" w:color="B0B0B0" w:sz="2"/>
              <w:bottom w:val="single" w:color="B0B0B0" w:sz="2"/>
              <w:right w:val="single" w:color="B0B0B0" w:sz="2"/>
            </w:tcBorders>
            <w:tcMar>
              <w:top w:type="dxa" w:w="60"/>
              <w:left w:type="dxa" w:w="110"/>
              <w:bottom w:type="dxa" w:w="60"/>
              <w:right w:type="dxa" w:w="110"/>
            </w:tcMar>
            <w:vAlign w:val="center"/>
          </w:tcPr>
          <w:p>
            <w:pPr>
              <w:spacing w:after="0"/>
            </w:pPr>
            <w:r>
              <w:rPr>
                <w:b w:val="false"/>
                <w:bCs w:val="false"/>
                <w:sz w:val="19"/>
                <w:szCs w:val="19"/>
              </w:rPr>
              <w:t xml:space="preserve">k3s (via k3d)</w:t>
            </w:r>
          </w:p>
        </w:tc>
        <w:tc>
          <w:tcPr>
            <w:tcW w:type="dxa" w:w="7638"/>
            <w:tcBorders>
              <w:top w:val="single" w:color="B0B0B0" w:sz="2"/>
              <w:left w:val="single" w:color="B0B0B0" w:sz="2"/>
              <w:bottom w:val="single" w:color="B0B0B0" w:sz="2"/>
              <w:right w:val="single" w:color="B0B0B0" w:sz="2"/>
            </w:tcBorders>
            <w:tcMar>
              <w:top w:type="dxa" w:w="60"/>
              <w:left w:type="dxa" w:w="110"/>
              <w:bottom w:type="dxa" w:w="60"/>
              <w:right w:type="dxa" w:w="110"/>
            </w:tcMar>
            <w:vAlign w:val="center"/>
          </w:tcPr>
          <w:p>
            <w:pPr>
              <w:spacing w:after="0"/>
            </w:pPr>
            <w:r>
              <w:rPr>
                <w:b w:val="false"/>
                <w:bCs w:val="false"/>
                <w:sz w:val="19"/>
                <w:szCs w:val="19"/>
              </w:rPr>
              <w:t xml:space="preserve">Le cluster Kubernetes qui héberge tout. Analogie : le terrain.</w:t>
            </w:r>
          </w:p>
        </w:tc>
      </w:tr>
      <w:tr>
        <w:tc>
          <w:tcPr>
            <w:tcW w:type="dxa" w:w="2000"/>
            <w:tcBorders>
              <w:top w:val="single" w:color="B0B0B0" w:sz="2"/>
              <w:left w:val="single" w:color="B0B0B0" w:sz="2"/>
              <w:bottom w:val="single" w:color="B0B0B0" w:sz="2"/>
              <w:right w:val="single" w:color="B0B0B0" w:sz="2"/>
            </w:tcBorders>
            <w:tcMar>
              <w:top w:type="dxa" w:w="60"/>
              <w:left w:type="dxa" w:w="110"/>
              <w:bottom w:type="dxa" w:w="60"/>
              <w:right w:type="dxa" w:w="110"/>
            </w:tcMar>
            <w:vAlign w:val="center"/>
          </w:tcPr>
          <w:p>
            <w:pPr>
              <w:spacing w:after="0"/>
            </w:pPr>
            <w:r>
              <w:rPr>
                <w:b w:val="false"/>
                <w:bCs w:val="false"/>
                <w:sz w:val="19"/>
                <w:szCs w:val="19"/>
              </w:rPr>
              <w:t xml:space="preserve">Helm</w:t>
            </w:r>
          </w:p>
        </w:tc>
        <w:tc>
          <w:tcPr>
            <w:tcW w:type="dxa" w:w="7638"/>
            <w:tcBorders>
              <w:top w:val="single" w:color="B0B0B0" w:sz="2"/>
              <w:left w:val="single" w:color="B0B0B0" w:sz="2"/>
              <w:bottom w:val="single" w:color="B0B0B0" w:sz="2"/>
              <w:right w:val="single" w:color="B0B0B0" w:sz="2"/>
            </w:tcBorders>
            <w:tcMar>
              <w:top w:type="dxa" w:w="60"/>
              <w:left w:type="dxa" w:w="110"/>
              <w:bottom w:type="dxa" w:w="60"/>
              <w:right w:type="dxa" w:w="110"/>
            </w:tcMar>
            <w:vAlign w:val="center"/>
          </w:tcPr>
          <w:p>
            <w:pPr>
              <w:spacing w:after="0"/>
            </w:pPr>
            <w:r>
              <w:rPr>
                <w:b w:val="false"/>
                <w:bCs w:val="false"/>
                <w:sz w:val="19"/>
                <w:szCs w:val="19"/>
              </w:rPr>
              <w:t xml:space="preserve">Installe Harbor et la surveillance via des charts. Analogie : des meubles en kit.</w:t>
            </w:r>
          </w:p>
        </w:tc>
      </w:tr>
      <w:tr>
        <w:tc>
          <w:tcPr>
            <w:tcW w:type="dxa" w:w="2000"/>
            <w:tcBorders>
              <w:top w:val="single" w:color="B0B0B0" w:sz="2"/>
              <w:left w:val="single" w:color="B0B0B0" w:sz="2"/>
              <w:bottom w:val="single" w:color="B0B0B0" w:sz="2"/>
              <w:right w:val="single" w:color="B0B0B0" w:sz="2"/>
            </w:tcBorders>
            <w:tcMar>
              <w:top w:type="dxa" w:w="60"/>
              <w:left w:type="dxa" w:w="110"/>
              <w:bottom w:type="dxa" w:w="60"/>
              <w:right w:type="dxa" w:w="110"/>
            </w:tcMar>
            <w:vAlign w:val="center"/>
          </w:tcPr>
          <w:p>
            <w:pPr>
              <w:spacing w:after="0"/>
            </w:pPr>
            <w:r>
              <w:rPr>
                <w:b w:val="false"/>
                <w:bCs w:val="false"/>
                <w:sz w:val="19"/>
                <w:szCs w:val="19"/>
              </w:rPr>
              <w:t xml:space="preserve">Terraform</w:t>
            </w:r>
          </w:p>
        </w:tc>
        <w:tc>
          <w:tcPr>
            <w:tcW w:type="dxa" w:w="7638"/>
            <w:tcBorders>
              <w:top w:val="single" w:color="B0B0B0" w:sz="2"/>
              <w:left w:val="single" w:color="B0B0B0" w:sz="2"/>
              <w:bottom w:val="single" w:color="B0B0B0" w:sz="2"/>
              <w:right w:val="single" w:color="B0B0B0" w:sz="2"/>
            </w:tcBorders>
            <w:tcMar>
              <w:top w:type="dxa" w:w="60"/>
              <w:left w:type="dxa" w:w="110"/>
              <w:bottom w:type="dxa" w:w="60"/>
              <w:right w:type="dxa" w:w="110"/>
            </w:tcMar>
            <w:vAlign w:val="center"/>
          </w:tcPr>
          <w:p>
            <w:pPr>
              <w:spacing w:after="0"/>
            </w:pPr>
            <w:r>
              <w:rPr>
                <w:b w:val="false"/>
                <w:bCs w:val="false"/>
                <w:sz w:val="19"/>
                <w:szCs w:val="19"/>
              </w:rPr>
              <w:t xml:space="preserve">Orchestre le tout : pilote Helm pour installer les charts sur le cluster. Analogie : la notice de montage automatique.</w:t>
            </w:r>
          </w:p>
        </w:tc>
      </w:tr>
    </w:tbl>
    <w:p>
      <w:pPr>
        <w:spacing w:after="160"/>
      </w:pPr>
    </w:p>
    <w:p>
      <w:pPr>
        <w:spacing w:after="120" w:line="300"/>
        <w:jc w:val="both"/>
      </w:pPr>
      <w:r>
        <w:rPr>
          <w:b/>
          <w:bCs/>
        </w:rPr>
        <w:t xml:space="preserve">À retenir : </w:t>
      </w:r>
      <w:r>
        <w:t xml:space="preserve">on ne « tape » pas l’installation, on la </w:t>
      </w:r>
      <w:r>
        <w:rPr>
          <w:b/>
          <w:bCs/>
        </w:rPr>
        <w:t xml:space="preserve">déclare</w:t>
      </w:r>
      <w:r>
        <w:t xml:space="preserve">. La commande </w:t>
      </w:r>
      <w:r>
        <w:rPr>
          <w:rFonts w:ascii="Consolas" w:cs="Consolas" w:eastAsia="Consolas" w:hAnsi="Consolas"/>
          <w:sz w:val="19"/>
          <w:szCs w:val="19"/>
        </w:rPr>
        <w:t xml:space="preserve">terraform apply</w:t>
      </w:r>
      <w:r>
        <w:t xml:space="preserve"> lit les fichiers et construit l’infrastructure.</w:t>
      </w:r>
    </w:p>
    <w:p>
      <w:pPr>
        <w:pStyle w:val="Heading2"/>
        <w:spacing w:after="100" w:before="240"/>
      </w:pPr>
      <w:r>
        <w:t xml:space="preserve">2.3. Les commandes essentielles</w:t>
      </w:r>
    </w:p>
    <w:p>
      <w:pPr>
        <w:shd w:fill="F4F4F4" w:val="clear"/>
        <w:spacing w:after="0"/>
        <w:ind w:left="200" w:right="200"/>
      </w:pPr>
      <w:r>
        <w:rPr>
          <w:rFonts w:ascii="Consolas" w:cs="Consolas" w:eastAsia="Consolas" w:hAnsi="Consolas"/>
          <w:sz w:val="18"/>
          <w:szCs w:val="18"/>
        </w:rPr>
        <w:t xml:space="preserve">cd terraform</w:t>
      </w:r>
    </w:p>
    <w:p>
      <w:pPr>
        <w:shd w:fill="F4F4F4" w:val="clear"/>
        <w:spacing w:after="0"/>
        <w:ind w:left="200" w:right="200"/>
      </w:pPr>
      <w:r>
        <w:rPr>
          <w:rFonts w:ascii="Consolas" w:cs="Consolas" w:eastAsia="Consolas" w:hAnsi="Consolas"/>
          <w:sz w:val="18"/>
          <w:szCs w:val="18"/>
        </w:rPr>
        <w:t xml:space="preserve">terraform init      # télécharge les providers (helm, kubernetes)</w:t>
      </w:r>
    </w:p>
    <w:p>
      <w:pPr>
        <w:shd w:fill="F4F4F4" w:val="clear"/>
        <w:spacing w:after="0"/>
        <w:ind w:left="200" w:right="200"/>
      </w:pPr>
      <w:r>
        <w:rPr>
          <w:rFonts w:ascii="Consolas" w:cs="Consolas" w:eastAsia="Consolas" w:hAnsi="Consolas"/>
          <w:sz w:val="18"/>
          <w:szCs w:val="18"/>
        </w:rPr>
        <w:t xml:space="preserve">terraform plan      # montre ce qui VA être créé/modifié (sans rien faire)</w:t>
      </w:r>
    </w:p>
    <w:p>
      <w:pPr>
        <w:shd w:fill="F4F4F4" w:val="clear"/>
        <w:spacing w:after="0"/>
        <w:ind w:left="200" w:right="200"/>
      </w:pPr>
      <w:r>
        <w:rPr>
          <w:rFonts w:ascii="Consolas" w:cs="Consolas" w:eastAsia="Consolas" w:hAnsi="Consolas"/>
          <w:sz w:val="18"/>
          <w:szCs w:val="18"/>
        </w:rPr>
        <w:t xml:space="preserve">terraform apply     # applique réellement -&gt; Harbor s’installe</w:t>
      </w:r>
    </w:p>
    <w:p>
      <w:pPr>
        <w:shd w:fill="F4F4F4" w:val="clear"/>
        <w:spacing w:after="160"/>
        <w:ind w:left="200" w:right="200"/>
      </w:pPr>
      <w:r>
        <w:rPr>
          <w:rFonts w:ascii="Consolas" w:cs="Consolas" w:eastAsia="Consolas" w:hAnsi="Consolas"/>
          <w:sz w:val="18"/>
          <w:szCs w:val="18"/>
        </w:rPr>
        <w:t xml:space="preserve">terraform state list  # liste tout ce qui est géré par l’IaC</w:t>
      </w:r>
    </w:p>
    <w:p>
      <w:pPr>
        <w:pStyle w:val="Heading2"/>
        <w:spacing w:after="100" w:before="240"/>
      </w:pPr>
      <w:r>
        <w:t xml:space="preserve">2.4. Le fichier central : terraform/main.tf, expliqué</w:t>
      </w:r>
    </w:p>
    <w:p>
      <w:pPr>
        <w:spacing w:after="120" w:line="300"/>
        <w:jc w:val="both"/>
      </w:pPr>
      <w:r>
        <w:t xml:space="preserve">C’est LE fichier que l’on te demandera d’expliquer. Rappel de syntaxe : un bloc </w:t>
      </w:r>
      <w:r>
        <w:rPr>
          <w:rFonts w:ascii="Consolas" w:cs="Consolas" w:eastAsia="Consolas" w:hAnsi="Consolas"/>
          <w:sz w:val="19"/>
          <w:szCs w:val="19"/>
        </w:rPr>
        <w:t xml:space="preserve">resource "TYPE" "NOM" { ... }</w:t>
      </w:r>
      <w:r>
        <w:t xml:space="preserve"> déclare une ressource. Le préfixe du type (ex. </w:t>
      </w:r>
      <w:r>
        <w:rPr>
          <w:rFonts w:ascii="Consolas" w:cs="Consolas" w:eastAsia="Consolas" w:hAnsi="Consolas"/>
          <w:sz w:val="19"/>
          <w:szCs w:val="19"/>
        </w:rPr>
        <w:t xml:space="preserve">helm_</w:t>
      </w:r>
      <w:r>
        <w:t xml:space="preserve">, </w:t>
      </w:r>
      <w:r>
        <w:rPr>
          <w:rFonts w:ascii="Consolas" w:cs="Consolas" w:eastAsia="Consolas" w:hAnsi="Consolas"/>
          <w:sz w:val="19"/>
          <w:szCs w:val="19"/>
        </w:rPr>
        <w:t xml:space="preserve">kubernetes_</w:t>
      </w:r>
      <w:r>
        <w:t xml:space="preserve">) indique le </w:t>
      </w:r>
      <w:r>
        <w:rPr>
          <w:b/>
          <w:bCs/>
        </w:rPr>
        <w:t xml:space="preserve">provider</w:t>
      </w:r>
      <w:r>
        <w:t xml:space="preserve"> utilisé. </w:t>
      </w:r>
      <w:r>
        <w:rPr>
          <w:rFonts w:ascii="Consolas" w:cs="Consolas" w:eastAsia="Consolas" w:hAnsi="Consolas"/>
          <w:sz w:val="19"/>
          <w:szCs w:val="19"/>
        </w:rPr>
        <w:t xml:space="preserve">var.xxx</w:t>
      </w:r>
      <w:r>
        <w:t xml:space="preserve"> renvoie à une variable de </w:t>
      </w:r>
      <w:r>
        <w:rPr>
          <w:rFonts w:ascii="Consolas" w:cs="Consolas" w:eastAsia="Consolas" w:hAnsi="Consolas"/>
          <w:sz w:val="19"/>
          <w:szCs w:val="19"/>
        </w:rPr>
        <w:t xml:space="preserve">variables.tf</w:t>
      </w:r>
      <w:r>
        <w:t xml:space="preserve">.</w:t>
      </w:r>
    </w:p>
    <w:p>
      <w:pPr>
        <w:pStyle w:val="Heading3"/>
        <w:spacing w:after="80" w:before="180"/>
      </w:pPr>
      <w:r>
        <w:t xml:space="preserve">a) Les namespaces</w:t>
      </w:r>
    </w:p>
    <w:p>
      <w:pPr>
        <w:shd w:fill="F4F4F4" w:val="clear"/>
        <w:spacing w:after="0"/>
        <w:ind w:left="200" w:right="200"/>
      </w:pPr>
      <w:r>
        <w:rPr>
          <w:rFonts w:ascii="Consolas" w:cs="Consolas" w:eastAsia="Consolas" w:hAnsi="Consolas"/>
          <w:sz w:val="18"/>
          <w:szCs w:val="18"/>
        </w:rPr>
        <w:t xml:space="preserve">resource "kubernetes_namespace" "monitoring" { ... }</w:t>
      </w:r>
    </w:p>
    <w:p>
      <w:pPr>
        <w:shd w:fill="F4F4F4" w:val="clear"/>
        <w:spacing w:after="160"/>
        <w:ind w:left="200" w:right="200"/>
      </w:pPr>
      <w:r>
        <w:rPr>
          <w:rFonts w:ascii="Consolas" w:cs="Consolas" w:eastAsia="Consolas" w:hAnsi="Consolas"/>
          <w:sz w:val="18"/>
          <w:szCs w:val="18"/>
        </w:rPr>
        <w:t xml:space="preserve">resource "kubernetes_namespace" "harbor"     { ... }</w:t>
      </w:r>
    </w:p>
    <w:p>
      <w:pPr>
        <w:spacing w:after="120" w:line="300"/>
        <w:jc w:val="both"/>
      </w:pPr>
      <w:r>
        <w:t xml:space="preserve">Un </w:t>
      </w:r>
      <w:r>
        <w:rPr>
          <w:b/>
          <w:bCs/>
        </w:rPr>
        <w:t xml:space="preserve">namespace</w:t>
      </w:r>
      <w:r>
        <w:t xml:space="preserve"> est une cloison logique dans le cluster pour isoler des ressources. On en crée deux : </w:t>
      </w:r>
      <w:r>
        <w:rPr>
          <w:rFonts w:ascii="Consolas" w:cs="Consolas" w:eastAsia="Consolas" w:hAnsi="Consolas"/>
          <w:sz w:val="19"/>
          <w:szCs w:val="19"/>
        </w:rPr>
        <w:t xml:space="preserve">monitoring</w:t>
      </w:r>
      <w:r>
        <w:t xml:space="preserve"> (Prometheus/Grafana) et </w:t>
      </w:r>
      <w:r>
        <w:rPr>
          <w:rFonts w:ascii="Consolas" w:cs="Consolas" w:eastAsia="Consolas" w:hAnsi="Consolas"/>
          <w:sz w:val="19"/>
          <w:szCs w:val="19"/>
        </w:rPr>
        <w:t xml:space="preserve">harbor</w:t>
      </w:r>
      <w:r>
        <w:t xml:space="preserve"> (le registre). Les </w:t>
      </w:r>
      <w:r>
        <w:rPr>
          <w:rFonts w:ascii="Consolas" w:cs="Consolas" w:eastAsia="Consolas" w:hAnsi="Consolas"/>
          <w:sz w:val="19"/>
          <w:szCs w:val="19"/>
        </w:rPr>
        <w:t xml:space="preserve">labels</w:t>
      </w:r>
      <w:r>
        <w:t xml:space="preserve"> sont de simples étiquettes de documentation.</w:t>
      </w:r>
    </w:p>
    <w:p>
      <w:pPr>
        <w:pStyle w:val="Heading3"/>
        <w:spacing w:after="80" w:before="180"/>
      </w:pPr>
      <w:r>
        <w:t xml:space="preserve">b) La release Helm de la surveillance</w:t>
      </w:r>
    </w:p>
    <w:p>
      <w:pPr>
        <w:shd w:fill="F4F4F4" w:val="clear"/>
        <w:spacing w:after="0"/>
        <w:ind w:left="200" w:right="200"/>
      </w:pPr>
      <w:r>
        <w:rPr>
          <w:rFonts w:ascii="Consolas" w:cs="Consolas" w:eastAsia="Consolas" w:hAnsi="Consolas"/>
          <w:sz w:val="18"/>
          <w:szCs w:val="18"/>
        </w:rPr>
        <w:t xml:space="preserve">resource "helm_release" "kube_prometheus_stack" {</w:t>
      </w:r>
    </w:p>
    <w:p>
      <w:pPr>
        <w:shd w:fill="F4F4F4" w:val="clear"/>
        <w:spacing w:after="0"/>
        <w:ind w:left="200" w:right="200"/>
      </w:pPr>
      <w:r>
        <w:rPr>
          <w:rFonts w:ascii="Consolas" w:cs="Consolas" w:eastAsia="Consolas" w:hAnsi="Consolas"/>
          <w:sz w:val="18"/>
          <w:szCs w:val="18"/>
        </w:rPr>
        <w:t xml:space="preserve">  name       = "kube-prometheus-stack"</w:t>
      </w:r>
    </w:p>
    <w:p>
      <w:pPr>
        <w:shd w:fill="F4F4F4" w:val="clear"/>
        <w:spacing w:after="0"/>
        <w:ind w:left="200" w:right="200"/>
      </w:pPr>
      <w:r>
        <w:rPr>
          <w:rFonts w:ascii="Consolas" w:cs="Consolas" w:eastAsia="Consolas" w:hAnsi="Consolas"/>
          <w:sz w:val="18"/>
          <w:szCs w:val="18"/>
        </w:rPr>
        <w:t xml:space="preserve">  repository = "https://prometheus-community.github.io/helm-charts"</w:t>
      </w:r>
    </w:p>
    <w:p>
      <w:pPr>
        <w:shd w:fill="F4F4F4" w:val="clear"/>
        <w:spacing w:after="0"/>
        <w:ind w:left="200" w:right="200"/>
      </w:pPr>
      <w:r>
        <w:rPr>
          <w:rFonts w:ascii="Consolas" w:cs="Consolas" w:eastAsia="Consolas" w:hAnsi="Consolas"/>
          <w:sz w:val="18"/>
          <w:szCs w:val="18"/>
        </w:rPr>
        <w:t xml:space="preserve">  chart      = "kube-prometheus-stack"</w:t>
      </w:r>
    </w:p>
    <w:p>
      <w:pPr>
        <w:shd w:fill="F4F4F4" w:val="clear"/>
        <w:spacing w:after="0"/>
        <w:ind w:left="200" w:right="200"/>
      </w:pPr>
      <w:r>
        <w:rPr>
          <w:rFonts w:ascii="Consolas" w:cs="Consolas" w:eastAsia="Consolas" w:hAnsi="Consolas"/>
          <w:sz w:val="18"/>
          <w:szCs w:val="18"/>
        </w:rPr>
        <w:t xml:space="preserve">  version    = var.kps_chart_version</w:t>
      </w:r>
    </w:p>
    <w:p>
      <w:pPr>
        <w:shd w:fill="F4F4F4" w:val="clear"/>
        <w:spacing w:after="0"/>
        <w:ind w:left="200" w:right="200"/>
      </w:pPr>
      <w:r>
        <w:rPr>
          <w:rFonts w:ascii="Consolas" w:cs="Consolas" w:eastAsia="Consolas" w:hAnsi="Consolas"/>
          <w:sz w:val="18"/>
          <w:szCs w:val="18"/>
        </w:rPr>
        <w:t xml:space="preserve">  namespace  = kubernetes_namespace.monitoring.metadata[0].name</w:t>
      </w:r>
    </w:p>
    <w:p>
      <w:pPr>
        <w:shd w:fill="F4F4F4" w:val="clear"/>
        <w:spacing w:after="0"/>
        <w:ind w:left="200" w:right="200"/>
      </w:pPr>
      <w:r>
        <w:rPr>
          <w:rFonts w:ascii="Consolas" w:cs="Consolas" w:eastAsia="Consolas" w:hAnsi="Consolas"/>
          <w:sz w:val="18"/>
          <w:szCs w:val="18"/>
        </w:rPr>
        <w:t xml:space="preserve">  values         = [ templatefile(".../kube-prometheus-stack.yaml.tftpl", {...}) ]</w:t>
      </w:r>
    </w:p>
    <w:p>
      <w:pPr>
        <w:shd w:fill="F4F4F4" w:val="clear"/>
        <w:spacing w:after="0"/>
        <w:ind w:left="200" w:right="200"/>
      </w:pPr>
      <w:r>
        <w:rPr>
          <w:rFonts w:ascii="Consolas" w:cs="Consolas" w:eastAsia="Consolas" w:hAnsi="Consolas"/>
          <w:sz w:val="18"/>
          <w:szCs w:val="18"/>
        </w:rPr>
        <w:t xml:space="preserve">  set_sensitive  { name = "grafana.adminPassword"  value = var.grafana_admin_password }</w:t>
      </w:r>
    </w:p>
    <w:p>
      <w:pPr>
        <w:shd w:fill="F4F4F4" w:val="clear"/>
        <w:spacing w:after="0"/>
        <w:ind w:left="200" w:right="200"/>
      </w:pPr>
      <w:r>
        <w:rPr>
          <w:rFonts w:ascii="Consolas" w:cs="Consolas" w:eastAsia="Consolas" w:hAnsi="Consolas"/>
          <w:sz w:val="18"/>
          <w:szCs w:val="18"/>
        </w:rPr>
        <w:t xml:space="preserve">  timeout = 900   wait = true</w:t>
      </w:r>
    </w:p>
    <w:p>
      <w:pPr>
        <w:shd w:fill="F4F4F4" w:val="clear"/>
        <w:spacing w:after="160"/>
        <w:ind w:left="200" w:right="200"/>
      </w:pPr>
      <w:r>
        <w:rPr>
          <w:rFonts w:ascii="Consolas" w:cs="Consolas" w:eastAsia="Consolas" w:hAnsi="Consolas"/>
          <w:sz w:val="18"/>
          <w:szCs w:val="18"/>
        </w:rPr>
        <w:t xml:space="preserve">}</w:t>
      </w:r>
    </w:p>
    <w:p>
      <w:pPr>
        <w:pStyle w:val="ListParagraph"/>
        <w:numPr>
          <w:ilvl w:val="0"/>
          <w:numId w:val="2"/>
        </w:numPr>
        <w:spacing w:after="80" w:line="290"/>
        <w:jc w:val="both"/>
      </w:pPr>
      <w:r>
        <w:rPr>
          <w:rFonts w:ascii="Consolas" w:cs="Consolas" w:eastAsia="Consolas" w:hAnsi="Consolas"/>
          <w:sz w:val="19"/>
          <w:szCs w:val="19"/>
        </w:rPr>
        <w:t xml:space="preserve">helm_release</w:t>
      </w:r>
      <w:r>
        <w:t xml:space="preserve"> = « installe un chart Helm ».</w:t>
      </w:r>
    </w:p>
    <w:p>
      <w:pPr>
        <w:pStyle w:val="ListParagraph"/>
        <w:numPr>
          <w:ilvl w:val="0"/>
          <w:numId w:val="2"/>
        </w:numPr>
        <w:spacing w:after="80" w:line="290"/>
        <w:jc w:val="both"/>
      </w:pPr>
      <w:r>
        <w:rPr>
          <w:rFonts w:ascii="Consolas" w:cs="Consolas" w:eastAsia="Consolas" w:hAnsi="Consolas"/>
          <w:sz w:val="19"/>
          <w:szCs w:val="19"/>
        </w:rPr>
        <w:t xml:space="preserve">repository / chart / version</w:t>
      </w:r>
      <w:r>
        <w:t xml:space="preserve"> = d’où vient le paquet, lequel, et quelle version (épinglée → reproductible).</w:t>
      </w:r>
    </w:p>
    <w:p>
      <w:pPr>
        <w:pStyle w:val="ListParagraph"/>
        <w:numPr>
          <w:ilvl w:val="0"/>
          <w:numId w:val="2"/>
        </w:numPr>
        <w:spacing w:after="80" w:line="290"/>
        <w:jc w:val="both"/>
      </w:pPr>
      <w:r>
        <w:rPr>
          <w:rFonts w:ascii="Consolas" w:cs="Consolas" w:eastAsia="Consolas" w:hAnsi="Consolas"/>
          <w:sz w:val="19"/>
          <w:szCs w:val="19"/>
        </w:rPr>
        <w:t xml:space="preserve">namespace = kubernetes_namespace.monitoring…</w:t>
      </w:r>
      <w:r>
        <w:t xml:space="preserve"> : en référençant le namespace, Terraform comprend qu’il doit le créer AVANT (dépendance implicite). Le </w:t>
      </w:r>
      <w:r>
        <w:rPr>
          <w:rFonts w:ascii="Consolas" w:cs="Consolas" w:eastAsia="Consolas" w:hAnsi="Consolas"/>
          <w:sz w:val="19"/>
          <w:szCs w:val="19"/>
        </w:rPr>
        <w:t xml:space="preserve">[0]</w:t>
      </w:r>
      <w:r>
        <w:t xml:space="preserve"> vient du fait que </w:t>
      </w:r>
      <w:r>
        <w:rPr>
          <w:rFonts w:ascii="Consolas" w:cs="Consolas" w:eastAsia="Consolas" w:hAnsi="Consolas"/>
          <w:sz w:val="19"/>
          <w:szCs w:val="19"/>
        </w:rPr>
        <w:t xml:space="preserve">metadata</w:t>
      </w:r>
      <w:r>
        <w:t xml:space="preserve"> est une liste.</w:t>
      </w:r>
    </w:p>
    <w:p>
      <w:pPr>
        <w:pStyle w:val="ListParagraph"/>
        <w:numPr>
          <w:ilvl w:val="0"/>
          <w:numId w:val="2"/>
        </w:numPr>
        <w:spacing w:after="80" w:line="290"/>
        <w:jc w:val="both"/>
      </w:pPr>
      <w:r>
        <w:rPr>
          <w:rFonts w:ascii="Consolas" w:cs="Consolas" w:eastAsia="Consolas" w:hAnsi="Consolas"/>
          <w:sz w:val="19"/>
          <w:szCs w:val="19"/>
        </w:rPr>
        <w:t xml:space="preserve">values = [ templatefile(...) ]</w:t>
      </w:r>
      <w:r>
        <w:t xml:space="preserve"> : les réglages Helm sont externalisés dans un fichier YAML, dans lequel </w:t>
      </w:r>
      <w:r>
        <w:rPr>
          <w:rFonts w:ascii="Consolas" w:cs="Consolas" w:eastAsia="Consolas" w:hAnsi="Consolas"/>
          <w:sz w:val="19"/>
          <w:szCs w:val="19"/>
        </w:rPr>
        <w:t xml:space="preserve">templatefile</w:t>
      </w:r>
      <w:r>
        <w:t xml:space="preserve"> injecte des variables (les ports). </w:t>
      </w:r>
      <w:r>
        <w:rPr>
          <w:rFonts w:ascii="Consolas" w:cs="Consolas" w:eastAsia="Consolas" w:hAnsi="Consolas"/>
          <w:sz w:val="19"/>
          <w:szCs w:val="19"/>
        </w:rPr>
        <w:t xml:space="preserve">.tftpl</w:t>
      </w:r>
      <w:r>
        <w:t xml:space="preserve"> = Terraform template.</w:t>
      </w:r>
    </w:p>
    <w:p>
      <w:pPr>
        <w:pStyle w:val="ListParagraph"/>
        <w:numPr>
          <w:ilvl w:val="0"/>
          <w:numId w:val="2"/>
        </w:numPr>
        <w:spacing w:after="80" w:line="290"/>
        <w:jc w:val="both"/>
      </w:pPr>
      <w:r>
        <w:rPr>
          <w:rFonts w:ascii="Consolas" w:cs="Consolas" w:eastAsia="Consolas" w:hAnsi="Consolas"/>
          <w:sz w:val="19"/>
          <w:szCs w:val="19"/>
        </w:rPr>
        <w:t xml:space="preserve">set_sensitive</w:t>
      </w:r>
      <w:r>
        <w:t xml:space="preserve"> : injecte une valeur secrète (mot de passe) en la </w:t>
      </w:r>
      <w:r>
        <w:rPr>
          <w:b/>
          <w:bCs/>
        </w:rPr>
        <w:t xml:space="preserve">masquant</w:t>
      </w:r>
      <w:r>
        <w:t xml:space="preserve"> dans les logs.</w:t>
      </w:r>
    </w:p>
    <w:p>
      <w:pPr>
        <w:pStyle w:val="ListParagraph"/>
        <w:numPr>
          <w:ilvl w:val="0"/>
          <w:numId w:val="2"/>
        </w:numPr>
        <w:spacing w:after="80" w:line="290"/>
        <w:jc w:val="both"/>
      </w:pPr>
      <w:r>
        <w:rPr>
          <w:rFonts w:ascii="Consolas" w:cs="Consolas" w:eastAsia="Consolas" w:hAnsi="Consolas"/>
          <w:sz w:val="19"/>
          <w:szCs w:val="19"/>
        </w:rPr>
        <w:t xml:space="preserve">timeout = 900 / wait = true</w:t>
      </w:r>
      <w:r>
        <w:t xml:space="preserve"> : attendre jusqu’à 15 min que tous les pods soient prêts.</w:t>
      </w:r>
    </w:p>
    <w:p>
      <w:pPr>
        <w:pStyle w:val="Heading3"/>
        <w:spacing w:after="80" w:before="180"/>
      </w:pPr>
      <w:r>
        <w:t xml:space="preserve">c) La release Helm de Harbor (+ le depends_on clé)</w:t>
      </w:r>
    </w:p>
    <w:p>
      <w:pPr>
        <w:shd w:fill="F4F4F4" w:val="clear"/>
        <w:spacing w:after="0"/>
        <w:ind w:left="200" w:right="200"/>
      </w:pPr>
      <w:r>
        <w:rPr>
          <w:rFonts w:ascii="Consolas" w:cs="Consolas" w:eastAsia="Consolas" w:hAnsi="Consolas"/>
          <w:sz w:val="18"/>
          <w:szCs w:val="18"/>
        </w:rPr>
        <w:t xml:space="preserve">resource "helm_release" "harbor" {</w:t>
      </w:r>
    </w:p>
    <w:p>
      <w:pPr>
        <w:shd w:fill="F4F4F4" w:val="clear"/>
        <w:spacing w:after="0"/>
        <w:ind w:left="200" w:right="200"/>
      </w:pPr>
      <w:r>
        <w:rPr>
          <w:rFonts w:ascii="Consolas" w:cs="Consolas" w:eastAsia="Consolas" w:hAnsi="Consolas"/>
          <w:sz w:val="18"/>
          <w:szCs w:val="18"/>
        </w:rPr>
        <w:t xml:space="preserve">  ... chart = "harbor", repository = "https://helm.goharbor.io" ...</w:t>
      </w:r>
    </w:p>
    <w:p>
      <w:pPr>
        <w:shd w:fill="F4F4F4" w:val="clear"/>
        <w:spacing w:after="0"/>
        <w:ind w:left="200" w:right="200"/>
      </w:pPr>
      <w:r>
        <w:rPr>
          <w:rFonts w:ascii="Consolas" w:cs="Consolas" w:eastAsia="Consolas" w:hAnsi="Consolas"/>
          <w:sz w:val="18"/>
          <w:szCs w:val="18"/>
        </w:rPr>
        <w:t xml:space="preserve">  set_sensitive { name = "harborAdminPassword"  value = var.harbor_admin_password }</w:t>
      </w:r>
    </w:p>
    <w:p>
      <w:pPr>
        <w:shd w:fill="F4F4F4" w:val="clear"/>
        <w:spacing w:after="0"/>
        <w:ind w:left="200" w:right="200"/>
      </w:pPr>
      <w:r>
        <w:rPr>
          <w:rFonts w:ascii="Consolas" w:cs="Consolas" w:eastAsia="Consolas" w:hAnsi="Consolas"/>
          <w:sz w:val="18"/>
          <w:szCs w:val="18"/>
        </w:rPr>
        <w:t xml:space="preserve">  depends_on = [helm_release.kube_prometheus_stack]   # &lt;-- IMPORTANT</w:t>
      </w:r>
    </w:p>
    <w:p>
      <w:pPr>
        <w:shd w:fill="F4F4F4" w:val="clear"/>
        <w:spacing w:after="160"/>
        <w:ind w:left="200" w:right="200"/>
      </w:pPr>
      <w:r>
        <w:rPr>
          <w:rFonts w:ascii="Consolas" w:cs="Consolas" w:eastAsia="Consolas" w:hAnsi="Consolas"/>
          <w:sz w:val="18"/>
          <w:szCs w:val="18"/>
        </w:rPr>
        <w:t xml:space="preserve">}</w:t>
      </w:r>
    </w:p>
    <w:p>
      <w:pPr>
        <w:spacing w:after="120" w:line="300"/>
        <w:jc w:val="both"/>
      </w:pPr>
      <w:r>
        <w:rPr>
          <w:b/>
          <w:bCs/>
        </w:rPr>
        <w:t xml:space="preserve">Pourquoi le </w:t>
      </w:r>
      <w:r>
        <w:rPr>
          <w:rFonts w:ascii="Consolas" w:cs="Consolas" w:eastAsia="Consolas" w:hAnsi="Consolas"/>
          <w:sz w:val="19"/>
          <w:szCs w:val="19"/>
        </w:rPr>
        <w:t xml:space="preserve">depends_on</w:t>
      </w:r>
      <w:r>
        <w:rPr>
          <w:b/>
          <w:bCs/>
        </w:rPr>
        <w:t xml:space="preserve"> ? </w:t>
      </w:r>
      <w:r>
        <w:t xml:space="preserve">Harbor crée un objet </w:t>
      </w:r>
      <w:r>
        <w:rPr>
          <w:rFonts w:ascii="Consolas" w:cs="Consolas" w:eastAsia="Consolas" w:hAnsi="Consolas"/>
          <w:sz w:val="19"/>
          <w:szCs w:val="19"/>
        </w:rPr>
        <w:t xml:space="preserve">ServiceMonitor</w:t>
      </w:r>
      <w:r>
        <w:t xml:space="preserve"> (l’objet qui dit à Prometheus de venir le surveiller). Or ce type d’objet est une </w:t>
      </w:r>
      <w:r>
        <w:rPr>
          <w:b/>
          <w:bCs/>
        </w:rPr>
        <w:t xml:space="preserve">CRD</w:t>
      </w:r>
      <w:r>
        <w:t xml:space="preserve"> (Custom Resource Definition = un nouveau type d’objet ajouté à Kubernetes) </w:t>
      </w:r>
      <w:r>
        <w:rPr>
          <w:b/>
          <w:bCs/>
        </w:rPr>
        <w:t xml:space="preserve">apportée par la stack Prometheus</w:t>
      </w:r>
      <w:r>
        <w:t xml:space="preserve">. Il faut donc installer Prometheus en premier. Le </w:t>
      </w:r>
      <w:r>
        <w:rPr>
          <w:rFonts w:ascii="Consolas" w:cs="Consolas" w:eastAsia="Consolas" w:hAnsi="Consolas"/>
          <w:sz w:val="19"/>
          <w:szCs w:val="19"/>
        </w:rPr>
        <w:t xml:space="preserve">depends_on</w:t>
      </w:r>
      <w:r>
        <w:t xml:space="preserve"> force cet ordre.</w:t>
      </w:r>
    </w:p>
    <w:p>
      <w:pPr>
        <w:pStyle w:val="Heading2"/>
        <w:spacing w:after="100" w:before="240"/>
      </w:pPr>
      <w:r>
        <w:t xml:space="preserve">2.5. Les autres fichiers du dossier terraform/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tblHeader/>
        </w:trPr>
        <w:tc>
          <w:tcPr>
            <w:tcW w:type="dxa" w:w="2600"/>
            <w:tcBorders>
              <w:top w:val="single" w:color="B0B0B0" w:sz="2"/>
              <w:left w:val="single" w:color="B0B0B0" w:sz="2"/>
              <w:bottom w:val="single" w:color="B0B0B0" w:sz="2"/>
              <w:right w:val="single" w:color="B0B0B0" w:sz="2"/>
            </w:tcBorders>
            <w:shd w:fill="2E5E8C" w:val="clear"/>
            <w:tcMar>
              <w:top w:type="dxa" w:w="60"/>
              <w:left w:type="dxa" w:w="110"/>
              <w:bottom w:type="dxa" w:w="60"/>
              <w:right w:type="dxa" w:w="110"/>
            </w:tcMar>
            <w:vAlign w:val="center"/>
          </w:tcPr>
          <w:p>
            <w:pPr>
              <w:spacing w:after="0"/>
            </w:pPr>
            <w:r>
              <w:rPr>
                <w:b/>
                <w:bCs/>
                <w:color w:val="FFFFFF"/>
                <w:sz w:val="19"/>
                <w:szCs w:val="19"/>
              </w:rPr>
              <w:t xml:space="preserve">Fichier</w:t>
            </w:r>
          </w:p>
        </w:tc>
        <w:tc>
          <w:tcPr>
            <w:tcW w:type="dxa" w:w="7038"/>
            <w:tcBorders>
              <w:top w:val="single" w:color="B0B0B0" w:sz="2"/>
              <w:left w:val="single" w:color="B0B0B0" w:sz="2"/>
              <w:bottom w:val="single" w:color="B0B0B0" w:sz="2"/>
              <w:right w:val="single" w:color="B0B0B0" w:sz="2"/>
            </w:tcBorders>
            <w:shd w:fill="2E5E8C" w:val="clear"/>
            <w:tcMar>
              <w:top w:type="dxa" w:w="60"/>
              <w:left w:type="dxa" w:w="110"/>
              <w:bottom w:type="dxa" w:w="60"/>
              <w:right w:type="dxa" w:w="110"/>
            </w:tcMar>
            <w:vAlign w:val="center"/>
          </w:tcPr>
          <w:p>
            <w:pPr>
              <w:spacing w:after="0"/>
            </w:pPr>
            <w:r>
              <w:rPr>
                <w:b/>
                <w:bCs/>
                <w:color w:val="FFFFFF"/>
                <w:sz w:val="19"/>
                <w:szCs w:val="19"/>
              </w:rPr>
              <w:t xml:space="preserve">Rôle</w:t>
            </w:r>
          </w:p>
        </w:tc>
      </w:tr>
      <w:tr>
        <w:tc>
          <w:tcPr>
            <w:tcW w:type="dxa" w:w="2600"/>
            <w:tcBorders>
              <w:top w:val="single" w:color="B0B0B0" w:sz="2"/>
              <w:left w:val="single" w:color="B0B0B0" w:sz="2"/>
              <w:bottom w:val="single" w:color="B0B0B0" w:sz="2"/>
              <w:right w:val="single" w:color="B0B0B0" w:sz="2"/>
            </w:tcBorders>
            <w:tcMar>
              <w:top w:type="dxa" w:w="60"/>
              <w:left w:type="dxa" w:w="110"/>
              <w:bottom w:type="dxa" w:w="60"/>
              <w:right w:type="dxa" w:w="110"/>
            </w:tcMar>
            <w:vAlign w:val="center"/>
          </w:tcPr>
          <w:p>
            <w:pPr>
              <w:spacing w:after="0"/>
            </w:pPr>
            <w:r>
              <w:rPr>
                <w:b w:val="false"/>
                <w:bCs w:val="false"/>
                <w:sz w:val="19"/>
                <w:szCs w:val="19"/>
              </w:rPr>
              <w:t xml:space="preserve">versions.tf</w:t>
            </w:r>
          </w:p>
        </w:tc>
        <w:tc>
          <w:tcPr>
            <w:tcW w:type="dxa" w:w="7038"/>
            <w:tcBorders>
              <w:top w:val="single" w:color="B0B0B0" w:sz="2"/>
              <w:left w:val="single" w:color="B0B0B0" w:sz="2"/>
              <w:bottom w:val="single" w:color="B0B0B0" w:sz="2"/>
              <w:right w:val="single" w:color="B0B0B0" w:sz="2"/>
            </w:tcBorders>
            <w:tcMar>
              <w:top w:type="dxa" w:w="60"/>
              <w:left w:type="dxa" w:w="110"/>
              <w:bottom w:type="dxa" w:w="60"/>
              <w:right w:type="dxa" w:w="110"/>
            </w:tcMar>
            <w:vAlign w:val="center"/>
          </w:tcPr>
          <w:p>
            <w:pPr>
              <w:spacing w:after="0"/>
            </w:pPr>
            <w:r>
              <w:rPr>
                <w:b w:val="false"/>
                <w:bCs w:val="false"/>
                <w:sz w:val="19"/>
                <w:szCs w:val="19"/>
              </w:rPr>
              <w:t xml:space="preserve">Versions de Terraform et des providers (helm, kubernetes).</w:t>
            </w:r>
          </w:p>
        </w:tc>
      </w:tr>
      <w:tr>
        <w:tc>
          <w:tcPr>
            <w:tcW w:type="dxa" w:w="2600"/>
            <w:tcBorders>
              <w:top w:val="single" w:color="B0B0B0" w:sz="2"/>
              <w:left w:val="single" w:color="B0B0B0" w:sz="2"/>
              <w:bottom w:val="single" w:color="B0B0B0" w:sz="2"/>
              <w:right w:val="single" w:color="B0B0B0" w:sz="2"/>
            </w:tcBorders>
            <w:tcMar>
              <w:top w:type="dxa" w:w="60"/>
              <w:left w:type="dxa" w:w="110"/>
              <w:bottom w:type="dxa" w:w="60"/>
              <w:right w:type="dxa" w:w="110"/>
            </w:tcMar>
            <w:vAlign w:val="center"/>
          </w:tcPr>
          <w:p>
            <w:pPr>
              <w:spacing w:after="0"/>
            </w:pPr>
            <w:r>
              <w:rPr>
                <w:b w:val="false"/>
                <w:bCs w:val="false"/>
                <w:sz w:val="19"/>
                <w:szCs w:val="19"/>
              </w:rPr>
              <w:t xml:space="preserve">providers.tf</w:t>
            </w:r>
          </w:p>
        </w:tc>
        <w:tc>
          <w:tcPr>
            <w:tcW w:type="dxa" w:w="7038"/>
            <w:tcBorders>
              <w:top w:val="single" w:color="B0B0B0" w:sz="2"/>
              <w:left w:val="single" w:color="B0B0B0" w:sz="2"/>
              <w:bottom w:val="single" w:color="B0B0B0" w:sz="2"/>
              <w:right w:val="single" w:color="B0B0B0" w:sz="2"/>
            </w:tcBorders>
            <w:tcMar>
              <w:top w:type="dxa" w:w="60"/>
              <w:left w:type="dxa" w:w="110"/>
              <w:bottom w:type="dxa" w:w="60"/>
              <w:right w:type="dxa" w:w="110"/>
            </w:tcMar>
            <w:vAlign w:val="center"/>
          </w:tcPr>
          <w:p>
            <w:pPr>
              <w:spacing w:after="0"/>
            </w:pPr>
            <w:r>
              <w:rPr>
                <w:b w:val="false"/>
                <w:bCs w:val="false"/>
                <w:sz w:val="19"/>
                <w:szCs w:val="19"/>
              </w:rPr>
              <w:t xml:space="preserve">Connexion au cluster k3d (via le kubeconfig, contexte k3d-harbor).</w:t>
            </w:r>
          </w:p>
        </w:tc>
      </w:tr>
      <w:tr>
        <w:tc>
          <w:tcPr>
            <w:tcW w:type="dxa" w:w="2600"/>
            <w:tcBorders>
              <w:top w:val="single" w:color="B0B0B0" w:sz="2"/>
              <w:left w:val="single" w:color="B0B0B0" w:sz="2"/>
              <w:bottom w:val="single" w:color="B0B0B0" w:sz="2"/>
              <w:right w:val="single" w:color="B0B0B0" w:sz="2"/>
            </w:tcBorders>
            <w:tcMar>
              <w:top w:type="dxa" w:w="60"/>
              <w:left w:type="dxa" w:w="110"/>
              <w:bottom w:type="dxa" w:w="60"/>
              <w:right w:type="dxa" w:w="110"/>
            </w:tcMar>
            <w:vAlign w:val="center"/>
          </w:tcPr>
          <w:p>
            <w:pPr>
              <w:spacing w:after="0"/>
            </w:pPr>
            <w:r>
              <w:rPr>
                <w:b w:val="false"/>
                <w:bCs w:val="false"/>
                <w:sz w:val="19"/>
                <w:szCs w:val="19"/>
              </w:rPr>
              <w:t xml:space="preserve">variables.tf</w:t>
            </w:r>
          </w:p>
        </w:tc>
        <w:tc>
          <w:tcPr>
            <w:tcW w:type="dxa" w:w="7038"/>
            <w:tcBorders>
              <w:top w:val="single" w:color="B0B0B0" w:sz="2"/>
              <w:left w:val="single" w:color="B0B0B0" w:sz="2"/>
              <w:bottom w:val="single" w:color="B0B0B0" w:sz="2"/>
              <w:right w:val="single" w:color="B0B0B0" w:sz="2"/>
            </w:tcBorders>
            <w:tcMar>
              <w:top w:type="dxa" w:w="60"/>
              <w:left w:type="dxa" w:w="110"/>
              <w:bottom w:type="dxa" w:w="60"/>
              <w:right w:type="dxa" w:w="110"/>
            </w:tcMar>
            <w:vAlign w:val="center"/>
          </w:tcPr>
          <w:p>
            <w:pPr>
              <w:spacing w:after="0"/>
            </w:pPr>
            <w:r>
              <w:rPr>
                <w:b w:val="false"/>
                <w:bCs w:val="false"/>
                <w:sz w:val="19"/>
                <w:szCs w:val="19"/>
              </w:rPr>
              <w:t xml:space="preserve">Tous les paramètres : mots de passe, ports, versions des charts.</w:t>
            </w:r>
          </w:p>
        </w:tc>
      </w:tr>
      <w:tr>
        <w:tc>
          <w:tcPr>
            <w:tcW w:type="dxa" w:w="2600"/>
            <w:tcBorders>
              <w:top w:val="single" w:color="B0B0B0" w:sz="2"/>
              <w:left w:val="single" w:color="B0B0B0" w:sz="2"/>
              <w:bottom w:val="single" w:color="B0B0B0" w:sz="2"/>
              <w:right w:val="single" w:color="B0B0B0" w:sz="2"/>
            </w:tcBorders>
            <w:tcMar>
              <w:top w:type="dxa" w:w="60"/>
              <w:left w:type="dxa" w:w="110"/>
              <w:bottom w:type="dxa" w:w="60"/>
              <w:right w:type="dxa" w:w="110"/>
            </w:tcMar>
            <w:vAlign w:val="center"/>
          </w:tcPr>
          <w:p>
            <w:pPr>
              <w:spacing w:after="0"/>
            </w:pPr>
            <w:r>
              <w:rPr>
                <w:b w:val="false"/>
                <w:bCs w:val="false"/>
                <w:sz w:val="19"/>
                <w:szCs w:val="19"/>
              </w:rPr>
              <w:t xml:space="preserve">values/harbor.yaml.tftpl</w:t>
            </w:r>
          </w:p>
        </w:tc>
        <w:tc>
          <w:tcPr>
            <w:tcW w:type="dxa" w:w="7038"/>
            <w:tcBorders>
              <w:top w:val="single" w:color="B0B0B0" w:sz="2"/>
              <w:left w:val="single" w:color="B0B0B0" w:sz="2"/>
              <w:bottom w:val="single" w:color="B0B0B0" w:sz="2"/>
              <w:right w:val="single" w:color="B0B0B0" w:sz="2"/>
            </w:tcBorders>
            <w:tcMar>
              <w:top w:type="dxa" w:w="60"/>
              <w:left w:type="dxa" w:w="110"/>
              <w:bottom w:type="dxa" w:w="60"/>
              <w:right w:type="dxa" w:w="110"/>
            </w:tcMar>
            <w:vAlign w:val="center"/>
          </w:tcPr>
          <w:p>
            <w:pPr>
              <w:spacing w:after="0"/>
            </w:pPr>
            <w:r>
              <w:rPr>
                <w:b w:val="false"/>
                <w:bCs w:val="false"/>
                <w:sz w:val="19"/>
                <w:szCs w:val="19"/>
              </w:rPr>
              <w:t xml:space="preserve">Réglages Harbor : exposition NodePort, scanner Trivy activé, métriques + ServiceMonitor activés.</w:t>
            </w:r>
          </w:p>
        </w:tc>
      </w:tr>
      <w:tr>
        <w:tc>
          <w:tcPr>
            <w:tcW w:type="dxa" w:w="2600"/>
            <w:tcBorders>
              <w:top w:val="single" w:color="B0B0B0" w:sz="2"/>
              <w:left w:val="single" w:color="B0B0B0" w:sz="2"/>
              <w:bottom w:val="single" w:color="B0B0B0" w:sz="2"/>
              <w:right w:val="single" w:color="B0B0B0" w:sz="2"/>
            </w:tcBorders>
            <w:tcMar>
              <w:top w:type="dxa" w:w="60"/>
              <w:left w:type="dxa" w:w="110"/>
              <w:bottom w:type="dxa" w:w="60"/>
              <w:right w:type="dxa" w:w="110"/>
            </w:tcMar>
            <w:vAlign w:val="center"/>
          </w:tcPr>
          <w:p>
            <w:pPr>
              <w:spacing w:after="0"/>
            </w:pPr>
            <w:r>
              <w:rPr>
                <w:b w:val="false"/>
                <w:bCs w:val="false"/>
                <w:sz w:val="19"/>
                <w:szCs w:val="19"/>
              </w:rPr>
              <w:t xml:space="preserve">values/kube-prometheus-stack.yaml.tftpl</w:t>
            </w:r>
          </w:p>
        </w:tc>
        <w:tc>
          <w:tcPr>
            <w:tcW w:type="dxa" w:w="7038"/>
            <w:tcBorders>
              <w:top w:val="single" w:color="B0B0B0" w:sz="2"/>
              <w:left w:val="single" w:color="B0B0B0" w:sz="2"/>
              <w:bottom w:val="single" w:color="B0B0B0" w:sz="2"/>
              <w:right w:val="single" w:color="B0B0B0" w:sz="2"/>
            </w:tcBorders>
            <w:tcMar>
              <w:top w:type="dxa" w:w="60"/>
              <w:left w:type="dxa" w:w="110"/>
              <w:bottom w:type="dxa" w:w="60"/>
              <w:right w:type="dxa" w:w="110"/>
            </w:tcMar>
            <w:vAlign w:val="center"/>
          </w:tcPr>
          <w:p>
            <w:pPr>
              <w:spacing w:after="0"/>
            </w:pPr>
            <w:r>
              <w:rPr>
                <w:b w:val="false"/>
                <w:bCs w:val="false"/>
                <w:sz w:val="19"/>
                <w:szCs w:val="19"/>
              </w:rPr>
              <w:t xml:space="preserve">Réglages Prometheus/Grafana : NodePort, sélection de tous les ServiceMonitor, renderer Grafana.</w:t>
            </w:r>
          </w:p>
        </w:tc>
      </w:tr>
      <w:tr>
        <w:tc>
          <w:tcPr>
            <w:tcW w:type="dxa" w:w="2600"/>
            <w:tcBorders>
              <w:top w:val="single" w:color="B0B0B0" w:sz="2"/>
              <w:left w:val="single" w:color="B0B0B0" w:sz="2"/>
              <w:bottom w:val="single" w:color="B0B0B0" w:sz="2"/>
              <w:right w:val="single" w:color="B0B0B0" w:sz="2"/>
            </w:tcBorders>
            <w:tcMar>
              <w:top w:type="dxa" w:w="60"/>
              <w:left w:type="dxa" w:w="110"/>
              <w:bottom w:type="dxa" w:w="60"/>
              <w:right w:type="dxa" w:w="110"/>
            </w:tcMar>
            <w:vAlign w:val="center"/>
          </w:tcPr>
          <w:p>
            <w:pPr>
              <w:spacing w:after="0"/>
            </w:pPr>
            <w:r>
              <w:rPr>
                <w:b w:val="false"/>
                <w:bCs w:val="false"/>
                <w:sz w:val="19"/>
                <w:szCs w:val="19"/>
              </w:rPr>
              <w:t xml:space="preserve">cve-exporter.tf</w:t>
            </w:r>
          </w:p>
        </w:tc>
        <w:tc>
          <w:tcPr>
            <w:tcW w:type="dxa" w:w="7038"/>
            <w:tcBorders>
              <w:top w:val="single" w:color="B0B0B0" w:sz="2"/>
              <w:left w:val="single" w:color="B0B0B0" w:sz="2"/>
              <w:bottom w:val="single" w:color="B0B0B0" w:sz="2"/>
              <w:right w:val="single" w:color="B0B0B0" w:sz="2"/>
            </w:tcBorders>
            <w:tcMar>
              <w:top w:type="dxa" w:w="60"/>
              <w:left w:type="dxa" w:w="110"/>
              <w:bottom w:type="dxa" w:w="60"/>
              <w:right w:type="dxa" w:w="110"/>
            </w:tcMar>
            <w:vAlign w:val="center"/>
          </w:tcPr>
          <w:p>
            <w:pPr>
              <w:spacing w:after="0"/>
            </w:pPr>
            <w:r>
              <w:rPr>
                <w:b w:val="false"/>
                <w:bCs w:val="false"/>
                <w:sz w:val="19"/>
                <w:szCs w:val="19"/>
              </w:rPr>
              <w:t xml:space="preserve">Déploiement de l’exporter CVE maison (voir Pilier 3).</w:t>
            </w:r>
          </w:p>
        </w:tc>
      </w:tr>
      <w:tr>
        <w:tc>
          <w:tcPr>
            <w:tcW w:type="dxa" w:w="2600"/>
            <w:tcBorders>
              <w:top w:val="single" w:color="B0B0B0" w:sz="2"/>
              <w:left w:val="single" w:color="B0B0B0" w:sz="2"/>
              <w:bottom w:val="single" w:color="B0B0B0" w:sz="2"/>
              <w:right w:val="single" w:color="B0B0B0" w:sz="2"/>
            </w:tcBorders>
            <w:tcMar>
              <w:top w:type="dxa" w:w="60"/>
              <w:left w:type="dxa" w:w="110"/>
              <w:bottom w:type="dxa" w:w="60"/>
              <w:right w:type="dxa" w:w="110"/>
            </w:tcMar>
            <w:vAlign w:val="center"/>
          </w:tcPr>
          <w:p>
            <w:pPr>
              <w:spacing w:after="0"/>
            </w:pPr>
            <w:r>
              <w:rPr>
                <w:b w:val="false"/>
                <w:bCs w:val="false"/>
                <w:sz w:val="19"/>
                <w:szCs w:val="19"/>
              </w:rPr>
              <w:t xml:space="preserve">grafana-dashboard.tf</w:t>
            </w:r>
          </w:p>
        </w:tc>
        <w:tc>
          <w:tcPr>
            <w:tcW w:type="dxa" w:w="7038"/>
            <w:tcBorders>
              <w:top w:val="single" w:color="B0B0B0" w:sz="2"/>
              <w:left w:val="single" w:color="B0B0B0" w:sz="2"/>
              <w:bottom w:val="single" w:color="B0B0B0" w:sz="2"/>
              <w:right w:val="single" w:color="B0B0B0" w:sz="2"/>
            </w:tcBorders>
            <w:tcMar>
              <w:top w:type="dxa" w:w="60"/>
              <w:left w:type="dxa" w:w="110"/>
              <w:bottom w:type="dxa" w:w="60"/>
              <w:right w:type="dxa" w:w="110"/>
            </w:tcMar>
            <w:vAlign w:val="center"/>
          </w:tcPr>
          <w:p>
            <w:pPr>
              <w:spacing w:after="0"/>
            </w:pPr>
            <w:r>
              <w:rPr>
                <w:b w:val="false"/>
                <w:bCs w:val="false"/>
                <w:sz w:val="19"/>
                <w:szCs w:val="19"/>
              </w:rPr>
              <w:t xml:space="preserve">Charge le dashboard Grafana via une ConfigMap.</w:t>
            </w:r>
          </w:p>
        </w:tc>
      </w:tr>
      <w:tr>
        <w:tc>
          <w:tcPr>
            <w:tcW w:type="dxa" w:w="2600"/>
            <w:tcBorders>
              <w:top w:val="single" w:color="B0B0B0" w:sz="2"/>
              <w:left w:val="single" w:color="B0B0B0" w:sz="2"/>
              <w:bottom w:val="single" w:color="B0B0B0" w:sz="2"/>
              <w:right w:val="single" w:color="B0B0B0" w:sz="2"/>
            </w:tcBorders>
            <w:tcMar>
              <w:top w:type="dxa" w:w="60"/>
              <w:left w:type="dxa" w:w="110"/>
              <w:bottom w:type="dxa" w:w="60"/>
              <w:right w:type="dxa" w:w="110"/>
            </w:tcMar>
            <w:vAlign w:val="center"/>
          </w:tcPr>
          <w:p>
            <w:pPr>
              <w:spacing w:after="0"/>
            </w:pPr>
            <w:r>
              <w:rPr>
                <w:b w:val="false"/>
                <w:bCs w:val="false"/>
                <w:sz w:val="19"/>
                <w:szCs w:val="19"/>
              </w:rPr>
              <w:t xml:space="preserve">outputs.tf</w:t>
            </w:r>
          </w:p>
        </w:tc>
        <w:tc>
          <w:tcPr>
            <w:tcW w:type="dxa" w:w="7038"/>
            <w:tcBorders>
              <w:top w:val="single" w:color="B0B0B0" w:sz="2"/>
              <w:left w:val="single" w:color="B0B0B0" w:sz="2"/>
              <w:bottom w:val="single" w:color="B0B0B0" w:sz="2"/>
              <w:right w:val="single" w:color="B0B0B0" w:sz="2"/>
            </w:tcBorders>
            <w:tcMar>
              <w:top w:type="dxa" w:w="60"/>
              <w:left w:type="dxa" w:w="110"/>
              <w:bottom w:type="dxa" w:w="60"/>
              <w:right w:type="dxa" w:w="110"/>
            </w:tcMar>
            <w:vAlign w:val="center"/>
          </w:tcPr>
          <w:p>
            <w:pPr>
              <w:spacing w:after="0"/>
            </w:pPr>
            <w:r>
              <w:rPr>
                <w:b w:val="false"/>
                <w:bCs w:val="false"/>
                <w:sz w:val="19"/>
                <w:szCs w:val="19"/>
              </w:rPr>
              <w:t xml:space="preserve">Affiche les URL utiles après le déploiement.</w:t>
            </w:r>
          </w:p>
        </w:tc>
      </w:tr>
    </w:tbl>
    <w:p>
      <w:pPr>
        <w:pStyle w:val="Heading1"/>
        <w:pageBreakBefore/>
        <w:spacing w:after="160" w:before="320"/>
      </w:pPr>
      <w:r>
        <w:t xml:space="preserve">3. Pilier 2 — La pipeline CI sécurisée (DevSecOps)</w:t>
      </w:r>
    </w:p>
    <w:p>
      <w:pPr>
        <w:pStyle w:val="Heading2"/>
        <w:spacing w:after="100" w:before="240"/>
      </w:pPr>
      <w:r>
        <w:t xml:space="preserve">3.1. L’idée : « shift-left security »</w:t>
      </w:r>
    </w:p>
    <w:p>
      <w:pPr>
        <w:spacing w:after="120" w:line="300"/>
        <w:jc w:val="both"/>
      </w:pPr>
      <w:r>
        <w:t xml:space="preserve">En DevSecOps, la sécurité n’est pas faite à la fin mais </w:t>
      </w:r>
      <w:r>
        <w:rPr>
          <w:b/>
          <w:bCs/>
        </w:rPr>
        <w:t xml:space="preserve">intégrée dans la chaîne de livraison, au plus tôt</w:t>
      </w:r>
      <w:r>
        <w:t xml:space="preserve"> (« décaler à gauche »). À chaque </w:t>
      </w:r>
      <w:r>
        <w:rPr>
          <w:rFonts w:ascii="Consolas" w:cs="Consolas" w:eastAsia="Consolas" w:hAnsi="Consolas"/>
          <w:sz w:val="19"/>
          <w:szCs w:val="19"/>
        </w:rPr>
        <w:t xml:space="preserve">push</w:t>
      </w:r>
      <w:r>
        <w:t xml:space="preserve">, une pipeline automatique exécute des contrôles de sécurité. Si l’un échoue, </w:t>
      </w:r>
      <w:r>
        <w:rPr>
          <w:b/>
          <w:bCs/>
        </w:rPr>
        <w:t xml:space="preserve">la livraison est bloquée</w:t>
      </w:r>
      <w:r>
        <w:t xml:space="preserve">. C’est la différence entre DevOps (livrer vite) et DevSecOps (livrer vite ET sûr). Le fichier </w:t>
      </w:r>
      <w:r>
        <w:rPr>
          <w:rFonts w:ascii="Consolas" w:cs="Consolas" w:eastAsia="Consolas" w:hAnsi="Consolas"/>
          <w:sz w:val="19"/>
          <w:szCs w:val="19"/>
        </w:rPr>
        <w:t xml:space="preserve">.github/workflows/ci.yml</w:t>
      </w:r>
      <w:r>
        <w:t xml:space="preserve"> décrit cette pipeline, exécutée par </w:t>
      </w:r>
      <w:r>
        <w:rPr>
          <w:b/>
          <w:bCs/>
        </w:rPr>
        <w:t xml:space="preserve">GitHub Actions</w:t>
      </w:r>
      <w:r>
        <w:t xml:space="preserve">.</w:t>
      </w:r>
    </w:p>
    <w:p>
      <w:pPr>
        <w:pStyle w:val="Heading2"/>
        <w:spacing w:after="100" w:before="240"/>
      </w:pPr>
      <w:r>
        <w:t xml:space="preserve">3.2. Les cinq portes de sécurité</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1700"/>
        <w:gridCol w:w="2100"/>
        <w:gridCol w:w="4938"/>
      </w:tblGrid>
      <w:tr>
        <w:trPr>
          <w:tblHeader/>
        </w:trPr>
        <w:tc>
          <w:tcPr>
            <w:tcW w:type="dxa" w:w="900"/>
            <w:tcBorders>
              <w:top w:val="single" w:color="B0B0B0" w:sz="2"/>
              <w:left w:val="single" w:color="B0B0B0" w:sz="2"/>
              <w:bottom w:val="single" w:color="B0B0B0" w:sz="2"/>
              <w:right w:val="single" w:color="B0B0B0" w:sz="2"/>
            </w:tcBorders>
            <w:shd w:fill="2E5E8C" w:val="clear"/>
            <w:tcMar>
              <w:top w:type="dxa" w:w="60"/>
              <w:left w:type="dxa" w:w="110"/>
              <w:bottom w:type="dxa" w:w="60"/>
              <w:right w:type="dxa" w:w="110"/>
            </w:tcMar>
            <w:vAlign w:val="center"/>
          </w:tcPr>
          <w:p>
            <w:pPr>
              <w:spacing w:after="0"/>
            </w:pPr>
            <w:r>
              <w:rPr>
                <w:b/>
                <w:bCs/>
                <w:color w:val="FFFFFF"/>
                <w:sz w:val="19"/>
                <w:szCs w:val="19"/>
              </w:rPr>
              <w:t xml:space="preserve">#</w:t>
            </w:r>
          </w:p>
        </w:tc>
        <w:tc>
          <w:tcPr>
            <w:tcW w:type="dxa" w:w="1700"/>
            <w:tcBorders>
              <w:top w:val="single" w:color="B0B0B0" w:sz="2"/>
              <w:left w:val="single" w:color="B0B0B0" w:sz="2"/>
              <w:bottom w:val="single" w:color="B0B0B0" w:sz="2"/>
              <w:right w:val="single" w:color="B0B0B0" w:sz="2"/>
            </w:tcBorders>
            <w:shd w:fill="2E5E8C" w:val="clear"/>
            <w:tcMar>
              <w:top w:type="dxa" w:w="60"/>
              <w:left w:type="dxa" w:w="110"/>
              <w:bottom w:type="dxa" w:w="60"/>
              <w:right w:type="dxa" w:w="110"/>
            </w:tcMar>
            <w:vAlign w:val="center"/>
          </w:tcPr>
          <w:p>
            <w:pPr>
              <w:spacing w:after="0"/>
            </w:pPr>
            <w:r>
              <w:rPr>
                <w:b/>
                <w:bCs/>
                <w:color w:val="FFFFFF"/>
                <w:sz w:val="19"/>
                <w:szCs w:val="19"/>
              </w:rPr>
              <w:t xml:space="preserve">Porte</w:t>
            </w:r>
          </w:p>
        </w:tc>
        <w:tc>
          <w:tcPr>
            <w:tcW w:type="dxa" w:w="2100"/>
            <w:tcBorders>
              <w:top w:val="single" w:color="B0B0B0" w:sz="2"/>
              <w:left w:val="single" w:color="B0B0B0" w:sz="2"/>
              <w:bottom w:val="single" w:color="B0B0B0" w:sz="2"/>
              <w:right w:val="single" w:color="B0B0B0" w:sz="2"/>
            </w:tcBorders>
            <w:shd w:fill="2E5E8C" w:val="clear"/>
            <w:tcMar>
              <w:top w:type="dxa" w:w="60"/>
              <w:left w:type="dxa" w:w="110"/>
              <w:bottom w:type="dxa" w:w="60"/>
              <w:right w:type="dxa" w:w="110"/>
            </w:tcMar>
            <w:vAlign w:val="center"/>
          </w:tcPr>
          <w:p>
            <w:pPr>
              <w:spacing w:after="0"/>
            </w:pPr>
            <w:r>
              <w:rPr>
                <w:b/>
                <w:bCs/>
                <w:color w:val="FFFFFF"/>
                <w:sz w:val="19"/>
                <w:szCs w:val="19"/>
              </w:rPr>
              <w:t xml:space="preserve">Outil</w:t>
            </w:r>
          </w:p>
        </w:tc>
        <w:tc>
          <w:tcPr>
            <w:tcW w:type="dxa" w:w="4938"/>
            <w:tcBorders>
              <w:top w:val="single" w:color="B0B0B0" w:sz="2"/>
              <w:left w:val="single" w:color="B0B0B0" w:sz="2"/>
              <w:bottom w:val="single" w:color="B0B0B0" w:sz="2"/>
              <w:right w:val="single" w:color="B0B0B0" w:sz="2"/>
            </w:tcBorders>
            <w:shd w:fill="2E5E8C" w:val="clear"/>
            <w:tcMar>
              <w:top w:type="dxa" w:w="60"/>
              <w:left w:type="dxa" w:w="110"/>
              <w:bottom w:type="dxa" w:w="60"/>
              <w:right w:type="dxa" w:w="110"/>
            </w:tcMar>
            <w:vAlign w:val="center"/>
          </w:tcPr>
          <w:p>
            <w:pPr>
              <w:spacing w:after="0"/>
            </w:pPr>
            <w:r>
              <w:rPr>
                <w:b/>
                <w:bCs/>
                <w:color w:val="FFFFFF"/>
                <w:sz w:val="19"/>
                <w:szCs w:val="19"/>
              </w:rPr>
              <w:t xml:space="preserve">Ce qui est inspecté</w:t>
            </w:r>
          </w:p>
        </w:tc>
      </w:tr>
      <w:tr>
        <w:tc>
          <w:tcPr>
            <w:tcW w:type="dxa" w:w="900"/>
            <w:tcBorders>
              <w:top w:val="single" w:color="B0B0B0" w:sz="2"/>
              <w:left w:val="single" w:color="B0B0B0" w:sz="2"/>
              <w:bottom w:val="single" w:color="B0B0B0" w:sz="2"/>
              <w:right w:val="single" w:color="B0B0B0" w:sz="2"/>
            </w:tcBorders>
            <w:tcMar>
              <w:top w:type="dxa" w:w="60"/>
              <w:left w:type="dxa" w:w="110"/>
              <w:bottom w:type="dxa" w:w="60"/>
              <w:right w:type="dxa" w:w="110"/>
            </w:tcMar>
            <w:vAlign w:val="center"/>
          </w:tcPr>
          <w:p>
            <w:pPr>
              <w:spacing w:after="0"/>
            </w:pPr>
            <w:r>
              <w:rPr>
                <w:b w:val="false"/>
                <w:bCs w:val="false"/>
                <w:sz w:val="19"/>
                <w:szCs w:val="19"/>
              </w:rPr>
              <w:t xml:space="preserve">1</w:t>
            </w:r>
          </w:p>
        </w:tc>
        <w:tc>
          <w:tcPr>
            <w:tcW w:type="dxa" w:w="1700"/>
            <w:tcBorders>
              <w:top w:val="single" w:color="B0B0B0" w:sz="2"/>
              <w:left w:val="single" w:color="B0B0B0" w:sz="2"/>
              <w:bottom w:val="single" w:color="B0B0B0" w:sz="2"/>
              <w:right w:val="single" w:color="B0B0B0" w:sz="2"/>
            </w:tcBorders>
            <w:tcMar>
              <w:top w:type="dxa" w:w="60"/>
              <w:left w:type="dxa" w:w="110"/>
              <w:bottom w:type="dxa" w:w="60"/>
              <w:right w:type="dxa" w:w="110"/>
            </w:tcMar>
            <w:vAlign w:val="center"/>
          </w:tcPr>
          <w:p>
            <w:pPr>
              <w:spacing w:after="0"/>
            </w:pPr>
            <w:r>
              <w:rPr>
                <w:b w:val="false"/>
                <w:bCs w:val="false"/>
                <w:sz w:val="19"/>
                <w:szCs w:val="19"/>
              </w:rPr>
              <w:t xml:space="preserve">Lint</w:t>
            </w:r>
          </w:p>
        </w:tc>
        <w:tc>
          <w:tcPr>
            <w:tcW w:type="dxa" w:w="2100"/>
            <w:tcBorders>
              <w:top w:val="single" w:color="B0B0B0" w:sz="2"/>
              <w:left w:val="single" w:color="B0B0B0" w:sz="2"/>
              <w:bottom w:val="single" w:color="B0B0B0" w:sz="2"/>
              <w:right w:val="single" w:color="B0B0B0" w:sz="2"/>
            </w:tcBorders>
            <w:tcMar>
              <w:top w:type="dxa" w:w="60"/>
              <w:left w:type="dxa" w:w="110"/>
              <w:bottom w:type="dxa" w:w="60"/>
              <w:right w:type="dxa" w:w="110"/>
            </w:tcMar>
            <w:vAlign w:val="center"/>
          </w:tcPr>
          <w:p>
            <w:pPr>
              <w:spacing w:after="0"/>
            </w:pPr>
            <w:r>
              <w:rPr>
                <w:b w:val="false"/>
                <w:bCs w:val="false"/>
                <w:sz w:val="19"/>
                <w:szCs w:val="19"/>
              </w:rPr>
              <w:t xml:space="preserve">hadolint · tflint · checkov</w:t>
            </w:r>
          </w:p>
        </w:tc>
        <w:tc>
          <w:tcPr>
            <w:tcW w:type="dxa" w:w="4938"/>
            <w:tcBorders>
              <w:top w:val="single" w:color="B0B0B0" w:sz="2"/>
              <w:left w:val="single" w:color="B0B0B0" w:sz="2"/>
              <w:bottom w:val="single" w:color="B0B0B0" w:sz="2"/>
              <w:right w:val="single" w:color="B0B0B0" w:sz="2"/>
            </w:tcBorders>
            <w:tcMar>
              <w:top w:type="dxa" w:w="60"/>
              <w:left w:type="dxa" w:w="110"/>
              <w:bottom w:type="dxa" w:w="60"/>
              <w:right w:type="dxa" w:w="110"/>
            </w:tcMar>
            <w:vAlign w:val="center"/>
          </w:tcPr>
          <w:p>
            <w:pPr>
              <w:spacing w:after="0"/>
            </w:pPr>
            <w:r>
              <w:rPr>
                <w:b w:val="false"/>
                <w:bCs w:val="false"/>
                <w:sz w:val="19"/>
                <w:szCs w:val="19"/>
              </w:rPr>
              <w:t xml:space="preserve">Qualité/sécurité du Dockerfile et du code d’infrastructure (IaC).</w:t>
            </w:r>
          </w:p>
        </w:tc>
      </w:tr>
      <w:tr>
        <w:tc>
          <w:tcPr>
            <w:tcW w:type="dxa" w:w="900"/>
            <w:tcBorders>
              <w:top w:val="single" w:color="B0B0B0" w:sz="2"/>
              <w:left w:val="single" w:color="B0B0B0" w:sz="2"/>
              <w:bottom w:val="single" w:color="B0B0B0" w:sz="2"/>
              <w:right w:val="single" w:color="B0B0B0" w:sz="2"/>
            </w:tcBorders>
            <w:tcMar>
              <w:top w:type="dxa" w:w="60"/>
              <w:left w:type="dxa" w:w="110"/>
              <w:bottom w:type="dxa" w:w="60"/>
              <w:right w:type="dxa" w:w="110"/>
            </w:tcMar>
            <w:vAlign w:val="center"/>
          </w:tcPr>
          <w:p>
            <w:pPr>
              <w:spacing w:after="0"/>
            </w:pPr>
            <w:r>
              <w:rPr>
                <w:b w:val="false"/>
                <w:bCs w:val="false"/>
                <w:sz w:val="19"/>
                <w:szCs w:val="19"/>
              </w:rPr>
              <w:t xml:space="preserve">2</w:t>
            </w:r>
          </w:p>
        </w:tc>
        <w:tc>
          <w:tcPr>
            <w:tcW w:type="dxa" w:w="1700"/>
            <w:tcBorders>
              <w:top w:val="single" w:color="B0B0B0" w:sz="2"/>
              <w:left w:val="single" w:color="B0B0B0" w:sz="2"/>
              <w:bottom w:val="single" w:color="B0B0B0" w:sz="2"/>
              <w:right w:val="single" w:color="B0B0B0" w:sz="2"/>
            </w:tcBorders>
            <w:tcMar>
              <w:top w:type="dxa" w:w="60"/>
              <w:left w:type="dxa" w:w="110"/>
              <w:bottom w:type="dxa" w:w="60"/>
              <w:right w:type="dxa" w:w="110"/>
            </w:tcMar>
            <w:vAlign w:val="center"/>
          </w:tcPr>
          <w:p>
            <w:pPr>
              <w:spacing w:after="0"/>
            </w:pPr>
            <w:r>
              <w:rPr>
                <w:b w:val="false"/>
                <w:bCs w:val="false"/>
                <w:sz w:val="19"/>
                <w:szCs w:val="19"/>
              </w:rPr>
              <w:t xml:space="preserve">SAST</w:t>
            </w:r>
          </w:p>
        </w:tc>
        <w:tc>
          <w:tcPr>
            <w:tcW w:type="dxa" w:w="2100"/>
            <w:tcBorders>
              <w:top w:val="single" w:color="B0B0B0" w:sz="2"/>
              <w:left w:val="single" w:color="B0B0B0" w:sz="2"/>
              <w:bottom w:val="single" w:color="B0B0B0" w:sz="2"/>
              <w:right w:val="single" w:color="B0B0B0" w:sz="2"/>
            </w:tcBorders>
            <w:tcMar>
              <w:top w:type="dxa" w:w="60"/>
              <w:left w:type="dxa" w:w="110"/>
              <w:bottom w:type="dxa" w:w="60"/>
              <w:right w:type="dxa" w:w="110"/>
            </w:tcMar>
            <w:vAlign w:val="center"/>
          </w:tcPr>
          <w:p>
            <w:pPr>
              <w:spacing w:after="0"/>
            </w:pPr>
            <w:r>
              <w:rPr>
                <w:b w:val="false"/>
                <w:bCs w:val="false"/>
                <w:sz w:val="19"/>
                <w:szCs w:val="19"/>
              </w:rPr>
              <w:t xml:space="preserve">Semgrep</w:t>
            </w:r>
          </w:p>
        </w:tc>
        <w:tc>
          <w:tcPr>
            <w:tcW w:type="dxa" w:w="4938"/>
            <w:tcBorders>
              <w:top w:val="single" w:color="B0B0B0" w:sz="2"/>
              <w:left w:val="single" w:color="B0B0B0" w:sz="2"/>
              <w:bottom w:val="single" w:color="B0B0B0" w:sz="2"/>
              <w:right w:val="single" w:color="B0B0B0" w:sz="2"/>
            </w:tcBorders>
            <w:tcMar>
              <w:top w:type="dxa" w:w="60"/>
              <w:left w:type="dxa" w:w="110"/>
              <w:bottom w:type="dxa" w:w="60"/>
              <w:right w:type="dxa" w:w="110"/>
            </w:tcMar>
            <w:vAlign w:val="center"/>
          </w:tcPr>
          <w:p>
            <w:pPr>
              <w:spacing w:after="0"/>
            </w:pPr>
            <w:r>
              <w:rPr>
                <w:b w:val="false"/>
                <w:bCs w:val="false"/>
                <w:sz w:val="19"/>
                <w:szCs w:val="19"/>
              </w:rPr>
              <w:t xml:space="preserve">Le code source lui-même, analysé sans l’exécuter (failles de programmation).</w:t>
            </w:r>
          </w:p>
        </w:tc>
      </w:tr>
      <w:tr>
        <w:tc>
          <w:tcPr>
            <w:tcW w:type="dxa" w:w="900"/>
            <w:tcBorders>
              <w:top w:val="single" w:color="B0B0B0" w:sz="2"/>
              <w:left w:val="single" w:color="B0B0B0" w:sz="2"/>
              <w:bottom w:val="single" w:color="B0B0B0" w:sz="2"/>
              <w:right w:val="single" w:color="B0B0B0" w:sz="2"/>
            </w:tcBorders>
            <w:tcMar>
              <w:top w:type="dxa" w:w="60"/>
              <w:left w:type="dxa" w:w="110"/>
              <w:bottom w:type="dxa" w:w="60"/>
              <w:right w:type="dxa" w:w="110"/>
            </w:tcMar>
            <w:vAlign w:val="center"/>
          </w:tcPr>
          <w:p>
            <w:pPr>
              <w:spacing w:after="0"/>
            </w:pPr>
            <w:r>
              <w:rPr>
                <w:b w:val="false"/>
                <w:bCs w:val="false"/>
                <w:sz w:val="19"/>
                <w:szCs w:val="19"/>
              </w:rPr>
              <w:t xml:space="preserve">3</w:t>
            </w:r>
          </w:p>
        </w:tc>
        <w:tc>
          <w:tcPr>
            <w:tcW w:type="dxa" w:w="1700"/>
            <w:tcBorders>
              <w:top w:val="single" w:color="B0B0B0" w:sz="2"/>
              <w:left w:val="single" w:color="B0B0B0" w:sz="2"/>
              <w:bottom w:val="single" w:color="B0B0B0" w:sz="2"/>
              <w:right w:val="single" w:color="B0B0B0" w:sz="2"/>
            </w:tcBorders>
            <w:tcMar>
              <w:top w:type="dxa" w:w="60"/>
              <w:left w:type="dxa" w:w="110"/>
              <w:bottom w:type="dxa" w:w="60"/>
              <w:right w:type="dxa" w:w="110"/>
            </w:tcMar>
            <w:vAlign w:val="center"/>
          </w:tcPr>
          <w:p>
            <w:pPr>
              <w:spacing w:after="0"/>
            </w:pPr>
            <w:r>
              <w:rPr>
                <w:b w:val="false"/>
                <w:bCs w:val="false"/>
                <w:sz w:val="19"/>
                <w:szCs w:val="19"/>
              </w:rPr>
              <w:t xml:space="preserve">CVE</w:t>
            </w:r>
          </w:p>
        </w:tc>
        <w:tc>
          <w:tcPr>
            <w:tcW w:type="dxa" w:w="2100"/>
            <w:tcBorders>
              <w:top w:val="single" w:color="B0B0B0" w:sz="2"/>
              <w:left w:val="single" w:color="B0B0B0" w:sz="2"/>
              <w:bottom w:val="single" w:color="B0B0B0" w:sz="2"/>
              <w:right w:val="single" w:color="B0B0B0" w:sz="2"/>
            </w:tcBorders>
            <w:tcMar>
              <w:top w:type="dxa" w:w="60"/>
              <w:left w:type="dxa" w:w="110"/>
              <w:bottom w:type="dxa" w:w="60"/>
              <w:right w:type="dxa" w:w="110"/>
            </w:tcMar>
            <w:vAlign w:val="center"/>
          </w:tcPr>
          <w:p>
            <w:pPr>
              <w:spacing w:after="0"/>
            </w:pPr>
            <w:r>
              <w:rPr>
                <w:b w:val="false"/>
                <w:bCs w:val="false"/>
                <w:sz w:val="19"/>
                <w:szCs w:val="19"/>
              </w:rPr>
              <w:t xml:space="preserve">Trivy</w:t>
            </w:r>
          </w:p>
        </w:tc>
        <w:tc>
          <w:tcPr>
            <w:tcW w:type="dxa" w:w="4938"/>
            <w:tcBorders>
              <w:top w:val="single" w:color="B0B0B0" w:sz="2"/>
              <w:left w:val="single" w:color="B0B0B0" w:sz="2"/>
              <w:bottom w:val="single" w:color="B0B0B0" w:sz="2"/>
              <w:right w:val="single" w:color="B0B0B0" w:sz="2"/>
            </w:tcBorders>
            <w:tcMar>
              <w:top w:type="dxa" w:w="60"/>
              <w:left w:type="dxa" w:w="110"/>
              <w:bottom w:type="dxa" w:w="60"/>
              <w:right w:type="dxa" w:w="110"/>
            </w:tcMar>
            <w:vAlign w:val="center"/>
          </w:tcPr>
          <w:p>
            <w:pPr>
              <w:spacing w:after="0"/>
            </w:pPr>
            <w:r>
              <w:rPr>
                <w:b w:val="false"/>
                <w:bCs w:val="false"/>
                <w:sz w:val="19"/>
                <w:szCs w:val="19"/>
              </w:rPr>
              <w:t xml:space="preserve">Les vulnérabilités connues des dépendances et de l’OS de l’image.</w:t>
            </w:r>
          </w:p>
        </w:tc>
      </w:tr>
      <w:tr>
        <w:tc>
          <w:tcPr>
            <w:tcW w:type="dxa" w:w="900"/>
            <w:tcBorders>
              <w:top w:val="single" w:color="B0B0B0" w:sz="2"/>
              <w:left w:val="single" w:color="B0B0B0" w:sz="2"/>
              <w:bottom w:val="single" w:color="B0B0B0" w:sz="2"/>
              <w:right w:val="single" w:color="B0B0B0" w:sz="2"/>
            </w:tcBorders>
            <w:tcMar>
              <w:top w:type="dxa" w:w="60"/>
              <w:left w:type="dxa" w:w="110"/>
              <w:bottom w:type="dxa" w:w="60"/>
              <w:right w:type="dxa" w:w="110"/>
            </w:tcMar>
            <w:vAlign w:val="center"/>
          </w:tcPr>
          <w:p>
            <w:pPr>
              <w:spacing w:after="0"/>
            </w:pPr>
            <w:r>
              <w:rPr>
                <w:b w:val="false"/>
                <w:bCs w:val="false"/>
                <w:sz w:val="19"/>
                <w:szCs w:val="19"/>
              </w:rPr>
              <w:t xml:space="preserve">4</w:t>
            </w:r>
          </w:p>
        </w:tc>
        <w:tc>
          <w:tcPr>
            <w:tcW w:type="dxa" w:w="1700"/>
            <w:tcBorders>
              <w:top w:val="single" w:color="B0B0B0" w:sz="2"/>
              <w:left w:val="single" w:color="B0B0B0" w:sz="2"/>
              <w:bottom w:val="single" w:color="B0B0B0" w:sz="2"/>
              <w:right w:val="single" w:color="B0B0B0" w:sz="2"/>
            </w:tcBorders>
            <w:tcMar>
              <w:top w:type="dxa" w:w="60"/>
              <w:left w:type="dxa" w:w="110"/>
              <w:bottom w:type="dxa" w:w="60"/>
              <w:right w:type="dxa" w:w="110"/>
            </w:tcMar>
            <w:vAlign w:val="center"/>
          </w:tcPr>
          <w:p>
            <w:pPr>
              <w:spacing w:after="0"/>
            </w:pPr>
            <w:r>
              <w:rPr>
                <w:b w:val="false"/>
                <w:bCs w:val="false"/>
                <w:sz w:val="19"/>
                <w:szCs w:val="19"/>
              </w:rPr>
              <w:t xml:space="preserve">DAST</w:t>
            </w:r>
          </w:p>
        </w:tc>
        <w:tc>
          <w:tcPr>
            <w:tcW w:type="dxa" w:w="2100"/>
            <w:tcBorders>
              <w:top w:val="single" w:color="B0B0B0" w:sz="2"/>
              <w:left w:val="single" w:color="B0B0B0" w:sz="2"/>
              <w:bottom w:val="single" w:color="B0B0B0" w:sz="2"/>
              <w:right w:val="single" w:color="B0B0B0" w:sz="2"/>
            </w:tcBorders>
            <w:tcMar>
              <w:top w:type="dxa" w:w="60"/>
              <w:left w:type="dxa" w:w="110"/>
              <w:bottom w:type="dxa" w:w="60"/>
              <w:right w:type="dxa" w:w="110"/>
            </w:tcMar>
            <w:vAlign w:val="center"/>
          </w:tcPr>
          <w:p>
            <w:pPr>
              <w:spacing w:after="0"/>
            </w:pPr>
            <w:r>
              <w:rPr>
                <w:b w:val="false"/>
                <w:bCs w:val="false"/>
                <w:sz w:val="19"/>
                <w:szCs w:val="19"/>
              </w:rPr>
              <w:t xml:space="preserve">OWASP ZAP</w:t>
            </w:r>
          </w:p>
        </w:tc>
        <w:tc>
          <w:tcPr>
            <w:tcW w:type="dxa" w:w="4938"/>
            <w:tcBorders>
              <w:top w:val="single" w:color="B0B0B0" w:sz="2"/>
              <w:left w:val="single" w:color="B0B0B0" w:sz="2"/>
              <w:bottom w:val="single" w:color="B0B0B0" w:sz="2"/>
              <w:right w:val="single" w:color="B0B0B0" w:sz="2"/>
            </w:tcBorders>
            <w:tcMar>
              <w:top w:type="dxa" w:w="60"/>
              <w:left w:type="dxa" w:w="110"/>
              <w:bottom w:type="dxa" w:w="60"/>
              <w:right w:type="dxa" w:w="110"/>
            </w:tcMar>
            <w:vAlign w:val="center"/>
          </w:tcPr>
          <w:p>
            <w:pPr>
              <w:spacing w:after="0"/>
            </w:pPr>
            <w:r>
              <w:rPr>
                <w:b w:val="false"/>
                <w:bCs w:val="false"/>
                <w:sz w:val="19"/>
                <w:szCs w:val="19"/>
              </w:rPr>
              <w:t xml:space="preserve">L’application en cours d’exécution, attaquée de l’extérieur.</w:t>
            </w:r>
          </w:p>
        </w:tc>
      </w:tr>
      <w:tr>
        <w:tc>
          <w:tcPr>
            <w:tcW w:type="dxa" w:w="900"/>
            <w:tcBorders>
              <w:top w:val="single" w:color="B0B0B0" w:sz="2"/>
              <w:left w:val="single" w:color="B0B0B0" w:sz="2"/>
              <w:bottom w:val="single" w:color="B0B0B0" w:sz="2"/>
              <w:right w:val="single" w:color="B0B0B0" w:sz="2"/>
            </w:tcBorders>
            <w:tcMar>
              <w:top w:type="dxa" w:w="60"/>
              <w:left w:type="dxa" w:w="110"/>
              <w:bottom w:type="dxa" w:w="60"/>
              <w:right w:type="dxa" w:w="110"/>
            </w:tcMar>
            <w:vAlign w:val="center"/>
          </w:tcPr>
          <w:p>
            <w:pPr>
              <w:spacing w:after="0"/>
            </w:pPr>
            <w:r>
              <w:rPr>
                <w:b w:val="false"/>
                <w:bCs w:val="false"/>
                <w:sz w:val="19"/>
                <w:szCs w:val="19"/>
              </w:rPr>
              <w:t xml:space="preserve">5</w:t>
            </w:r>
          </w:p>
        </w:tc>
        <w:tc>
          <w:tcPr>
            <w:tcW w:type="dxa" w:w="1700"/>
            <w:tcBorders>
              <w:top w:val="single" w:color="B0B0B0" w:sz="2"/>
              <w:left w:val="single" w:color="B0B0B0" w:sz="2"/>
              <w:bottom w:val="single" w:color="B0B0B0" w:sz="2"/>
              <w:right w:val="single" w:color="B0B0B0" w:sz="2"/>
            </w:tcBorders>
            <w:tcMar>
              <w:top w:type="dxa" w:w="60"/>
              <w:left w:type="dxa" w:w="110"/>
              <w:bottom w:type="dxa" w:w="60"/>
              <w:right w:type="dxa" w:w="110"/>
            </w:tcMar>
            <w:vAlign w:val="center"/>
          </w:tcPr>
          <w:p>
            <w:pPr>
              <w:spacing w:after="0"/>
            </w:pPr>
            <w:r>
              <w:rPr>
                <w:b w:val="false"/>
                <w:bCs w:val="false"/>
                <w:sz w:val="19"/>
                <w:szCs w:val="19"/>
              </w:rPr>
              <w:t xml:space="preserve">Signature</w:t>
            </w:r>
          </w:p>
        </w:tc>
        <w:tc>
          <w:tcPr>
            <w:tcW w:type="dxa" w:w="2100"/>
            <w:tcBorders>
              <w:top w:val="single" w:color="B0B0B0" w:sz="2"/>
              <w:left w:val="single" w:color="B0B0B0" w:sz="2"/>
              <w:bottom w:val="single" w:color="B0B0B0" w:sz="2"/>
              <w:right w:val="single" w:color="B0B0B0" w:sz="2"/>
            </w:tcBorders>
            <w:tcMar>
              <w:top w:type="dxa" w:w="60"/>
              <w:left w:type="dxa" w:w="110"/>
              <w:bottom w:type="dxa" w:w="60"/>
              <w:right w:type="dxa" w:w="110"/>
            </w:tcMar>
            <w:vAlign w:val="center"/>
          </w:tcPr>
          <w:p>
            <w:pPr>
              <w:spacing w:after="0"/>
            </w:pPr>
            <w:r>
              <w:rPr>
                <w:b w:val="false"/>
                <w:bCs w:val="false"/>
                <w:sz w:val="19"/>
                <w:szCs w:val="19"/>
              </w:rPr>
              <w:t xml:space="preserve">Cosign</w:t>
            </w:r>
          </w:p>
        </w:tc>
        <w:tc>
          <w:tcPr>
            <w:tcW w:type="dxa" w:w="4938"/>
            <w:tcBorders>
              <w:top w:val="single" w:color="B0B0B0" w:sz="2"/>
              <w:left w:val="single" w:color="B0B0B0" w:sz="2"/>
              <w:bottom w:val="single" w:color="B0B0B0" w:sz="2"/>
              <w:right w:val="single" w:color="B0B0B0" w:sz="2"/>
            </w:tcBorders>
            <w:tcMar>
              <w:top w:type="dxa" w:w="60"/>
              <w:left w:type="dxa" w:w="110"/>
              <w:bottom w:type="dxa" w:w="60"/>
              <w:right w:type="dxa" w:w="110"/>
            </w:tcMar>
            <w:vAlign w:val="center"/>
          </w:tcPr>
          <w:p>
            <w:pPr>
              <w:spacing w:after="0"/>
            </w:pPr>
            <w:r>
              <w:rPr>
                <w:b w:val="false"/>
                <w:bCs w:val="false"/>
                <w:sz w:val="19"/>
                <w:szCs w:val="19"/>
              </w:rPr>
              <w:t xml:space="preserve">Signe l’image pour prouver son origine (chaîne d’approvisionnement).</w:t>
            </w:r>
          </w:p>
        </w:tc>
      </w:tr>
    </w:tbl>
    <w:p>
      <w:pPr>
        <w:spacing w:after="160"/>
      </w:pPr>
    </w:p>
    <w:p>
      <w:pPr>
        <w:spacing w:after="120" w:line="300"/>
        <w:jc w:val="both"/>
      </w:pPr>
      <w:r>
        <w:rPr>
          <w:b/>
          <w:bCs/>
        </w:rPr>
        <w:t xml:space="preserve">Les sigles : </w:t>
      </w:r>
      <w:r>
        <w:t xml:space="preserve"/>
      </w:r>
      <w:r>
        <w:rPr>
          <w:b/>
          <w:bCs/>
        </w:rPr>
        <w:t xml:space="preserve">SAST</w:t>
      </w:r>
      <w:r>
        <w:t xml:space="preserve"> = Static Application Security Testing (analyse statique, on lit le code). </w:t>
      </w:r>
      <w:r>
        <w:rPr>
          <w:b/>
          <w:bCs/>
        </w:rPr>
        <w:t xml:space="preserve">DAST</w:t>
      </w:r>
      <w:r>
        <w:t xml:space="preserve"> = Dynamic (on lance l’appli et on l’attaque). </w:t>
      </w:r>
      <w:r>
        <w:rPr>
          <w:b/>
          <w:bCs/>
        </w:rPr>
        <w:t xml:space="preserve">CVE</w:t>
      </w:r>
      <w:r>
        <w:t xml:space="preserve"> = Common Vulnerabilities and Exposures (failles publiques répertoriées ; Trivy compare les paquets de l’image à cette base).</w:t>
      </w:r>
    </w:p>
    <w:p>
      <w:pPr>
        <w:pStyle w:val="Heading2"/>
        <w:spacing w:after="100" w:before="240"/>
      </w:pPr>
      <w:r>
        <w:t xml:space="preserve">3.3. Le mot-clé « bloquant » : exit-code 1</w:t>
      </w:r>
    </w:p>
    <w:p>
      <w:pPr>
        <w:spacing w:after="120" w:line="300"/>
        <w:jc w:val="both"/>
      </w:pPr>
      <w:r>
        <w:t xml:space="preserve">Une étape « bloque » quand elle renvoie un code d’erreur qui stoppe la pipeline. Pour Trivy :</w:t>
      </w:r>
    </w:p>
    <w:p>
      <w:pPr>
        <w:shd w:fill="F4F4F4" w:val="clear"/>
        <w:spacing w:after="160"/>
        <w:ind w:left="200" w:right="200"/>
      </w:pPr>
      <w:r>
        <w:rPr>
          <w:rFonts w:ascii="Consolas" w:cs="Consolas" w:eastAsia="Consolas" w:hAnsi="Consolas"/>
          <w:sz w:val="18"/>
          <w:szCs w:val="18"/>
        </w:rPr>
        <w:t xml:space="preserve">trivy image --severity HIGH,CRITICAL --ignore-unfixed --exit-code 1 &lt;image&gt;</w:t>
      </w:r>
    </w:p>
    <w:p>
      <w:pPr>
        <w:pStyle w:val="ListParagraph"/>
        <w:numPr>
          <w:ilvl w:val="0"/>
          <w:numId w:val="2"/>
        </w:numPr>
        <w:spacing w:after="80" w:line="290"/>
        <w:jc w:val="both"/>
      </w:pPr>
      <w:r>
        <w:rPr>
          <w:rFonts w:ascii="Consolas" w:cs="Consolas" w:eastAsia="Consolas" w:hAnsi="Consolas"/>
          <w:sz w:val="19"/>
          <w:szCs w:val="19"/>
        </w:rPr>
        <w:t xml:space="preserve">--severity HIGH,CRITICAL</w:t>
      </w:r>
      <w:r>
        <w:t xml:space="preserve"> : on ne s’intéresse qu’aux failles graves.</w:t>
      </w:r>
    </w:p>
    <w:p>
      <w:pPr>
        <w:pStyle w:val="ListParagraph"/>
        <w:numPr>
          <w:ilvl w:val="0"/>
          <w:numId w:val="2"/>
        </w:numPr>
        <w:spacing w:after="80" w:line="290"/>
        <w:jc w:val="both"/>
      </w:pPr>
      <w:r>
        <w:rPr>
          <w:rFonts w:ascii="Consolas" w:cs="Consolas" w:eastAsia="Consolas" w:hAnsi="Consolas"/>
          <w:sz w:val="19"/>
          <w:szCs w:val="19"/>
        </w:rPr>
        <w:t xml:space="preserve">--ignore-unfixed</w:t>
      </w:r>
      <w:r>
        <w:t xml:space="preserve"> : on ne bloque que sur les failles </w:t>
      </w:r>
      <w:r>
        <w:rPr>
          <w:b/>
          <w:bCs/>
        </w:rPr>
        <w:t xml:space="preserve">corrigeables</w:t>
      </w:r>
      <w:r>
        <w:t xml:space="preserve"> (actionnables). Bloquer sur une faille sans correctif serait inutile.</w:t>
      </w:r>
    </w:p>
    <w:p>
      <w:pPr>
        <w:pStyle w:val="ListParagraph"/>
        <w:numPr>
          <w:ilvl w:val="0"/>
          <w:numId w:val="2"/>
        </w:numPr>
        <w:spacing w:after="80" w:line="290"/>
        <w:jc w:val="both"/>
      </w:pPr>
      <w:r>
        <w:rPr>
          <w:rFonts w:ascii="Consolas" w:cs="Consolas" w:eastAsia="Consolas" w:hAnsi="Consolas"/>
          <w:sz w:val="19"/>
          <w:szCs w:val="19"/>
        </w:rPr>
        <w:t xml:space="preserve">--exit-code 1</w:t>
      </w:r>
      <w:r>
        <w:t xml:space="preserve"> : si une telle faille est trouvée → code 1 → pipeline rouge → image non livrée.</w:t>
      </w:r>
    </w:p>
    <w:p>
      <w:pPr>
        <w:spacing w:after="120" w:line="300"/>
        <w:jc w:val="both"/>
      </w:pPr>
      <w:r>
        <w:rPr>
          <w:b/>
          <w:bCs/>
        </w:rPr>
        <w:t xml:space="preserve">Démonstration imparable : </w:t>
      </w:r>
      <w:r>
        <w:t xml:space="preserve">Trivy sur l’app à jour renvoie </w:t>
      </w:r>
      <w:r>
        <w:rPr>
          <w:b/>
          <w:bCs/>
        </w:rPr>
        <w:t xml:space="preserve">0</w:t>
      </w:r>
      <w:r>
        <w:t xml:space="preserve"> (vert) ; sur une image ancienne (</w:t>
      </w:r>
      <w:r>
        <w:rPr>
          <w:rFonts w:ascii="Consolas" w:cs="Consolas" w:eastAsia="Consolas" w:hAnsi="Consolas"/>
          <w:sz w:val="19"/>
          <w:szCs w:val="19"/>
        </w:rPr>
        <w:t xml:space="preserve">python:3.9-slim-bullseye</w:t>
      </w:r>
      <w:r>
        <w:t xml:space="preserve">, 7 CVE Critical) renvoie </w:t>
      </w:r>
      <w:r>
        <w:rPr>
          <w:b/>
          <w:bCs/>
        </w:rPr>
        <w:t xml:space="preserve">1</w:t>
      </w:r>
      <w:r>
        <w:t xml:space="preserve"> (rouge). C’est cela, une porte bloquante.</w:t>
      </w:r>
    </w:p>
    <w:p>
      <w:pPr>
        <w:pStyle w:val="Heading2"/>
        <w:spacing w:after="100" w:before="240"/>
      </w:pPr>
      <w:r>
        <w:t xml:space="preserve">3.4. La signature Cosign « keyless »</w:t>
      </w:r>
    </w:p>
    <w:p>
      <w:pPr>
        <w:spacing w:after="120" w:line="300"/>
        <w:jc w:val="both"/>
      </w:pPr>
      <w:r>
        <w:t xml:space="preserve">Signer une image garantit qu’elle vient bien de toi et n’a pas été altérée (sécurité de la </w:t>
      </w:r>
      <w:r>
        <w:rPr>
          <w:b/>
          <w:bCs/>
        </w:rPr>
        <w:t xml:space="preserve">supply chain</w:t>
      </w:r>
      <w:r>
        <w:t xml:space="preserve">). </w:t>
      </w:r>
      <w:r>
        <w:rPr>
          <w:b/>
          <w:bCs/>
        </w:rPr>
        <w:t xml:space="preserve">Keyless</w:t>
      </w:r>
      <w:r>
        <w:t xml:space="preserve"> = </w:t>
      </w:r>
      <w:r>
        <w:rPr>
          <w:b/>
          <w:bCs/>
        </w:rPr>
        <w:t xml:space="preserve">sans clé privée</w:t>
      </w:r>
      <w:r>
        <w:t xml:space="preserve"> à gérer (donc rien à voler) : l’identité du signataire est le </w:t>
      </w:r>
      <w:r>
        <w:rPr>
          <w:b/>
          <w:bCs/>
        </w:rPr>
        <w:t xml:space="preserve">workflow GitHub</w:t>
      </w:r>
      <w:r>
        <w:t xml:space="preserve"> lui-même, prouvée par </w:t>
      </w:r>
      <w:r>
        <w:rPr>
          <w:b/>
          <w:bCs/>
        </w:rPr>
        <w:t xml:space="preserve">OIDC</w:t>
      </w:r>
      <w:r>
        <w:t xml:space="preserve">. Le certificat est émis par </w:t>
      </w:r>
      <w:r>
        <w:rPr>
          <w:b/>
          <w:bCs/>
        </w:rPr>
        <w:t xml:space="preserve">Fulcio</w:t>
      </w:r>
      <w:r>
        <w:t xml:space="preserve"> et la preuve inscrite dans le journal public </w:t>
      </w:r>
      <w:r>
        <w:rPr>
          <w:b/>
          <w:bCs/>
        </w:rPr>
        <w:t xml:space="preserve">Rekor</w:t>
      </w:r>
      <w:r>
        <w:t xml:space="preserve">. La commande </w:t>
      </w:r>
      <w:r>
        <w:rPr>
          <w:rFonts w:ascii="Consolas" w:cs="Consolas" w:eastAsia="Consolas" w:hAnsi="Consolas"/>
          <w:sz w:val="19"/>
          <w:szCs w:val="19"/>
        </w:rPr>
        <w:t xml:space="preserve">cosign verify</w:t>
      </w:r>
      <w:r>
        <w:t xml:space="preserve"> permet à quiconque de vérifier que l’image vient bien de ce dépôt et de ce workflow.</w:t>
      </w:r>
    </w:p>
    <w:p>
      <w:pPr>
        <w:pStyle w:val="Heading2"/>
        <w:spacing w:after="100" w:before="240"/>
      </w:pPr>
      <w:r>
        <w:t xml:space="preserve">3.5. Runners hébergés vs self-hosted (LA question piège)</w:t>
      </w:r>
    </w:p>
    <w:p>
      <w:pPr>
        <w:spacing w:after="120" w:line="300"/>
        <w:jc w:val="both"/>
      </w:pPr>
      <w:r>
        <w:t xml:space="preserve">La pipeline a 4 jobs. Les 3 premiers tournent sur les </w:t>
      </w:r>
      <w:r>
        <w:rPr>
          <w:b/>
          <w:bCs/>
        </w:rPr>
        <w:t xml:space="preserve">runners hébergés de GitHub</w:t>
      </w:r>
      <w:r>
        <w:t xml:space="preserve"> (cloud). Le 4e (</w:t>
      </w:r>
      <w:r>
        <w:rPr>
          <w:rFonts w:ascii="Consolas" w:cs="Consolas" w:eastAsia="Consolas" w:hAnsi="Consolas"/>
          <w:sz w:val="19"/>
          <w:szCs w:val="19"/>
        </w:rPr>
        <w:t xml:space="preserve">push-harbor</w:t>
      </w:r>
      <w:r>
        <w:t xml:space="preserve">) tourne sur un </w:t>
      </w:r>
      <w:r>
        <w:rPr>
          <w:b/>
          <w:bCs/>
        </w:rPr>
        <w:t xml:space="preserve">runner self-hosted</w:t>
      </w:r>
      <w:r>
        <w:t xml:space="preserve"> (sur la machine).</w:t>
      </w:r>
    </w:p>
    <w:p>
      <w:pPr>
        <w:spacing w:after="120" w:line="300"/>
        <w:jc w:val="both"/>
      </w:pPr>
      <w:r>
        <w:rPr>
          <w:b/>
          <w:bCs/>
        </w:rPr>
        <w:t xml:space="preserve">Pourquoi ? </w:t>
      </w:r>
      <w:r>
        <w:t xml:space="preserve">Harbor est déployé </w:t>
      </w:r>
      <w:r>
        <w:rPr>
          <w:b/>
          <w:bCs/>
        </w:rPr>
        <w:t xml:space="preserve">en local, non exposé sur Internet</w:t>
      </w:r>
      <w:r>
        <w:t xml:space="preserve"> : les serveurs cloud de GitHub ne peuvent pas l’atteindre. En entreprise on fait pareil : les contrôles sans état (lint, scan, signature) sur des runners cloud ; le </w:t>
      </w:r>
      <w:r>
        <w:rPr>
          <w:b/>
          <w:bCs/>
        </w:rPr>
        <w:t xml:space="preserve">déploiement vers l’infrastructure interne</w:t>
      </w:r>
      <w:r>
        <w:t xml:space="preserve"> sur un runner installé dans le réseau privé. C’est un vrai patron d’architecture, pas un contournement. Ce job se déclenche </w:t>
      </w:r>
      <w:r>
        <w:rPr>
          <w:b/>
          <w:bCs/>
        </w:rPr>
        <w:t xml:space="preserve">à la demande</w:t>
      </w:r>
      <w:r>
        <w:t xml:space="preserve"> (</w:t>
      </w:r>
      <w:r>
        <w:rPr>
          <w:rFonts w:ascii="Consolas" w:cs="Consolas" w:eastAsia="Consolas" w:hAnsi="Consolas"/>
          <w:sz w:val="19"/>
          <w:szCs w:val="19"/>
        </w:rPr>
        <w:t xml:space="preserve">workflow_dispatch</w:t>
      </w:r>
      <w:r>
        <w:t xml:space="preserve">) quand le runner est en ligne.</w:t>
      </w:r>
    </w:p>
    <w:p>
      <w:pPr>
        <w:pStyle w:val="Heading2"/>
        <w:spacing w:after="100" w:before="240"/>
      </w:pPr>
      <w:r>
        <w:t xml:space="preserve">3.6. Le fichier .github/workflows/ci.yml, job par job</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2000"/>
        <w:gridCol w:w="5338"/>
      </w:tblGrid>
      <w:tr>
        <w:trPr>
          <w:tblHeader/>
        </w:trPr>
        <w:tc>
          <w:tcPr>
            <w:tcW w:type="dxa" w:w="2300"/>
            <w:tcBorders>
              <w:top w:val="single" w:color="B0B0B0" w:sz="2"/>
              <w:left w:val="single" w:color="B0B0B0" w:sz="2"/>
              <w:bottom w:val="single" w:color="B0B0B0" w:sz="2"/>
              <w:right w:val="single" w:color="B0B0B0" w:sz="2"/>
            </w:tcBorders>
            <w:shd w:fill="2E5E8C" w:val="clear"/>
            <w:tcMar>
              <w:top w:type="dxa" w:w="60"/>
              <w:left w:type="dxa" w:w="110"/>
              <w:bottom w:type="dxa" w:w="60"/>
              <w:right w:type="dxa" w:w="110"/>
            </w:tcMar>
            <w:vAlign w:val="center"/>
          </w:tcPr>
          <w:p>
            <w:pPr>
              <w:spacing w:after="0"/>
            </w:pPr>
            <w:r>
              <w:rPr>
                <w:b/>
                <w:bCs/>
                <w:color w:val="FFFFFF"/>
                <w:sz w:val="19"/>
                <w:szCs w:val="19"/>
              </w:rPr>
              <w:t xml:space="preserve">Job</w:t>
            </w:r>
          </w:p>
        </w:tc>
        <w:tc>
          <w:tcPr>
            <w:tcW w:type="dxa" w:w="2000"/>
            <w:tcBorders>
              <w:top w:val="single" w:color="B0B0B0" w:sz="2"/>
              <w:left w:val="single" w:color="B0B0B0" w:sz="2"/>
              <w:bottom w:val="single" w:color="B0B0B0" w:sz="2"/>
              <w:right w:val="single" w:color="B0B0B0" w:sz="2"/>
            </w:tcBorders>
            <w:shd w:fill="2E5E8C" w:val="clear"/>
            <w:tcMar>
              <w:top w:type="dxa" w:w="60"/>
              <w:left w:type="dxa" w:w="110"/>
              <w:bottom w:type="dxa" w:w="60"/>
              <w:right w:type="dxa" w:w="110"/>
            </w:tcMar>
            <w:vAlign w:val="center"/>
          </w:tcPr>
          <w:p>
            <w:pPr>
              <w:spacing w:after="0"/>
            </w:pPr>
            <w:r>
              <w:rPr>
                <w:b/>
                <w:bCs/>
                <w:color w:val="FFFFFF"/>
                <w:sz w:val="19"/>
                <w:szCs w:val="19"/>
              </w:rPr>
              <w:t xml:space="preserve">Runner</w:t>
            </w:r>
          </w:p>
        </w:tc>
        <w:tc>
          <w:tcPr>
            <w:tcW w:type="dxa" w:w="5338"/>
            <w:tcBorders>
              <w:top w:val="single" w:color="B0B0B0" w:sz="2"/>
              <w:left w:val="single" w:color="B0B0B0" w:sz="2"/>
              <w:bottom w:val="single" w:color="B0B0B0" w:sz="2"/>
              <w:right w:val="single" w:color="B0B0B0" w:sz="2"/>
            </w:tcBorders>
            <w:shd w:fill="2E5E8C" w:val="clear"/>
            <w:tcMar>
              <w:top w:type="dxa" w:w="60"/>
              <w:left w:type="dxa" w:w="110"/>
              <w:bottom w:type="dxa" w:w="60"/>
              <w:right w:type="dxa" w:w="110"/>
            </w:tcMar>
            <w:vAlign w:val="center"/>
          </w:tcPr>
          <w:p>
            <w:pPr>
              <w:spacing w:after="0"/>
            </w:pPr>
            <w:r>
              <w:rPr>
                <w:b/>
                <w:bCs/>
                <w:color w:val="FFFFFF"/>
                <w:sz w:val="19"/>
                <w:szCs w:val="19"/>
              </w:rPr>
              <w:t xml:space="preserve">Étapes</w:t>
            </w:r>
          </w:p>
        </w:tc>
      </w:tr>
      <w:tr>
        <w:tc>
          <w:tcPr>
            <w:tcW w:type="dxa" w:w="2300"/>
            <w:tcBorders>
              <w:top w:val="single" w:color="B0B0B0" w:sz="2"/>
              <w:left w:val="single" w:color="B0B0B0" w:sz="2"/>
              <w:bottom w:val="single" w:color="B0B0B0" w:sz="2"/>
              <w:right w:val="single" w:color="B0B0B0" w:sz="2"/>
            </w:tcBorders>
            <w:tcMar>
              <w:top w:type="dxa" w:w="60"/>
              <w:left w:type="dxa" w:w="110"/>
              <w:bottom w:type="dxa" w:w="60"/>
              <w:right w:type="dxa" w:w="110"/>
            </w:tcMar>
            <w:vAlign w:val="center"/>
          </w:tcPr>
          <w:p>
            <w:pPr>
              <w:spacing w:after="0"/>
            </w:pPr>
            <w:r>
              <w:rPr>
                <w:b w:val="false"/>
                <w:bCs w:val="false"/>
                <w:sz w:val="19"/>
                <w:szCs w:val="19"/>
              </w:rPr>
              <w:t xml:space="preserve">lint</w:t>
            </w:r>
          </w:p>
        </w:tc>
        <w:tc>
          <w:tcPr>
            <w:tcW w:type="dxa" w:w="2000"/>
            <w:tcBorders>
              <w:top w:val="single" w:color="B0B0B0" w:sz="2"/>
              <w:left w:val="single" w:color="B0B0B0" w:sz="2"/>
              <w:bottom w:val="single" w:color="B0B0B0" w:sz="2"/>
              <w:right w:val="single" w:color="B0B0B0" w:sz="2"/>
            </w:tcBorders>
            <w:tcMar>
              <w:top w:type="dxa" w:w="60"/>
              <w:left w:type="dxa" w:w="110"/>
              <w:bottom w:type="dxa" w:w="60"/>
              <w:right w:type="dxa" w:w="110"/>
            </w:tcMar>
            <w:vAlign w:val="center"/>
          </w:tcPr>
          <w:p>
            <w:pPr>
              <w:spacing w:after="0"/>
            </w:pPr>
            <w:r>
              <w:rPr>
                <w:b w:val="false"/>
                <w:bCs w:val="false"/>
                <w:sz w:val="19"/>
                <w:szCs w:val="19"/>
              </w:rPr>
              <w:t xml:space="preserve">hébergé</w:t>
            </w:r>
          </w:p>
        </w:tc>
        <w:tc>
          <w:tcPr>
            <w:tcW w:type="dxa" w:w="5338"/>
            <w:tcBorders>
              <w:top w:val="single" w:color="B0B0B0" w:sz="2"/>
              <w:left w:val="single" w:color="B0B0B0" w:sz="2"/>
              <w:bottom w:val="single" w:color="B0B0B0" w:sz="2"/>
              <w:right w:val="single" w:color="B0B0B0" w:sz="2"/>
            </w:tcBorders>
            <w:tcMar>
              <w:top w:type="dxa" w:w="60"/>
              <w:left w:type="dxa" w:w="110"/>
              <w:bottom w:type="dxa" w:w="60"/>
              <w:right w:type="dxa" w:w="110"/>
            </w:tcMar>
            <w:vAlign w:val="center"/>
          </w:tcPr>
          <w:p>
            <w:pPr>
              <w:spacing w:after="0"/>
            </w:pPr>
            <w:r>
              <w:rPr>
                <w:b w:val="false"/>
                <w:bCs w:val="false"/>
                <w:sz w:val="19"/>
                <w:szCs w:val="19"/>
              </w:rPr>
              <w:t xml:space="preserve">hadolint (Dockerfile) + tflint + checkov (IaC). Bloquant.</w:t>
            </w:r>
          </w:p>
        </w:tc>
      </w:tr>
      <w:tr>
        <w:tc>
          <w:tcPr>
            <w:tcW w:type="dxa" w:w="2300"/>
            <w:tcBorders>
              <w:top w:val="single" w:color="B0B0B0" w:sz="2"/>
              <w:left w:val="single" w:color="B0B0B0" w:sz="2"/>
              <w:bottom w:val="single" w:color="B0B0B0" w:sz="2"/>
              <w:right w:val="single" w:color="B0B0B0" w:sz="2"/>
            </w:tcBorders>
            <w:tcMar>
              <w:top w:type="dxa" w:w="60"/>
              <w:left w:type="dxa" w:w="110"/>
              <w:bottom w:type="dxa" w:w="60"/>
              <w:right w:type="dxa" w:w="110"/>
            </w:tcMar>
            <w:vAlign w:val="center"/>
          </w:tcPr>
          <w:p>
            <w:pPr>
              <w:spacing w:after="0"/>
            </w:pPr>
            <w:r>
              <w:rPr>
                <w:b w:val="false"/>
                <w:bCs w:val="false"/>
                <w:sz w:val="19"/>
                <w:szCs w:val="19"/>
              </w:rPr>
              <w:t xml:space="preserve">sast</w:t>
            </w:r>
          </w:p>
        </w:tc>
        <w:tc>
          <w:tcPr>
            <w:tcW w:type="dxa" w:w="2000"/>
            <w:tcBorders>
              <w:top w:val="single" w:color="B0B0B0" w:sz="2"/>
              <w:left w:val="single" w:color="B0B0B0" w:sz="2"/>
              <w:bottom w:val="single" w:color="B0B0B0" w:sz="2"/>
              <w:right w:val="single" w:color="B0B0B0" w:sz="2"/>
            </w:tcBorders>
            <w:tcMar>
              <w:top w:type="dxa" w:w="60"/>
              <w:left w:type="dxa" w:w="110"/>
              <w:bottom w:type="dxa" w:w="60"/>
              <w:right w:type="dxa" w:w="110"/>
            </w:tcMar>
            <w:vAlign w:val="center"/>
          </w:tcPr>
          <w:p>
            <w:pPr>
              <w:spacing w:after="0"/>
            </w:pPr>
            <w:r>
              <w:rPr>
                <w:b w:val="false"/>
                <w:bCs w:val="false"/>
                <w:sz w:val="19"/>
                <w:szCs w:val="19"/>
              </w:rPr>
              <w:t xml:space="preserve">hébergé</w:t>
            </w:r>
          </w:p>
        </w:tc>
        <w:tc>
          <w:tcPr>
            <w:tcW w:type="dxa" w:w="5338"/>
            <w:tcBorders>
              <w:top w:val="single" w:color="B0B0B0" w:sz="2"/>
              <w:left w:val="single" w:color="B0B0B0" w:sz="2"/>
              <w:bottom w:val="single" w:color="B0B0B0" w:sz="2"/>
              <w:right w:val="single" w:color="B0B0B0" w:sz="2"/>
            </w:tcBorders>
            <w:tcMar>
              <w:top w:type="dxa" w:w="60"/>
              <w:left w:type="dxa" w:w="110"/>
              <w:bottom w:type="dxa" w:w="60"/>
              <w:right w:type="dxa" w:w="110"/>
            </w:tcMar>
            <w:vAlign w:val="center"/>
          </w:tcPr>
          <w:p>
            <w:pPr>
              <w:spacing w:after="0"/>
            </w:pPr>
            <w:r>
              <w:rPr>
                <w:b w:val="false"/>
                <w:bCs w:val="false"/>
                <w:sz w:val="19"/>
                <w:szCs w:val="19"/>
              </w:rPr>
              <w:t xml:space="preserve">Semgrep (règles p/default, p/python, p/flask). Bloquant.</w:t>
            </w:r>
          </w:p>
        </w:tc>
      </w:tr>
      <w:tr>
        <w:tc>
          <w:tcPr>
            <w:tcW w:type="dxa" w:w="2300"/>
            <w:tcBorders>
              <w:top w:val="single" w:color="B0B0B0" w:sz="2"/>
              <w:left w:val="single" w:color="B0B0B0" w:sz="2"/>
              <w:bottom w:val="single" w:color="B0B0B0" w:sz="2"/>
              <w:right w:val="single" w:color="B0B0B0" w:sz="2"/>
            </w:tcBorders>
            <w:tcMar>
              <w:top w:type="dxa" w:w="60"/>
              <w:left w:type="dxa" w:w="110"/>
              <w:bottom w:type="dxa" w:w="60"/>
              <w:right w:type="dxa" w:w="110"/>
            </w:tcMar>
            <w:vAlign w:val="center"/>
          </w:tcPr>
          <w:p>
            <w:pPr>
              <w:spacing w:after="0"/>
            </w:pPr>
            <w:r>
              <w:rPr>
                <w:b w:val="false"/>
                <w:bCs w:val="false"/>
                <w:sz w:val="19"/>
                <w:szCs w:val="19"/>
              </w:rPr>
              <w:t xml:space="preserve">build-scan-sign</w:t>
            </w:r>
          </w:p>
        </w:tc>
        <w:tc>
          <w:tcPr>
            <w:tcW w:type="dxa" w:w="2000"/>
            <w:tcBorders>
              <w:top w:val="single" w:color="B0B0B0" w:sz="2"/>
              <w:left w:val="single" w:color="B0B0B0" w:sz="2"/>
              <w:bottom w:val="single" w:color="B0B0B0" w:sz="2"/>
              <w:right w:val="single" w:color="B0B0B0" w:sz="2"/>
            </w:tcBorders>
            <w:tcMar>
              <w:top w:type="dxa" w:w="60"/>
              <w:left w:type="dxa" w:w="110"/>
              <w:bottom w:type="dxa" w:w="60"/>
              <w:right w:type="dxa" w:w="110"/>
            </w:tcMar>
            <w:vAlign w:val="center"/>
          </w:tcPr>
          <w:p>
            <w:pPr>
              <w:spacing w:after="0"/>
            </w:pPr>
            <w:r>
              <w:rPr>
                <w:b w:val="false"/>
                <w:bCs w:val="false"/>
                <w:sz w:val="19"/>
                <w:szCs w:val="19"/>
              </w:rPr>
              <w:t xml:space="preserve">hébergé</w:t>
            </w:r>
          </w:p>
        </w:tc>
        <w:tc>
          <w:tcPr>
            <w:tcW w:type="dxa" w:w="5338"/>
            <w:tcBorders>
              <w:top w:val="single" w:color="B0B0B0" w:sz="2"/>
              <w:left w:val="single" w:color="B0B0B0" w:sz="2"/>
              <w:bottom w:val="single" w:color="B0B0B0" w:sz="2"/>
              <w:right w:val="single" w:color="B0B0B0" w:sz="2"/>
            </w:tcBorders>
            <w:tcMar>
              <w:top w:type="dxa" w:w="60"/>
              <w:left w:type="dxa" w:w="110"/>
              <w:bottom w:type="dxa" w:w="60"/>
              <w:right w:type="dxa" w:w="110"/>
            </w:tcMar>
            <w:vAlign w:val="center"/>
          </w:tcPr>
          <w:p>
            <w:pPr>
              <w:spacing w:after="0"/>
            </w:pPr>
            <w:r>
              <w:rPr>
                <w:b w:val="false"/>
                <w:bCs w:val="false"/>
                <w:sz w:val="19"/>
                <w:szCs w:val="19"/>
              </w:rPr>
              <w:t xml:space="preserve">build de l’image → Trivy (exit-code 1) → ZAP baseline → Cosign sign + verify → push GHCR.</w:t>
            </w:r>
          </w:p>
        </w:tc>
      </w:tr>
      <w:tr>
        <w:tc>
          <w:tcPr>
            <w:tcW w:type="dxa" w:w="2300"/>
            <w:tcBorders>
              <w:top w:val="single" w:color="B0B0B0" w:sz="2"/>
              <w:left w:val="single" w:color="B0B0B0" w:sz="2"/>
              <w:bottom w:val="single" w:color="B0B0B0" w:sz="2"/>
              <w:right w:val="single" w:color="B0B0B0" w:sz="2"/>
            </w:tcBorders>
            <w:tcMar>
              <w:top w:type="dxa" w:w="60"/>
              <w:left w:type="dxa" w:w="110"/>
              <w:bottom w:type="dxa" w:w="60"/>
              <w:right w:type="dxa" w:w="110"/>
            </w:tcMar>
            <w:vAlign w:val="center"/>
          </w:tcPr>
          <w:p>
            <w:pPr>
              <w:spacing w:after="0"/>
            </w:pPr>
            <w:r>
              <w:rPr>
                <w:b w:val="false"/>
                <w:bCs w:val="false"/>
                <w:sz w:val="19"/>
                <w:szCs w:val="19"/>
              </w:rPr>
              <w:t xml:space="preserve">push-harbor</w:t>
            </w:r>
          </w:p>
        </w:tc>
        <w:tc>
          <w:tcPr>
            <w:tcW w:type="dxa" w:w="2000"/>
            <w:tcBorders>
              <w:top w:val="single" w:color="B0B0B0" w:sz="2"/>
              <w:left w:val="single" w:color="B0B0B0" w:sz="2"/>
              <w:bottom w:val="single" w:color="B0B0B0" w:sz="2"/>
              <w:right w:val="single" w:color="B0B0B0" w:sz="2"/>
            </w:tcBorders>
            <w:tcMar>
              <w:top w:type="dxa" w:w="60"/>
              <w:left w:type="dxa" w:w="110"/>
              <w:bottom w:type="dxa" w:w="60"/>
              <w:right w:type="dxa" w:w="110"/>
            </w:tcMar>
            <w:vAlign w:val="center"/>
          </w:tcPr>
          <w:p>
            <w:pPr>
              <w:spacing w:after="0"/>
            </w:pPr>
            <w:r>
              <w:rPr>
                <w:b w:val="false"/>
                <w:bCs w:val="false"/>
                <w:sz w:val="19"/>
                <w:szCs w:val="19"/>
              </w:rPr>
              <w:t xml:space="preserve">self-hosted</w:t>
            </w:r>
          </w:p>
        </w:tc>
        <w:tc>
          <w:tcPr>
            <w:tcW w:type="dxa" w:w="5338"/>
            <w:tcBorders>
              <w:top w:val="single" w:color="B0B0B0" w:sz="2"/>
              <w:left w:val="single" w:color="B0B0B0" w:sz="2"/>
              <w:bottom w:val="single" w:color="B0B0B0" w:sz="2"/>
              <w:right w:val="single" w:color="B0B0B0" w:sz="2"/>
            </w:tcBorders>
            <w:tcMar>
              <w:top w:type="dxa" w:w="60"/>
              <w:left w:type="dxa" w:w="110"/>
              <w:bottom w:type="dxa" w:w="60"/>
              <w:right w:type="dxa" w:w="110"/>
            </w:tcMar>
            <w:vAlign w:val="center"/>
          </w:tcPr>
          <w:p>
            <w:pPr>
              <w:spacing w:after="0"/>
            </w:pPr>
            <w:r>
              <w:rPr>
                <w:b w:val="false"/>
                <w:bCs w:val="false"/>
                <w:sz w:val="19"/>
                <w:szCs w:val="19"/>
              </w:rPr>
              <w:t xml:space="preserve">tire l’image de GHCR → pousse dans Harbor → déclenche le scan CVE de Harbor. À la demande.</w:t>
            </w:r>
          </w:p>
        </w:tc>
      </w:tr>
    </w:tbl>
    <w:p>
      <w:pPr>
        <w:spacing w:after="160"/>
      </w:pPr>
    </w:p>
    <w:p>
      <w:pPr>
        <w:spacing w:after="120" w:line="300"/>
        <w:jc w:val="both"/>
      </w:pPr>
      <w:r>
        <w:rPr>
          <w:b/>
          <w:bCs/>
        </w:rPr>
        <w:t xml:space="preserve">Notions de syntaxe utiles : </w:t>
      </w:r>
      <w:r>
        <w:rPr>
          <w:rFonts w:ascii="Consolas" w:cs="Consolas" w:eastAsia="Consolas" w:hAnsi="Consolas"/>
          <w:sz w:val="19"/>
          <w:szCs w:val="19"/>
        </w:rPr>
        <w:t xml:space="preserve">on:</w:t>
      </w:r>
      <w:r>
        <w:t xml:space="preserve"> (quand se déclenche la pipeline), </w:t>
      </w:r>
      <w:r>
        <w:rPr>
          <w:rFonts w:ascii="Consolas" w:cs="Consolas" w:eastAsia="Consolas" w:hAnsi="Consolas"/>
          <w:sz w:val="19"/>
          <w:szCs w:val="19"/>
        </w:rPr>
        <w:t xml:space="preserve">jobs:</w:t>
      </w:r>
      <w:r>
        <w:t xml:space="preserve"> (les tâches), </w:t>
      </w:r>
      <w:r>
        <w:rPr>
          <w:rFonts w:ascii="Consolas" w:cs="Consolas" w:eastAsia="Consolas" w:hAnsi="Consolas"/>
          <w:sz w:val="19"/>
          <w:szCs w:val="19"/>
        </w:rPr>
        <w:t xml:space="preserve">needs:</w:t>
      </w:r>
      <w:r>
        <w:t xml:space="preserve"> (un job attend qu’un autre réussisse), </w:t>
      </w:r>
      <w:r>
        <w:rPr>
          <w:rFonts w:ascii="Consolas" w:cs="Consolas" w:eastAsia="Consolas" w:hAnsi="Consolas"/>
          <w:sz w:val="19"/>
          <w:szCs w:val="19"/>
        </w:rPr>
        <w:t xml:space="preserve">runs-on:</w:t>
      </w:r>
      <w:r>
        <w:t xml:space="preserve"> (sur quel runner), </w:t>
      </w:r>
      <w:r>
        <w:rPr>
          <w:rFonts w:ascii="Consolas" w:cs="Consolas" w:eastAsia="Consolas" w:hAnsi="Consolas"/>
          <w:sz w:val="19"/>
          <w:szCs w:val="19"/>
        </w:rPr>
        <w:t xml:space="preserve">permissions:</w:t>
      </w:r>
      <w:r>
        <w:t xml:space="preserve"> (droits du jeton, ex. </w:t>
      </w:r>
      <w:r>
        <w:rPr>
          <w:rFonts w:ascii="Consolas" w:cs="Consolas" w:eastAsia="Consolas" w:hAnsi="Consolas"/>
          <w:sz w:val="19"/>
          <w:szCs w:val="19"/>
        </w:rPr>
        <w:t xml:space="preserve">id-token: write</w:t>
      </w:r>
      <w:r>
        <w:t xml:space="preserve"> pour la signature keyless), </w:t>
      </w:r>
      <w:r>
        <w:rPr>
          <w:rFonts w:ascii="Consolas" w:cs="Consolas" w:eastAsia="Consolas" w:hAnsi="Consolas"/>
          <w:sz w:val="19"/>
          <w:szCs w:val="19"/>
        </w:rPr>
        <w:t xml:space="preserve">steps:</w:t>
      </w:r>
      <w:r>
        <w:t xml:space="preserve"> (les étapes), </w:t>
      </w:r>
      <w:r>
        <w:rPr>
          <w:rFonts w:ascii="Consolas" w:cs="Consolas" w:eastAsia="Consolas" w:hAnsi="Consolas"/>
          <w:sz w:val="19"/>
          <w:szCs w:val="19"/>
        </w:rPr>
        <w:t xml:space="preserve">uses:</w:t>
      </w:r>
      <w:r>
        <w:t xml:space="preserve"> (réutiliser une action), </w:t>
      </w:r>
      <w:r>
        <w:rPr>
          <w:rFonts w:ascii="Consolas" w:cs="Consolas" w:eastAsia="Consolas" w:hAnsi="Consolas"/>
          <w:sz w:val="19"/>
          <w:szCs w:val="19"/>
        </w:rPr>
        <w:t xml:space="preserve">run:</w:t>
      </w:r>
      <w:r>
        <w:t xml:space="preserve"> (lancer une commande).</w:t>
      </w:r>
    </w:p>
    <w:p>
      <w:pPr>
        <w:pStyle w:val="Heading2"/>
        <w:spacing w:after="100" w:before="240"/>
      </w:pPr>
      <w:r>
        <w:t xml:space="preserve">3.7. Le parcours complet d’une image</w:t>
      </w:r>
    </w:p>
    <w:p>
      <w:pPr>
        <w:spacing w:after="120" w:line="300"/>
        <w:jc w:val="both"/>
      </w:pPr>
      <w:r>
        <w:rPr>
          <w:rFonts w:ascii="Consolas" w:cs="Consolas" w:eastAsia="Consolas" w:hAnsi="Consolas"/>
          <w:sz w:val="19"/>
          <w:szCs w:val="19"/>
        </w:rPr>
        <w:t xml:space="preserve">git push</w:t>
      </w:r>
      <w:r>
        <w:t xml:space="preserve"> → lint → SAST → build → Trivy (CVE, bloquant) → ZAP (DAST) → Cosign signe → push </w:t>
      </w:r>
      <w:r>
        <w:rPr>
          <w:b/>
          <w:bCs/>
        </w:rPr>
        <w:t xml:space="preserve">GHCR</w:t>
      </w:r>
      <w:r>
        <w:t xml:space="preserve"> → (à la demande) le runner self-hosted tire l’image et la pousse dans </w:t>
      </w:r>
      <w:r>
        <w:rPr>
          <w:b/>
          <w:bCs/>
        </w:rPr>
        <w:t xml:space="preserve">Harbor</w:t>
      </w:r>
      <w:r>
        <w:t xml:space="preserve">, qui la re-scanne avec son propre Trivy → ces vulnérabilités alimentent le dashboard (Pilier 3).</w:t>
      </w:r>
    </w:p>
    <w:p>
      <w:pPr>
        <w:spacing w:after="60" w:before="120"/>
        <w:jc w:val="center"/>
      </w:pPr>
      <w:r>
        <w:drawing>
          <wp:inline distT="0" distB="0" distL="0" distR="0">
            <wp:extent cx="5334000" cy="6048375"/>
            <wp:effectExtent t="0" r="0" b="0" l="0"/>
            <wp:docPr id="1" name="github-actions-run.png" descr="Exécution GitHub Actions au statut « Success » : la pipeline bloquante a passé toutes les portes." title="Exécution GitHub Actions au statut « Success » : la pipeline bloquante a passé toutes les por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6048375"/>
                    </a:xfrm>
                    <a:prstGeom prst="rect">
                      <a:avLst/>
                    </a:prstGeom>
                  </pic:spPr>
                </pic:pic>
              </a:graphicData>
            </a:graphic>
          </wp:inline>
        </w:drawing>
      </w:r>
    </w:p>
    <w:p>
      <w:pPr>
        <w:spacing w:after="200"/>
        <w:jc w:val="center"/>
      </w:pPr>
      <w:r>
        <w:rPr>
          <w:i/>
          <w:iCs/>
          <w:color w:val="555555"/>
          <w:sz w:val="18"/>
          <w:szCs w:val="18"/>
        </w:rPr>
        <w:t xml:space="preserve">Exécution GitHub Actions au statut « Success » : la pipeline bloquante a passé toutes les portes.</w:t>
      </w:r>
    </w:p>
    <w:p>
      <w:pPr>
        <w:pStyle w:val="Heading1"/>
        <w:pageBreakBefore/>
        <w:spacing w:after="160" w:before="320"/>
      </w:pPr>
      <w:r>
        <w:t xml:space="preserve">4. Pilier 3 — L’observabilité (Prometheus + Grafana)</w:t>
      </w:r>
    </w:p>
    <w:p>
      <w:pPr>
        <w:pStyle w:val="Heading2"/>
        <w:spacing w:after="100" w:before="240"/>
      </w:pPr>
      <w:r>
        <w:t xml:space="preserve">4.1. Le principe</w:t>
      </w:r>
    </w:p>
    <w:p>
      <w:pPr>
        <w:spacing w:after="120" w:line="300"/>
        <w:jc w:val="both"/>
      </w:pPr>
      <w:r>
        <w:t xml:space="preserve">Observer un système = collecter ses </w:t>
      </w:r>
      <w:r>
        <w:rPr>
          <w:b/>
          <w:bCs/>
        </w:rPr>
        <w:t xml:space="preserve">métriques</w:t>
      </w:r>
      <w:r>
        <w:t xml:space="preserve"> (chiffres mesurés dans le temps) pour connaître son état et détecter les problèmes. Ici, on surveille Harbor : son état, son activité, et surtout les </w:t>
      </w:r>
      <w:r>
        <w:rPr>
          <w:b/>
          <w:bCs/>
        </w:rPr>
        <w:t xml:space="preserve">vulnérabilités (CVE)</w:t>
      </w:r>
      <w:r>
        <w:t xml:space="preserve"> qu’il détecte dans les images.</w:t>
      </w:r>
    </w:p>
    <w:p>
      <w:pPr>
        <w:pStyle w:val="Heading2"/>
        <w:spacing w:after="100" w:before="240"/>
      </w:pPr>
      <w:r>
        <w:t xml:space="preserve">4.2. La chaîne de collecte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tblHeader/>
        </w:trPr>
        <w:tc>
          <w:tcPr>
            <w:tcW w:type="dxa" w:w="2400"/>
            <w:tcBorders>
              <w:top w:val="single" w:color="B0B0B0" w:sz="2"/>
              <w:left w:val="single" w:color="B0B0B0" w:sz="2"/>
              <w:bottom w:val="single" w:color="B0B0B0" w:sz="2"/>
              <w:right w:val="single" w:color="B0B0B0" w:sz="2"/>
            </w:tcBorders>
            <w:shd w:fill="2E5E8C" w:val="clear"/>
            <w:tcMar>
              <w:top w:type="dxa" w:w="60"/>
              <w:left w:type="dxa" w:w="110"/>
              <w:bottom w:type="dxa" w:w="60"/>
              <w:right w:type="dxa" w:w="110"/>
            </w:tcMar>
            <w:vAlign w:val="center"/>
          </w:tcPr>
          <w:p>
            <w:pPr>
              <w:spacing w:after="0"/>
            </w:pPr>
            <w:r>
              <w:rPr>
                <w:b/>
                <w:bCs/>
                <w:color w:val="FFFFFF"/>
                <w:sz w:val="19"/>
                <w:szCs w:val="19"/>
              </w:rPr>
              <w:t xml:space="preserve">Composant</w:t>
            </w:r>
          </w:p>
        </w:tc>
        <w:tc>
          <w:tcPr>
            <w:tcW w:type="dxa" w:w="7238"/>
            <w:tcBorders>
              <w:top w:val="single" w:color="B0B0B0" w:sz="2"/>
              <w:left w:val="single" w:color="B0B0B0" w:sz="2"/>
              <w:bottom w:val="single" w:color="B0B0B0" w:sz="2"/>
              <w:right w:val="single" w:color="B0B0B0" w:sz="2"/>
            </w:tcBorders>
            <w:shd w:fill="2E5E8C" w:val="clear"/>
            <w:tcMar>
              <w:top w:type="dxa" w:w="60"/>
              <w:left w:type="dxa" w:w="110"/>
              <w:bottom w:type="dxa" w:w="60"/>
              <w:right w:type="dxa" w:w="110"/>
            </w:tcMar>
            <w:vAlign w:val="center"/>
          </w:tcPr>
          <w:p>
            <w:pPr>
              <w:spacing w:after="0"/>
            </w:pPr>
            <w:r>
              <w:rPr>
                <w:b/>
                <w:bCs/>
                <w:color w:val="FFFFFF"/>
                <w:sz w:val="19"/>
                <w:szCs w:val="19"/>
              </w:rPr>
              <w:t xml:space="preserve">Rôle</w:t>
            </w:r>
          </w:p>
        </w:tc>
      </w:tr>
      <w:tr>
        <w:tc>
          <w:tcPr>
            <w:tcW w:type="dxa" w:w="2400"/>
            <w:tcBorders>
              <w:top w:val="single" w:color="B0B0B0" w:sz="2"/>
              <w:left w:val="single" w:color="B0B0B0" w:sz="2"/>
              <w:bottom w:val="single" w:color="B0B0B0" w:sz="2"/>
              <w:right w:val="single" w:color="B0B0B0" w:sz="2"/>
            </w:tcBorders>
            <w:tcMar>
              <w:top w:type="dxa" w:w="60"/>
              <w:left w:type="dxa" w:w="110"/>
              <w:bottom w:type="dxa" w:w="60"/>
              <w:right w:type="dxa" w:w="110"/>
            </w:tcMar>
            <w:vAlign w:val="center"/>
          </w:tcPr>
          <w:p>
            <w:pPr>
              <w:spacing w:after="0"/>
            </w:pPr>
            <w:r>
              <w:rPr>
                <w:b w:val="false"/>
                <w:bCs w:val="false"/>
                <w:sz w:val="19"/>
                <w:szCs w:val="19"/>
              </w:rPr>
              <w:t xml:space="preserve">Harbor</w:t>
            </w:r>
          </w:p>
        </w:tc>
        <w:tc>
          <w:tcPr>
            <w:tcW w:type="dxa" w:w="7238"/>
            <w:tcBorders>
              <w:top w:val="single" w:color="B0B0B0" w:sz="2"/>
              <w:left w:val="single" w:color="B0B0B0" w:sz="2"/>
              <w:bottom w:val="single" w:color="B0B0B0" w:sz="2"/>
              <w:right w:val="single" w:color="B0B0B0" w:sz="2"/>
            </w:tcBorders>
            <w:tcMar>
              <w:top w:type="dxa" w:w="60"/>
              <w:left w:type="dxa" w:w="110"/>
              <w:bottom w:type="dxa" w:w="60"/>
              <w:right w:type="dxa" w:w="110"/>
            </w:tcMar>
            <w:vAlign w:val="center"/>
          </w:tcPr>
          <w:p>
            <w:pPr>
              <w:spacing w:after="0"/>
            </w:pPr>
            <w:r>
              <w:rPr>
                <w:b w:val="false"/>
                <w:bCs w:val="false"/>
                <w:sz w:val="19"/>
                <w:szCs w:val="19"/>
              </w:rPr>
              <w:t xml:space="preserve">Expose des métriques (préfixe harbor_…) sur un endpoint /metrics, et scanne les images avec Trivy.</w:t>
            </w:r>
          </w:p>
        </w:tc>
      </w:tr>
      <w:tr>
        <w:tc>
          <w:tcPr>
            <w:tcW w:type="dxa" w:w="2400"/>
            <w:tcBorders>
              <w:top w:val="single" w:color="B0B0B0" w:sz="2"/>
              <w:left w:val="single" w:color="B0B0B0" w:sz="2"/>
              <w:bottom w:val="single" w:color="B0B0B0" w:sz="2"/>
              <w:right w:val="single" w:color="B0B0B0" w:sz="2"/>
            </w:tcBorders>
            <w:tcMar>
              <w:top w:type="dxa" w:w="60"/>
              <w:left w:type="dxa" w:w="110"/>
              <w:bottom w:type="dxa" w:w="60"/>
              <w:right w:type="dxa" w:w="110"/>
            </w:tcMar>
            <w:vAlign w:val="center"/>
          </w:tcPr>
          <w:p>
            <w:pPr>
              <w:spacing w:after="0"/>
            </w:pPr>
            <w:r>
              <w:rPr>
                <w:b w:val="false"/>
                <w:bCs w:val="false"/>
                <w:sz w:val="19"/>
                <w:szCs w:val="19"/>
              </w:rPr>
              <w:t xml:space="preserve">ServiceMonitor</w:t>
            </w:r>
          </w:p>
        </w:tc>
        <w:tc>
          <w:tcPr>
            <w:tcW w:type="dxa" w:w="7238"/>
            <w:tcBorders>
              <w:top w:val="single" w:color="B0B0B0" w:sz="2"/>
              <w:left w:val="single" w:color="B0B0B0" w:sz="2"/>
              <w:bottom w:val="single" w:color="B0B0B0" w:sz="2"/>
              <w:right w:val="single" w:color="B0B0B0" w:sz="2"/>
            </w:tcBorders>
            <w:tcMar>
              <w:top w:type="dxa" w:w="60"/>
              <w:left w:type="dxa" w:w="110"/>
              <w:bottom w:type="dxa" w:w="60"/>
              <w:right w:type="dxa" w:w="110"/>
            </w:tcMar>
            <w:vAlign w:val="center"/>
          </w:tcPr>
          <w:p>
            <w:pPr>
              <w:spacing w:after="0"/>
            </w:pPr>
            <w:r>
              <w:rPr>
                <w:b w:val="false"/>
                <w:bCs w:val="false"/>
                <w:sz w:val="19"/>
                <w:szCs w:val="19"/>
              </w:rPr>
              <w:t xml:space="preserve">Objet Kubernetes (CRD) qui dit à Prometheus : « viens collecter les métriques de Harbor ».</w:t>
            </w:r>
          </w:p>
        </w:tc>
      </w:tr>
      <w:tr>
        <w:tc>
          <w:tcPr>
            <w:tcW w:type="dxa" w:w="2400"/>
            <w:tcBorders>
              <w:top w:val="single" w:color="B0B0B0" w:sz="2"/>
              <w:left w:val="single" w:color="B0B0B0" w:sz="2"/>
              <w:bottom w:val="single" w:color="B0B0B0" w:sz="2"/>
              <w:right w:val="single" w:color="B0B0B0" w:sz="2"/>
            </w:tcBorders>
            <w:tcMar>
              <w:top w:type="dxa" w:w="60"/>
              <w:left w:type="dxa" w:w="110"/>
              <w:bottom w:type="dxa" w:w="60"/>
              <w:right w:type="dxa" w:w="110"/>
            </w:tcMar>
            <w:vAlign w:val="center"/>
          </w:tcPr>
          <w:p>
            <w:pPr>
              <w:spacing w:after="0"/>
            </w:pPr>
            <w:r>
              <w:rPr>
                <w:b w:val="false"/>
                <w:bCs w:val="false"/>
                <w:sz w:val="19"/>
                <w:szCs w:val="19"/>
              </w:rPr>
              <w:t xml:space="preserve">Prometheus</w:t>
            </w:r>
          </w:p>
        </w:tc>
        <w:tc>
          <w:tcPr>
            <w:tcW w:type="dxa" w:w="7238"/>
            <w:tcBorders>
              <w:top w:val="single" w:color="B0B0B0" w:sz="2"/>
              <w:left w:val="single" w:color="B0B0B0" w:sz="2"/>
              <w:bottom w:val="single" w:color="B0B0B0" w:sz="2"/>
              <w:right w:val="single" w:color="B0B0B0" w:sz="2"/>
            </w:tcBorders>
            <w:tcMar>
              <w:top w:type="dxa" w:w="60"/>
              <w:left w:type="dxa" w:w="110"/>
              <w:bottom w:type="dxa" w:w="60"/>
              <w:right w:type="dxa" w:w="110"/>
            </w:tcMar>
            <w:vAlign w:val="center"/>
          </w:tcPr>
          <w:p>
            <w:pPr>
              <w:spacing w:after="0"/>
            </w:pPr>
            <w:r>
              <w:rPr>
                <w:b w:val="false"/>
                <w:bCs w:val="false"/>
                <w:sz w:val="19"/>
                <w:szCs w:val="19"/>
              </w:rPr>
              <w:t xml:space="preserve">Collecte (scrape) et stocke les métriques dans le temps. Interrogeable via le langage PromQL.</w:t>
            </w:r>
          </w:p>
        </w:tc>
      </w:tr>
      <w:tr>
        <w:tc>
          <w:tcPr>
            <w:tcW w:type="dxa" w:w="2400"/>
            <w:tcBorders>
              <w:top w:val="single" w:color="B0B0B0" w:sz="2"/>
              <w:left w:val="single" w:color="B0B0B0" w:sz="2"/>
              <w:bottom w:val="single" w:color="B0B0B0" w:sz="2"/>
              <w:right w:val="single" w:color="B0B0B0" w:sz="2"/>
            </w:tcBorders>
            <w:tcMar>
              <w:top w:type="dxa" w:w="60"/>
              <w:left w:type="dxa" w:w="110"/>
              <w:bottom w:type="dxa" w:w="60"/>
              <w:right w:type="dxa" w:w="110"/>
            </w:tcMar>
            <w:vAlign w:val="center"/>
          </w:tcPr>
          <w:p>
            <w:pPr>
              <w:spacing w:after="0"/>
            </w:pPr>
            <w:r>
              <w:rPr>
                <w:b w:val="false"/>
                <w:bCs w:val="false"/>
                <w:sz w:val="19"/>
                <w:szCs w:val="19"/>
              </w:rPr>
              <w:t xml:space="preserve">Exporter CVE (maison)</w:t>
            </w:r>
          </w:p>
        </w:tc>
        <w:tc>
          <w:tcPr>
            <w:tcW w:type="dxa" w:w="7238"/>
            <w:tcBorders>
              <w:top w:val="single" w:color="B0B0B0" w:sz="2"/>
              <w:left w:val="single" w:color="B0B0B0" w:sz="2"/>
              <w:bottom w:val="single" w:color="B0B0B0" w:sz="2"/>
              <w:right w:val="single" w:color="B0B0B0" w:sz="2"/>
            </w:tcBorders>
            <w:tcMar>
              <w:top w:type="dxa" w:w="60"/>
              <w:left w:type="dxa" w:w="110"/>
              <w:bottom w:type="dxa" w:w="60"/>
              <w:right w:type="dxa" w:w="110"/>
            </w:tcMar>
            <w:vAlign w:val="center"/>
          </w:tcPr>
          <w:p>
            <w:pPr>
              <w:spacing w:after="0"/>
            </w:pPr>
            <w:r>
              <w:rPr>
                <w:b w:val="false"/>
                <w:bCs w:val="false"/>
                <w:sz w:val="19"/>
                <w:szCs w:val="19"/>
              </w:rPr>
              <w:t xml:space="preserve">Petit programme qui interroge l’API Harbor et expose le nombre de CVE par sévérité (harbor_image_vulnerabilities).</w:t>
            </w:r>
          </w:p>
        </w:tc>
      </w:tr>
      <w:tr>
        <w:tc>
          <w:tcPr>
            <w:tcW w:type="dxa" w:w="2400"/>
            <w:tcBorders>
              <w:top w:val="single" w:color="B0B0B0" w:sz="2"/>
              <w:left w:val="single" w:color="B0B0B0" w:sz="2"/>
              <w:bottom w:val="single" w:color="B0B0B0" w:sz="2"/>
              <w:right w:val="single" w:color="B0B0B0" w:sz="2"/>
            </w:tcBorders>
            <w:tcMar>
              <w:top w:type="dxa" w:w="60"/>
              <w:left w:type="dxa" w:w="110"/>
              <w:bottom w:type="dxa" w:w="60"/>
              <w:right w:type="dxa" w:w="110"/>
            </w:tcMar>
            <w:vAlign w:val="center"/>
          </w:tcPr>
          <w:p>
            <w:pPr>
              <w:spacing w:after="0"/>
            </w:pPr>
            <w:r>
              <w:rPr>
                <w:b w:val="false"/>
                <w:bCs w:val="false"/>
                <w:sz w:val="19"/>
                <w:szCs w:val="19"/>
              </w:rPr>
              <w:t xml:space="preserve">Grafana</w:t>
            </w:r>
          </w:p>
        </w:tc>
        <w:tc>
          <w:tcPr>
            <w:tcW w:type="dxa" w:w="7238"/>
            <w:tcBorders>
              <w:top w:val="single" w:color="B0B0B0" w:sz="2"/>
              <w:left w:val="single" w:color="B0B0B0" w:sz="2"/>
              <w:bottom w:val="single" w:color="B0B0B0" w:sz="2"/>
              <w:right w:val="single" w:color="B0B0B0" w:sz="2"/>
            </w:tcBorders>
            <w:tcMar>
              <w:top w:type="dxa" w:w="60"/>
              <w:left w:type="dxa" w:w="110"/>
              <w:bottom w:type="dxa" w:w="60"/>
              <w:right w:type="dxa" w:w="110"/>
            </w:tcMar>
            <w:vAlign w:val="center"/>
          </w:tcPr>
          <w:p>
            <w:pPr>
              <w:spacing w:after="0"/>
            </w:pPr>
            <w:r>
              <w:rPr>
                <w:b w:val="false"/>
                <w:bCs w:val="false"/>
                <w:sz w:val="19"/>
                <w:szCs w:val="19"/>
              </w:rPr>
              <w:t xml:space="preserve">Affiche les métriques dans un tableau de bord visuel (provisionné automatiquement).</w:t>
            </w:r>
          </w:p>
        </w:tc>
      </w:tr>
    </w:tbl>
    <w:p>
      <w:pPr>
        <w:pStyle w:val="Heading2"/>
        <w:spacing w:after="100" w:before="240"/>
      </w:pPr>
      <w:r>
        <w:t xml:space="preserve">4.3. Pourquoi un exporter CVE « maison » ?</w:t>
      </w:r>
    </w:p>
    <w:p>
      <w:pPr>
        <w:spacing w:after="120" w:line="300"/>
        <w:jc w:val="both"/>
      </w:pPr>
      <w:r>
        <w:t xml:space="preserve">Les métriques natives de Harbor décrivent le </w:t>
      </w:r>
      <w:r>
        <w:rPr>
          <w:b/>
          <w:bCs/>
        </w:rPr>
        <w:t xml:space="preserve">registre</w:t>
      </w:r>
      <w:r>
        <w:t xml:space="preserve"> (nombre de projets, dépôts, stockage, trafic) mais </w:t>
      </w:r>
      <w:r>
        <w:rPr>
          <w:b/>
          <w:bCs/>
        </w:rPr>
        <w:t xml:space="preserve">pas le détail des CVE par sévérité</w:t>
      </w:r>
      <w:r>
        <w:t xml:space="preserve">. On a donc ajouté un petit exporter (un programme Python déployé dans le cluster) qui interroge l’API de Harbor et expose des métriques comme </w:t>
      </w:r>
      <w:r>
        <w:rPr>
          <w:rFonts w:ascii="Consolas" w:cs="Consolas" w:eastAsia="Consolas" w:hAnsi="Consolas"/>
          <w:sz w:val="19"/>
          <w:szCs w:val="19"/>
        </w:rPr>
        <w:t xml:space="preserve">harbor_image_vulnerabilities{severity="Critical"}</w:t>
      </w:r>
      <w:r>
        <w:t xml:space="preserve">. C’est la source du panneau « CVE » du dashboard.</w:t>
      </w:r>
    </w:p>
    <w:p>
      <w:pPr>
        <w:spacing w:after="120" w:line="300"/>
        <w:jc w:val="both"/>
      </w:pPr>
      <w:r>
        <w:rPr>
          <w:b/>
          <w:bCs/>
        </w:rPr>
        <w:t xml:space="preserve">Bon à savoir (le déploiement de l’exporter est « durci ») : </w:t>
      </w:r>
      <w:r>
        <w:t xml:space="preserve">utilisateur non-root, système de fichiers en lecture seule, capacités Linux supprimées, sondes de santé, limites de ressources. C’est ce qui lui permet de passer les contrôles </w:t>
      </w:r>
      <w:r>
        <w:rPr>
          <w:b/>
          <w:bCs/>
        </w:rPr>
        <w:t xml:space="preserve">checkov</w:t>
      </w:r>
      <w:r>
        <w:t xml:space="preserve"> (sécurité Kubernetes) dans la CI.</w:t>
      </w:r>
    </w:p>
    <w:p>
      <w:pPr>
        <w:pStyle w:val="Heading2"/>
        <w:spacing w:after="100" w:before="240"/>
      </w:pPr>
      <w:r>
        <w:t xml:space="preserve">4.4. Le dashboard Grafana « Harbor — Registre &amp; CVE »</w:t>
      </w:r>
    </w:p>
    <w:p>
      <w:pPr>
        <w:spacing w:after="120" w:line="300"/>
        <w:jc w:val="both"/>
      </w:pPr>
      <w:r>
        <w:t xml:space="preserve">Trois zones : en haut l’état du registre (projets, dépôts, artefacts scannés, stockage) ; au milieu les </w:t>
      </w:r>
      <w:r>
        <w:rPr>
          <w:b/>
          <w:bCs/>
        </w:rPr>
        <w:t xml:space="preserve">vulnérabilités par sévérité</w:t>
      </w:r>
      <w:r>
        <w:t xml:space="preserve"> (Critical, High, Medium, Low, corrigeables) et une table par dépôt ; en bas le trafic et la latence de l’API. Il est </w:t>
      </w:r>
      <w:r>
        <w:rPr>
          <w:b/>
          <w:bCs/>
        </w:rPr>
        <w:t xml:space="preserve">provisionné automatiquement</w:t>
      </w:r>
      <w:r>
        <w:t xml:space="preserve"> (chargé via une ConfigMap repérée par le sidecar de Grafana).</w:t>
      </w:r>
    </w:p>
    <w:p>
      <w:pPr>
        <w:spacing w:after="60" w:before="120"/>
        <w:jc w:val="center"/>
      </w:pPr>
      <w:r>
        <w:drawing>
          <wp:inline distT="0" distB="0" distL="0" distR="0">
            <wp:extent cx="5334000" cy="5334000"/>
            <wp:effectExtent t="0" r="0" b="0" l="0"/>
            <wp:docPr id="1" name="grafana-cve-dashboard.png" descr="Dashboard Grafana avec données réelles : compteurs de CVE par sévérité, état du registre et trafic." title="Dashboard Grafana avec données réelles : compteurs de CVE par sévérité, état du registre et traf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5334000"/>
                    </a:xfrm>
                    <a:prstGeom prst="rect">
                      <a:avLst/>
                    </a:prstGeom>
                  </pic:spPr>
                </pic:pic>
              </a:graphicData>
            </a:graphic>
          </wp:inline>
        </w:drawing>
      </w:r>
    </w:p>
    <w:p>
      <w:pPr>
        <w:spacing w:after="200"/>
        <w:jc w:val="center"/>
      </w:pPr>
      <w:r>
        <w:rPr>
          <w:i/>
          <w:iCs/>
          <w:color w:val="555555"/>
          <w:sz w:val="18"/>
          <w:szCs w:val="18"/>
        </w:rPr>
        <w:t xml:space="preserve">Dashboard Grafana avec données réelles : compteurs de CVE par sévérité, état du registre et trafic.</w:t>
      </w:r>
    </w:p>
    <w:p>
      <w:pPr>
        <w:pStyle w:val="Heading2"/>
        <w:spacing w:after="100" w:before="240"/>
      </w:pPr>
      <w:r>
        <w:t xml:space="preserve">4.5. Requêtes PromQL à connaître</w:t>
      </w:r>
    </w:p>
    <w:p>
      <w:pPr>
        <w:shd w:fill="F4F4F4" w:val="clear"/>
        <w:spacing w:after="0"/>
        <w:ind w:left="200" w:right="200"/>
      </w:pPr>
      <w:r>
        <w:rPr>
          <w:rFonts w:ascii="Consolas" w:cs="Consolas" w:eastAsia="Consolas" w:hAnsi="Consolas"/>
          <w:sz w:val="18"/>
          <w:szCs w:val="18"/>
        </w:rPr>
        <w:t xml:space="preserve">harbor_up                              # Harbor est-il scrappé ? (1 = oui)</w:t>
      </w:r>
    </w:p>
    <w:p>
      <w:pPr>
        <w:shd w:fill="F4F4F4" w:val="clear"/>
        <w:spacing w:after="0"/>
        <w:ind w:left="200" w:right="200"/>
      </w:pPr>
      <w:r>
        <w:rPr>
          <w:rFonts w:ascii="Consolas" w:cs="Consolas" w:eastAsia="Consolas" w:hAnsi="Consolas"/>
          <w:sz w:val="18"/>
          <w:szCs w:val="18"/>
        </w:rPr>
        <w:t xml:space="preserve">harbor_statistics_total_repo_amount    # nombre de dépôts</w:t>
      </w:r>
    </w:p>
    <w:p>
      <w:pPr>
        <w:shd w:fill="F4F4F4" w:val="clear"/>
        <w:spacing w:after="160"/>
        <w:ind w:left="200" w:right="200"/>
      </w:pPr>
      <w:r>
        <w:rPr>
          <w:rFonts w:ascii="Consolas" w:cs="Consolas" w:eastAsia="Consolas" w:hAnsi="Consolas"/>
          <w:sz w:val="18"/>
          <w:szCs w:val="18"/>
        </w:rPr>
        <w:t xml:space="preserve">harbor_image_vulnerabilities           # CVE par image et par sévérité (exporter)</w:t>
      </w:r>
    </w:p>
    <w:p>
      <w:pPr>
        <w:pStyle w:val="Heading1"/>
        <w:pageBreakBefore/>
        <w:spacing w:after="160" w:before="320"/>
      </w:pPr>
      <w:r>
        <w:t xml:space="preserve">5. Les autres fichiers clés à savoir expliquer</w:t>
      </w:r>
    </w:p>
    <w:p>
      <w:pPr>
        <w:pStyle w:val="Heading2"/>
        <w:spacing w:after="100" w:before="240"/>
      </w:pPr>
      <w:r>
        <w:t xml:space="preserve">5.1. app/Dockerfile (l’image de démonstration)</w:t>
      </w:r>
    </w:p>
    <w:p>
      <w:pPr>
        <w:spacing w:after="120" w:line="300"/>
        <w:jc w:val="both"/>
      </w:pPr>
      <w:r>
        <w:t xml:space="preserve">C’est l’artefact qui traverse la pipeline. Il est </w:t>
      </w:r>
      <w:r>
        <w:rPr>
          <w:b/>
          <w:bCs/>
        </w:rPr>
        <w:t xml:space="preserve">durci</w:t>
      </w:r>
      <w:r>
        <w:t xml:space="preserve"> pour passer hadolint : utilisateur </w:t>
      </w:r>
      <w:r>
        <w:rPr>
          <w:b/>
          <w:bCs/>
        </w:rPr>
        <w:t xml:space="preserve">non-root</w:t>
      </w:r>
      <w:r>
        <w:t xml:space="preserve"> (</w:t>
      </w:r>
      <w:r>
        <w:rPr>
          <w:rFonts w:ascii="Consolas" w:cs="Consolas" w:eastAsia="Consolas" w:hAnsi="Consolas"/>
          <w:sz w:val="19"/>
          <w:szCs w:val="19"/>
        </w:rPr>
        <w:t xml:space="preserve">appuser</w:t>
      </w:r>
      <w:r>
        <w:t xml:space="preserve">), dépendances </w:t>
      </w:r>
      <w:r>
        <w:rPr>
          <w:b/>
          <w:bCs/>
        </w:rPr>
        <w:t xml:space="preserve">épinglées</w:t>
      </w:r>
      <w:r>
        <w:t xml:space="preserve"> (versions fixes), serveur de production </w:t>
      </w:r>
      <w:r>
        <w:rPr>
          <w:b/>
          <w:bCs/>
        </w:rPr>
        <w:t xml:space="preserve">gunicorn</w:t>
      </w:r>
      <w:r>
        <w:t xml:space="preserve">, et une sonde </w:t>
      </w:r>
      <w:r>
        <w:rPr>
          <w:rFonts w:ascii="Consolas" w:cs="Consolas" w:eastAsia="Consolas" w:hAnsi="Consolas"/>
          <w:sz w:val="19"/>
          <w:szCs w:val="19"/>
        </w:rPr>
        <w:t xml:space="preserve">HEALTHCHECK</w:t>
      </w:r>
      <w:r>
        <w:t xml:space="preserve">. Base </w:t>
      </w:r>
      <w:r>
        <w:rPr>
          <w:rFonts w:ascii="Consolas" w:cs="Consolas" w:eastAsia="Consolas" w:hAnsi="Consolas"/>
          <w:sz w:val="19"/>
          <w:szCs w:val="19"/>
        </w:rPr>
        <w:t xml:space="preserve">python:3.13-slim</w:t>
      </w:r>
      <w:r>
        <w:t xml:space="preserve"> (récente → peu de CVE).</w:t>
      </w:r>
    </w:p>
    <w:p>
      <w:pPr>
        <w:pStyle w:val="Heading2"/>
        <w:spacing w:after="100" w:before="240"/>
      </w:pPr>
      <w:r>
        <w:t xml:space="preserve">5.2. app/app.py</w:t>
      </w:r>
    </w:p>
    <w:p>
      <w:pPr>
        <w:spacing w:after="120" w:line="300"/>
        <w:jc w:val="both"/>
      </w:pPr>
      <w:r>
        <w:t xml:space="preserve">Une petite API Flask (3 routes : </w:t>
      </w:r>
      <w:r>
        <w:rPr>
          <w:rFonts w:ascii="Consolas" w:cs="Consolas" w:eastAsia="Consolas" w:hAnsi="Consolas"/>
          <w:sz w:val="19"/>
          <w:szCs w:val="19"/>
        </w:rPr>
        <w:t xml:space="preserve">/</w:t>
      </w:r>
      <w:r>
        <w:t xml:space="preserve">, </w:t>
      </w:r>
      <w:r>
        <w:rPr>
          <w:rFonts w:ascii="Consolas" w:cs="Consolas" w:eastAsia="Consolas" w:hAnsi="Consolas"/>
          <w:sz w:val="19"/>
          <w:szCs w:val="19"/>
        </w:rPr>
        <w:t xml:space="preserve">/healthz</w:t>
      </w:r>
      <w:r>
        <w:t xml:space="preserve">, </w:t>
      </w:r>
      <w:r>
        <w:rPr>
          <w:rFonts w:ascii="Consolas" w:cs="Consolas" w:eastAsia="Consolas" w:hAnsi="Consolas"/>
          <w:sz w:val="19"/>
          <w:szCs w:val="19"/>
        </w:rPr>
        <w:t xml:space="preserve">/api/echo</w:t>
      </w:r>
      <w:r>
        <w:t xml:space="preserve">). Volontairement propre pour passer Semgrep ; elle sert de cible au DAST (ZAP) et de contenu à scanner/signer.</w:t>
      </w:r>
    </w:p>
    <w:p>
      <w:pPr>
        <w:pStyle w:val="Heading2"/>
        <w:spacing w:after="100" w:before="240"/>
      </w:pPr>
      <w:r>
        <w:t xml:space="preserve">5.3. terraform/cve-exporter.tf</w:t>
      </w:r>
    </w:p>
    <w:p>
      <w:pPr>
        <w:spacing w:after="120" w:line="300"/>
        <w:jc w:val="both"/>
      </w:pPr>
      <w:r>
        <w:t xml:space="preserve">Déploie l’exporter CVE : une </w:t>
      </w:r>
      <w:r>
        <w:rPr>
          <w:rFonts w:ascii="Consolas" w:cs="Consolas" w:eastAsia="Consolas" w:hAnsi="Consolas"/>
          <w:sz w:val="19"/>
          <w:szCs w:val="19"/>
        </w:rPr>
        <w:t xml:space="preserve">ConfigMap</w:t>
      </w:r>
      <w:r>
        <w:t xml:space="preserve"> (le code Python), un </w:t>
      </w:r>
      <w:r>
        <w:rPr>
          <w:rFonts w:ascii="Consolas" w:cs="Consolas" w:eastAsia="Consolas" w:hAnsi="Consolas"/>
          <w:sz w:val="19"/>
          <w:szCs w:val="19"/>
        </w:rPr>
        <w:t xml:space="preserve">Deployment</w:t>
      </w:r>
      <w:r>
        <w:t xml:space="preserve"> durci, un </w:t>
      </w:r>
      <w:r>
        <w:rPr>
          <w:rFonts w:ascii="Consolas" w:cs="Consolas" w:eastAsia="Consolas" w:hAnsi="Consolas"/>
          <w:sz w:val="19"/>
          <w:szCs w:val="19"/>
        </w:rPr>
        <w:t xml:space="preserve">Service</w:t>
      </w:r>
      <w:r>
        <w:t xml:space="preserve">, et un </w:t>
      </w:r>
      <w:r>
        <w:rPr>
          <w:rFonts w:ascii="Consolas" w:cs="Consolas" w:eastAsia="Consolas" w:hAnsi="Consolas"/>
          <w:sz w:val="19"/>
          <w:szCs w:val="19"/>
        </w:rPr>
        <w:t xml:space="preserve">ServiceMonitor</w:t>
      </w:r>
      <w:r>
        <w:t xml:space="preserve"> pour que Prometheus le collecte. Le mot de passe Harbor est lu depuis un </w:t>
      </w:r>
      <w:r>
        <w:rPr>
          <w:b/>
          <w:bCs/>
        </w:rPr>
        <w:t xml:space="preserve">secret Kubernetes</w:t>
      </w:r>
      <w:r>
        <w:t xml:space="preserve"> (pas écrit en clair).</w:t>
      </w:r>
    </w:p>
    <w:p>
      <w:pPr>
        <w:pStyle w:val="Heading2"/>
        <w:spacing w:after="100" w:before="240"/>
      </w:pPr>
      <w:r>
        <w:t xml:space="preserve">5.4. scripts/start-demo.ps1 et stop-demo.ps1</w:t>
      </w:r>
    </w:p>
    <w:p>
      <w:pPr>
        <w:spacing w:after="120" w:line="300"/>
        <w:jc w:val="both"/>
      </w:pPr>
      <w:r>
        <w:t xml:space="preserve">Démarrent / arrêtent la démo. </w:t>
      </w:r>
      <w:r>
        <w:rPr>
          <w:rFonts w:ascii="Consolas" w:cs="Consolas" w:eastAsia="Consolas" w:hAnsi="Consolas"/>
          <w:sz w:val="19"/>
          <w:szCs w:val="19"/>
        </w:rPr>
        <w:t xml:space="preserve">stop-demo</w:t>
      </w:r>
      <w:r>
        <w:t xml:space="preserve"> arrête le cluster (k3d) pour libérer la RAM tout en </w:t>
      </w:r>
      <w:r>
        <w:rPr>
          <w:b/>
          <w:bCs/>
        </w:rPr>
        <w:t xml:space="preserve">conservant l’état</w:t>
      </w:r>
      <w:r>
        <w:t xml:space="preserve"> ; </w:t>
      </w:r>
      <w:r>
        <w:rPr>
          <w:rFonts w:ascii="Consolas" w:cs="Consolas" w:eastAsia="Consolas" w:hAnsi="Consolas"/>
          <w:sz w:val="19"/>
          <w:szCs w:val="19"/>
        </w:rPr>
        <w:t xml:space="preserve">start-demo</w:t>
      </w:r>
      <w:r>
        <w:t xml:space="preserve"> le relance et attend que tout soit prêt. Indispensable pour rallumer l’environnement avant l’oral.</w:t>
      </w:r>
    </w:p>
    <w:p>
      <w:pPr>
        <w:pStyle w:val="Heading1"/>
        <w:pageBreakBefore/>
        <w:spacing w:after="160" w:before="320"/>
      </w:pPr>
      <w:r>
        <w:t xml:space="preserve">6. Manipulations : « le prof demande… »</w:t>
      </w:r>
    </w:p>
    <w:p>
      <w:pPr>
        <w:spacing w:after="120" w:line="300"/>
        <w:jc w:val="both"/>
      </w:pPr>
      <w:r>
        <w:rPr>
          <w:b/>
          <w:bCs/>
        </w:rPr>
        <w:t xml:space="preserve">Avant tout : </w:t>
      </w:r>
      <w:r>
        <w:t xml:space="preserve">rallumer l’environnement avec </w:t>
      </w:r>
      <w:r>
        <w:rPr>
          <w:rFonts w:ascii="Consolas" w:cs="Consolas" w:eastAsia="Consolas" w:hAnsi="Consolas"/>
          <w:sz w:val="19"/>
          <w:szCs w:val="19"/>
        </w:rPr>
        <w:t xml:space="preserve">powershell -ExecutionPolicy Bypass -File scripts\start-demo.ps1</w:t>
      </w:r>
      <w:r>
        <w:t xml:space="preserve"> (~3 min). Accès : Harbor </w:t>
      </w:r>
      <w:r>
        <w:rPr>
          <w:rFonts w:ascii="Consolas" w:cs="Consolas" w:eastAsia="Consolas" w:hAnsi="Consolas"/>
          <w:sz w:val="19"/>
          <w:szCs w:val="19"/>
        </w:rPr>
        <w:t xml:space="preserve">localhost:30002</w:t>
      </w:r>
      <w:r>
        <w:t xml:space="preserve"> (admin / Harbor12345), Grafana </w:t>
      </w:r>
      <w:r>
        <w:rPr>
          <w:rFonts w:ascii="Consolas" w:cs="Consolas" w:eastAsia="Consolas" w:hAnsi="Consolas"/>
          <w:sz w:val="19"/>
          <w:szCs w:val="19"/>
        </w:rPr>
        <w:t xml:space="preserve">localhost:30091</w:t>
      </w:r>
      <w:r>
        <w:t xml:space="preserve"> (admin / admin), Prometheus </w:t>
      </w:r>
      <w:r>
        <w:rPr>
          <w:rFonts w:ascii="Consolas" w:cs="Consolas" w:eastAsia="Consolas" w:hAnsi="Consolas"/>
          <w:sz w:val="19"/>
          <w:szCs w:val="19"/>
        </w:rPr>
        <w:t xml:space="preserve">localhost:30090</w:t>
      </w:r>
      <w: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400"/>
        <w:gridCol w:w="6238"/>
      </w:tblGrid>
      <w:tr>
        <w:trPr>
          <w:tblHeader/>
        </w:trPr>
        <w:tc>
          <w:tcPr>
            <w:tcW w:type="dxa" w:w="3400"/>
            <w:tcBorders>
              <w:top w:val="single" w:color="B0B0B0" w:sz="2"/>
              <w:left w:val="single" w:color="B0B0B0" w:sz="2"/>
              <w:bottom w:val="single" w:color="B0B0B0" w:sz="2"/>
              <w:right w:val="single" w:color="B0B0B0" w:sz="2"/>
            </w:tcBorders>
            <w:shd w:fill="2E5E8C" w:val="clear"/>
            <w:tcMar>
              <w:top w:type="dxa" w:w="60"/>
              <w:left w:type="dxa" w:w="110"/>
              <w:bottom w:type="dxa" w:w="60"/>
              <w:right w:type="dxa" w:w="110"/>
            </w:tcMar>
            <w:vAlign w:val="center"/>
          </w:tcPr>
          <w:p>
            <w:pPr>
              <w:spacing w:after="0"/>
            </w:pPr>
            <w:r>
              <w:rPr>
                <w:b/>
                <w:bCs/>
                <w:color w:val="FFFFFF"/>
                <w:sz w:val="19"/>
                <w:szCs w:val="19"/>
              </w:rPr>
              <w:t xml:space="preserve">Demande du jury</w:t>
            </w:r>
          </w:p>
        </w:tc>
        <w:tc>
          <w:tcPr>
            <w:tcW w:type="dxa" w:w="6238"/>
            <w:tcBorders>
              <w:top w:val="single" w:color="B0B0B0" w:sz="2"/>
              <w:left w:val="single" w:color="B0B0B0" w:sz="2"/>
              <w:bottom w:val="single" w:color="B0B0B0" w:sz="2"/>
              <w:right w:val="single" w:color="B0B0B0" w:sz="2"/>
            </w:tcBorders>
            <w:shd w:fill="2E5E8C" w:val="clear"/>
            <w:tcMar>
              <w:top w:type="dxa" w:w="60"/>
              <w:left w:type="dxa" w:w="110"/>
              <w:bottom w:type="dxa" w:w="60"/>
              <w:right w:type="dxa" w:w="110"/>
            </w:tcMar>
            <w:vAlign w:val="center"/>
          </w:tcPr>
          <w:p>
            <w:pPr>
              <w:spacing w:after="0"/>
            </w:pPr>
            <w:r>
              <w:rPr>
                <w:b/>
                <w:bCs/>
                <w:color w:val="FFFFFF"/>
                <w:sz w:val="19"/>
                <w:szCs w:val="19"/>
              </w:rPr>
              <w:t xml:space="preserve">Ce que tu fais</w:t>
            </w:r>
          </w:p>
        </w:tc>
      </w:tr>
      <w:tr>
        <w:tc>
          <w:tcPr>
            <w:tcW w:type="dxa" w:w="3400"/>
            <w:tcBorders>
              <w:top w:val="single" w:color="B0B0B0" w:sz="2"/>
              <w:left w:val="single" w:color="B0B0B0" w:sz="2"/>
              <w:bottom w:val="single" w:color="B0B0B0" w:sz="2"/>
              <w:right w:val="single" w:color="B0B0B0" w:sz="2"/>
            </w:tcBorders>
            <w:tcMar>
              <w:top w:type="dxa" w:w="60"/>
              <w:left w:type="dxa" w:w="110"/>
              <w:bottom w:type="dxa" w:w="60"/>
              <w:right w:type="dxa" w:w="110"/>
            </w:tcMar>
            <w:vAlign w:val="center"/>
          </w:tcPr>
          <w:p>
            <w:pPr>
              <w:spacing w:after="0"/>
            </w:pPr>
            <w:r>
              <w:rPr>
                <w:b w:val="false"/>
                <w:bCs w:val="false"/>
                <w:sz w:val="19"/>
                <w:szCs w:val="19"/>
              </w:rPr>
              <w:t xml:space="preserve">« Montre l’infrastructure as code »</w:t>
            </w:r>
          </w:p>
        </w:tc>
        <w:tc>
          <w:tcPr>
            <w:tcW w:type="dxa" w:w="6238"/>
            <w:tcBorders>
              <w:top w:val="single" w:color="B0B0B0" w:sz="2"/>
              <w:left w:val="single" w:color="B0B0B0" w:sz="2"/>
              <w:bottom w:val="single" w:color="B0B0B0" w:sz="2"/>
              <w:right w:val="single" w:color="B0B0B0" w:sz="2"/>
            </w:tcBorders>
            <w:tcMar>
              <w:top w:type="dxa" w:w="60"/>
              <w:left w:type="dxa" w:w="110"/>
              <w:bottom w:type="dxa" w:w="60"/>
              <w:right w:type="dxa" w:w="110"/>
            </w:tcMar>
            <w:vAlign w:val="center"/>
          </w:tcPr>
          <w:p>
            <w:pPr>
              <w:spacing w:after="0"/>
            </w:pPr>
            <w:r>
              <w:rPr>
                <w:b w:val="false"/>
                <w:bCs w:val="false"/>
                <w:sz w:val="19"/>
                <w:szCs w:val="19"/>
              </w:rPr>
              <w:t xml:space="preserve">Ouvrir terraform/main.tf (les 2 helm_release) ; terraform state list.</w:t>
            </w:r>
          </w:p>
        </w:tc>
      </w:tr>
      <w:tr>
        <w:tc>
          <w:tcPr>
            <w:tcW w:type="dxa" w:w="3400"/>
            <w:tcBorders>
              <w:top w:val="single" w:color="B0B0B0" w:sz="2"/>
              <w:left w:val="single" w:color="B0B0B0" w:sz="2"/>
              <w:bottom w:val="single" w:color="B0B0B0" w:sz="2"/>
              <w:right w:val="single" w:color="B0B0B0" w:sz="2"/>
            </w:tcBorders>
            <w:tcMar>
              <w:top w:type="dxa" w:w="60"/>
              <w:left w:type="dxa" w:w="110"/>
              <w:bottom w:type="dxa" w:w="60"/>
              <w:right w:type="dxa" w:w="110"/>
            </w:tcMar>
            <w:vAlign w:val="center"/>
          </w:tcPr>
          <w:p>
            <w:pPr>
              <w:spacing w:after="0"/>
            </w:pPr>
            <w:r>
              <w:rPr>
                <w:b w:val="false"/>
                <w:bCs w:val="false"/>
                <w:sz w:val="19"/>
                <w:szCs w:val="19"/>
              </w:rPr>
              <w:t xml:space="preserve">« Où sont les vulnérabilités ? »</w:t>
            </w:r>
          </w:p>
        </w:tc>
        <w:tc>
          <w:tcPr>
            <w:tcW w:type="dxa" w:w="6238"/>
            <w:tcBorders>
              <w:top w:val="single" w:color="B0B0B0" w:sz="2"/>
              <w:left w:val="single" w:color="B0B0B0" w:sz="2"/>
              <w:bottom w:val="single" w:color="B0B0B0" w:sz="2"/>
              <w:right w:val="single" w:color="B0B0B0" w:sz="2"/>
            </w:tcBorders>
            <w:tcMar>
              <w:top w:type="dxa" w:w="60"/>
              <w:left w:type="dxa" w:w="110"/>
              <w:bottom w:type="dxa" w:w="60"/>
              <w:right w:type="dxa" w:w="110"/>
            </w:tcMar>
            <w:vAlign w:val="center"/>
          </w:tcPr>
          <w:p>
            <w:pPr>
              <w:spacing w:after="0"/>
            </w:pPr>
            <w:r>
              <w:rPr>
                <w:b w:val="false"/>
                <w:bCs w:val="false"/>
                <w:sz w:val="19"/>
                <w:szCs w:val="19"/>
              </w:rPr>
              <w:t xml:space="preserve">UI Harbor → une image → onglet Vulnerabilities ; ou le dashboard Grafana CVE.</w:t>
            </w:r>
          </w:p>
        </w:tc>
      </w:tr>
      <w:tr>
        <w:tc>
          <w:tcPr>
            <w:tcW w:type="dxa" w:w="3400"/>
            <w:tcBorders>
              <w:top w:val="single" w:color="B0B0B0" w:sz="2"/>
              <w:left w:val="single" w:color="B0B0B0" w:sz="2"/>
              <w:bottom w:val="single" w:color="B0B0B0" w:sz="2"/>
              <w:right w:val="single" w:color="B0B0B0" w:sz="2"/>
            </w:tcBorders>
            <w:tcMar>
              <w:top w:type="dxa" w:w="60"/>
              <w:left w:type="dxa" w:w="110"/>
              <w:bottom w:type="dxa" w:w="60"/>
              <w:right w:type="dxa" w:w="110"/>
            </w:tcMar>
            <w:vAlign w:val="center"/>
          </w:tcPr>
          <w:p>
            <w:pPr>
              <w:spacing w:after="0"/>
            </w:pPr>
            <w:r>
              <w:rPr>
                <w:b w:val="false"/>
                <w:bCs w:val="false"/>
                <w:sz w:val="19"/>
                <w:szCs w:val="19"/>
              </w:rPr>
              <w:t xml:space="preserve">« Déclenche la pipeline »</w:t>
            </w:r>
          </w:p>
        </w:tc>
        <w:tc>
          <w:tcPr>
            <w:tcW w:type="dxa" w:w="6238"/>
            <w:tcBorders>
              <w:top w:val="single" w:color="B0B0B0" w:sz="2"/>
              <w:left w:val="single" w:color="B0B0B0" w:sz="2"/>
              <w:bottom w:val="single" w:color="B0B0B0" w:sz="2"/>
              <w:right w:val="single" w:color="B0B0B0" w:sz="2"/>
            </w:tcBorders>
            <w:tcMar>
              <w:top w:type="dxa" w:w="60"/>
              <w:left w:type="dxa" w:w="110"/>
              <w:bottom w:type="dxa" w:w="60"/>
              <w:right w:type="dxa" w:w="110"/>
            </w:tcMar>
            <w:vAlign w:val="center"/>
          </w:tcPr>
          <w:p>
            <w:pPr>
              <w:spacing w:after="0"/>
            </w:pPr>
            <w:r>
              <w:rPr>
                <w:b w:val="false"/>
                <w:bCs w:val="false"/>
                <w:sz w:val="19"/>
                <w:szCs w:val="19"/>
              </w:rPr>
              <w:t xml:space="preserve">git push (chaîne hébergée) ; ou bouton « Run workflow » pour inclure le push Harbor.</w:t>
            </w:r>
          </w:p>
        </w:tc>
      </w:tr>
      <w:tr>
        <w:tc>
          <w:tcPr>
            <w:tcW w:type="dxa" w:w="3400"/>
            <w:tcBorders>
              <w:top w:val="single" w:color="B0B0B0" w:sz="2"/>
              <w:left w:val="single" w:color="B0B0B0" w:sz="2"/>
              <w:bottom w:val="single" w:color="B0B0B0" w:sz="2"/>
              <w:right w:val="single" w:color="B0B0B0" w:sz="2"/>
            </w:tcBorders>
            <w:tcMar>
              <w:top w:type="dxa" w:w="60"/>
              <w:left w:type="dxa" w:w="110"/>
              <w:bottom w:type="dxa" w:w="60"/>
              <w:right w:type="dxa" w:w="110"/>
            </w:tcMar>
            <w:vAlign w:val="center"/>
          </w:tcPr>
          <w:p>
            <w:pPr>
              <w:spacing w:after="0"/>
            </w:pPr>
            <w:r>
              <w:rPr>
                <w:b w:val="false"/>
                <w:bCs w:val="false"/>
                <w:sz w:val="19"/>
                <w:szCs w:val="19"/>
              </w:rPr>
              <w:t xml:space="preserve">« Prouve que c’est bloquant »</w:t>
            </w:r>
          </w:p>
        </w:tc>
        <w:tc>
          <w:tcPr>
            <w:tcW w:type="dxa" w:w="6238"/>
            <w:tcBorders>
              <w:top w:val="single" w:color="B0B0B0" w:sz="2"/>
              <w:left w:val="single" w:color="B0B0B0" w:sz="2"/>
              <w:bottom w:val="single" w:color="B0B0B0" w:sz="2"/>
              <w:right w:val="single" w:color="B0B0B0" w:sz="2"/>
            </w:tcBorders>
            <w:tcMar>
              <w:top w:type="dxa" w:w="60"/>
              <w:left w:type="dxa" w:w="110"/>
              <w:bottom w:type="dxa" w:w="60"/>
              <w:right w:type="dxa" w:w="110"/>
            </w:tcMar>
            <w:vAlign w:val="center"/>
          </w:tcPr>
          <w:p>
            <w:pPr>
              <w:spacing w:after="0"/>
            </w:pPr>
            <w:r>
              <w:rPr>
                <w:b w:val="false"/>
                <w:bCs w:val="false"/>
                <w:sz w:val="19"/>
                <w:szCs w:val="19"/>
              </w:rPr>
              <w:t xml:space="preserve">trivy image sur l’app (renvoie 0) puis sur python:3.9-slim-bullseye (renvoie 1).</w:t>
            </w:r>
          </w:p>
        </w:tc>
      </w:tr>
      <w:tr>
        <w:tc>
          <w:tcPr>
            <w:tcW w:type="dxa" w:w="3400"/>
            <w:tcBorders>
              <w:top w:val="single" w:color="B0B0B0" w:sz="2"/>
              <w:left w:val="single" w:color="B0B0B0" w:sz="2"/>
              <w:bottom w:val="single" w:color="B0B0B0" w:sz="2"/>
              <w:right w:val="single" w:color="B0B0B0" w:sz="2"/>
            </w:tcBorders>
            <w:tcMar>
              <w:top w:type="dxa" w:w="60"/>
              <w:left w:type="dxa" w:w="110"/>
              <w:bottom w:type="dxa" w:w="60"/>
              <w:right w:type="dxa" w:w="110"/>
            </w:tcMar>
            <w:vAlign w:val="center"/>
          </w:tcPr>
          <w:p>
            <w:pPr>
              <w:spacing w:after="0"/>
            </w:pPr>
            <w:r>
              <w:rPr>
                <w:b w:val="false"/>
                <w:bCs w:val="false"/>
                <w:sz w:val="19"/>
                <w:szCs w:val="19"/>
              </w:rPr>
              <w:t xml:space="preserve">« Vérifie la signature »</w:t>
            </w:r>
          </w:p>
        </w:tc>
        <w:tc>
          <w:tcPr>
            <w:tcW w:type="dxa" w:w="6238"/>
            <w:tcBorders>
              <w:top w:val="single" w:color="B0B0B0" w:sz="2"/>
              <w:left w:val="single" w:color="B0B0B0" w:sz="2"/>
              <w:bottom w:val="single" w:color="B0B0B0" w:sz="2"/>
              <w:right w:val="single" w:color="B0B0B0" w:sz="2"/>
            </w:tcBorders>
            <w:tcMar>
              <w:top w:type="dxa" w:w="60"/>
              <w:left w:type="dxa" w:w="110"/>
              <w:bottom w:type="dxa" w:w="60"/>
              <w:right w:type="dxa" w:w="110"/>
            </w:tcMar>
            <w:vAlign w:val="center"/>
          </w:tcPr>
          <w:p>
            <w:pPr>
              <w:spacing w:after="0"/>
            </w:pPr>
            <w:r>
              <w:rPr>
                <w:b w:val="false"/>
                <w:bCs w:val="false"/>
                <w:sz w:val="19"/>
                <w:szCs w:val="19"/>
              </w:rPr>
              <w:t xml:space="preserve">cosign verify … (identité = workflow GitHub).</w:t>
            </w:r>
          </w:p>
        </w:tc>
      </w:tr>
      <w:tr>
        <w:tc>
          <w:tcPr>
            <w:tcW w:type="dxa" w:w="3400"/>
            <w:tcBorders>
              <w:top w:val="single" w:color="B0B0B0" w:sz="2"/>
              <w:left w:val="single" w:color="B0B0B0" w:sz="2"/>
              <w:bottom w:val="single" w:color="B0B0B0" w:sz="2"/>
              <w:right w:val="single" w:color="B0B0B0" w:sz="2"/>
            </w:tcBorders>
            <w:tcMar>
              <w:top w:type="dxa" w:w="60"/>
              <w:left w:type="dxa" w:w="110"/>
              <w:bottom w:type="dxa" w:w="60"/>
              <w:right w:type="dxa" w:w="110"/>
            </w:tcMar>
            <w:vAlign w:val="center"/>
          </w:tcPr>
          <w:p>
            <w:pPr>
              <w:spacing w:after="0"/>
            </w:pPr>
            <w:r>
              <w:rPr>
                <w:b w:val="false"/>
                <w:bCs w:val="false"/>
                <w:sz w:val="19"/>
                <w:szCs w:val="19"/>
              </w:rPr>
              <w:t xml:space="preserve">« Explique les pods »</w:t>
            </w:r>
          </w:p>
        </w:tc>
        <w:tc>
          <w:tcPr>
            <w:tcW w:type="dxa" w:w="6238"/>
            <w:tcBorders>
              <w:top w:val="single" w:color="B0B0B0" w:sz="2"/>
              <w:left w:val="single" w:color="B0B0B0" w:sz="2"/>
              <w:bottom w:val="single" w:color="B0B0B0" w:sz="2"/>
              <w:right w:val="single" w:color="B0B0B0" w:sz="2"/>
            </w:tcBorders>
            <w:tcMar>
              <w:top w:type="dxa" w:w="60"/>
              <w:left w:type="dxa" w:w="110"/>
              <w:bottom w:type="dxa" w:w="60"/>
              <w:right w:type="dxa" w:w="110"/>
            </w:tcMar>
            <w:vAlign w:val="center"/>
          </w:tcPr>
          <w:p>
            <w:pPr>
              <w:spacing w:after="0"/>
            </w:pPr>
            <w:r>
              <w:rPr>
                <w:b w:val="false"/>
                <w:bCs w:val="false"/>
                <w:sz w:val="19"/>
                <w:szCs w:val="19"/>
              </w:rPr>
              <w:t xml:space="preserve">kubectl get pods -n harbor ; kubectl get pods -n monitoring.</w:t>
            </w:r>
          </w:p>
        </w:tc>
      </w:tr>
      <w:tr>
        <w:tc>
          <w:tcPr>
            <w:tcW w:type="dxa" w:w="3400"/>
            <w:tcBorders>
              <w:top w:val="single" w:color="B0B0B0" w:sz="2"/>
              <w:left w:val="single" w:color="B0B0B0" w:sz="2"/>
              <w:bottom w:val="single" w:color="B0B0B0" w:sz="2"/>
              <w:right w:val="single" w:color="B0B0B0" w:sz="2"/>
            </w:tcBorders>
            <w:tcMar>
              <w:top w:type="dxa" w:w="60"/>
              <w:left w:type="dxa" w:w="110"/>
              <w:bottom w:type="dxa" w:w="60"/>
              <w:right w:type="dxa" w:w="110"/>
            </w:tcMar>
            <w:vAlign w:val="center"/>
          </w:tcPr>
          <w:p>
            <w:pPr>
              <w:spacing w:after="0"/>
            </w:pPr>
            <w:r>
              <w:rPr>
                <w:b w:val="false"/>
                <w:bCs w:val="false"/>
                <w:sz w:val="19"/>
                <w:szCs w:val="19"/>
              </w:rPr>
              <w:t xml:space="preserve">« Montre que Harbor est surveillé »</w:t>
            </w:r>
          </w:p>
        </w:tc>
        <w:tc>
          <w:tcPr>
            <w:tcW w:type="dxa" w:w="6238"/>
            <w:tcBorders>
              <w:top w:val="single" w:color="B0B0B0" w:sz="2"/>
              <w:left w:val="single" w:color="B0B0B0" w:sz="2"/>
              <w:bottom w:val="single" w:color="B0B0B0" w:sz="2"/>
              <w:right w:val="single" w:color="B0B0B0" w:sz="2"/>
            </w:tcBorders>
            <w:tcMar>
              <w:top w:type="dxa" w:w="60"/>
              <w:left w:type="dxa" w:w="110"/>
              <w:bottom w:type="dxa" w:w="60"/>
              <w:right w:type="dxa" w:w="110"/>
            </w:tcMar>
            <w:vAlign w:val="center"/>
          </w:tcPr>
          <w:p>
            <w:pPr>
              <w:spacing w:after="0"/>
            </w:pPr>
            <w:r>
              <w:rPr>
                <w:b w:val="false"/>
                <w:bCs w:val="false"/>
                <w:sz w:val="19"/>
                <w:szCs w:val="19"/>
              </w:rPr>
              <w:t xml:space="preserve">kubectl get servicemonitor -n harbor ; Prometheus → Status → Targets.</w:t>
            </w:r>
          </w:p>
        </w:tc>
      </w:tr>
    </w:tbl>
    <w:p>
      <w:pPr>
        <w:spacing w:after="160"/>
      </w:pPr>
    </w:p>
    <w:p>
      <w:pPr>
        <w:pStyle w:val="Heading2"/>
        <w:spacing w:after="100" w:before="240"/>
      </w:pPr>
      <w:r>
        <w:t xml:space="preserve">6.1. Commandes de manipulation prêtes à l’emploi</w:t>
      </w:r>
    </w:p>
    <w:p>
      <w:pPr>
        <w:shd w:fill="F4F4F4" w:val="clear"/>
        <w:spacing w:after="0"/>
        <w:ind w:left="200" w:right="200"/>
      </w:pPr>
      <w:r>
        <w:rPr>
          <w:rFonts w:ascii="Consolas" w:cs="Consolas" w:eastAsia="Consolas" w:hAnsi="Consolas"/>
          <w:sz w:val="18"/>
          <w:szCs w:val="18"/>
        </w:rPr>
        <w:t xml:space="preserve"># Cluster</w:t>
      </w:r>
    </w:p>
    <w:p>
      <w:pPr>
        <w:shd w:fill="F4F4F4" w:val="clear"/>
        <w:spacing w:after="0"/>
        <w:ind w:left="200" w:right="200"/>
      </w:pPr>
      <w:r>
        <w:rPr>
          <w:rFonts w:ascii="Consolas" w:cs="Consolas" w:eastAsia="Consolas" w:hAnsi="Consolas"/>
          <w:sz w:val="18"/>
          <w:szCs w:val="18"/>
        </w:rPr>
        <w:t xml:space="preserve">kubectl get pods -n harbor</w:t>
      </w:r>
    </w:p>
    <w:p>
      <w:pPr>
        <w:shd w:fill="F4F4F4" w:val="clear"/>
        <w:spacing w:after="0"/>
        <w:ind w:left="200" w:right="200"/>
      </w:pPr>
      <w:r>
        <w:rPr>
          <w:rFonts w:ascii="Consolas" w:cs="Consolas" w:eastAsia="Consolas" w:hAnsi="Consolas"/>
          <w:sz w:val="18"/>
          <w:szCs w:val="18"/>
        </w:rPr>
        <w:t xml:space="preserve">kubectl get servicemonitor -n harbor</w:t>
      </w:r>
    </w:p>
    <w:p>
      <w:pPr>
        <w:shd w:fill="F4F4F4" w:val="clear"/>
        <w:spacing w:after="0"/>
        <w:ind w:left="200" w:right="200"/>
      </w:pPr>
      <w:r>
        <w:rPr>
          <w:rFonts w:ascii="Consolas" w:cs="Consolas" w:eastAsia="Consolas" w:hAnsi="Consolas"/>
          <w:sz w:val="18"/>
          <w:szCs w:val="18"/>
        </w:rPr>
        <w:t xml:space="preserve"> </w:t>
      </w:r>
    </w:p>
    <w:p>
      <w:pPr>
        <w:shd w:fill="F4F4F4" w:val="clear"/>
        <w:spacing w:after="0"/>
        <w:ind w:left="200" w:right="200"/>
      </w:pPr>
      <w:r>
        <w:rPr>
          <w:rFonts w:ascii="Consolas" w:cs="Consolas" w:eastAsia="Consolas" w:hAnsi="Consolas"/>
          <w:sz w:val="18"/>
          <w:szCs w:val="18"/>
        </w:rPr>
        <w:t xml:space="preserve"># Vulnérabilités vues par Harbor (image ancienne, bien vulnérable)</w:t>
      </w:r>
    </w:p>
    <w:p>
      <w:pPr>
        <w:shd w:fill="F4F4F4" w:val="clear"/>
        <w:spacing w:after="0"/>
        <w:ind w:left="200" w:right="200"/>
      </w:pPr>
      <w:r>
        <w:rPr>
          <w:rFonts w:ascii="Consolas" w:cs="Consolas" w:eastAsia="Consolas" w:hAnsi="Consolas"/>
          <w:sz w:val="18"/>
          <w:szCs w:val="18"/>
        </w:rPr>
        <w:t xml:space="preserve">curl -u admin:Harbor12345 \</w:t>
      </w:r>
    </w:p>
    <w:p>
      <w:pPr>
        <w:shd w:fill="F4F4F4" w:val="clear"/>
        <w:spacing w:after="0"/>
        <w:ind w:left="200" w:right="200"/>
      </w:pPr>
      <w:r>
        <w:rPr>
          <w:rFonts w:ascii="Consolas" w:cs="Consolas" w:eastAsia="Consolas" w:hAnsi="Consolas"/>
          <w:sz w:val="18"/>
          <w:szCs w:val="18"/>
        </w:rPr>
        <w:t xml:space="preserve">  "http://localhost:30002/api/v2.0/projects/library/repositories/demo-legacy/artifacts/bullseye?with_scan_overview=true"</w:t>
      </w:r>
    </w:p>
    <w:p>
      <w:pPr>
        <w:shd w:fill="F4F4F4" w:val="clear"/>
        <w:spacing w:after="0"/>
        <w:ind w:left="200" w:right="200"/>
      </w:pPr>
      <w:r>
        <w:rPr>
          <w:rFonts w:ascii="Consolas" w:cs="Consolas" w:eastAsia="Consolas" w:hAnsi="Consolas"/>
          <w:sz w:val="18"/>
          <w:szCs w:val="18"/>
        </w:rPr>
        <w:t xml:space="preserve"> </w:t>
      </w:r>
    </w:p>
    <w:p>
      <w:pPr>
        <w:shd w:fill="F4F4F4" w:val="clear"/>
        <w:spacing w:after="0"/>
        <w:ind w:left="200" w:right="200"/>
      </w:pPr>
      <w:r>
        <w:rPr>
          <w:rFonts w:ascii="Consolas" w:cs="Consolas" w:eastAsia="Consolas" w:hAnsi="Consolas"/>
          <w:sz w:val="18"/>
          <w:szCs w:val="18"/>
        </w:rPr>
        <w:t xml:space="preserve"># Démontrer le blocage Trivy</w:t>
      </w:r>
    </w:p>
    <w:p>
      <w:pPr>
        <w:shd w:fill="F4F4F4" w:val="clear"/>
        <w:spacing w:after="0"/>
        <w:ind w:left="200" w:right="200"/>
      </w:pPr>
      <w:r>
        <w:rPr>
          <w:rFonts w:ascii="Consolas" w:cs="Consolas" w:eastAsia="Consolas" w:hAnsi="Consolas"/>
          <w:sz w:val="18"/>
          <w:szCs w:val="18"/>
        </w:rPr>
        <w:t xml:space="preserve">docker run --rm -v //var/run/docker.sock:/var/run/docker.sock aquasec/trivy:latest \</w:t>
      </w:r>
    </w:p>
    <w:p>
      <w:pPr>
        <w:shd w:fill="F4F4F4" w:val="clear"/>
        <w:spacing w:after="0"/>
        <w:ind w:left="200" w:right="200"/>
      </w:pPr>
      <w:r>
        <w:rPr>
          <w:rFonts w:ascii="Consolas" w:cs="Consolas" w:eastAsia="Consolas" w:hAnsi="Consolas"/>
          <w:sz w:val="18"/>
          <w:szCs w:val="18"/>
        </w:rPr>
        <w:t xml:space="preserve">  image --severity HIGH,CRITICAL --exit-code 1 python:3.9-slim-bullseye</w:t>
      </w:r>
    </w:p>
    <w:p>
      <w:pPr>
        <w:shd w:fill="F4F4F4" w:val="clear"/>
        <w:spacing w:after="0"/>
        <w:ind w:left="200" w:right="200"/>
      </w:pPr>
      <w:r>
        <w:rPr>
          <w:rFonts w:ascii="Consolas" w:cs="Consolas" w:eastAsia="Consolas" w:hAnsi="Consolas"/>
          <w:sz w:val="18"/>
          <w:szCs w:val="18"/>
        </w:rPr>
        <w:t xml:space="preserve"> </w:t>
      </w:r>
    </w:p>
    <w:p>
      <w:pPr>
        <w:shd w:fill="F4F4F4" w:val="clear"/>
        <w:spacing w:after="0"/>
        <w:ind w:left="200" w:right="200"/>
      </w:pPr>
      <w:r>
        <w:rPr>
          <w:rFonts w:ascii="Consolas" w:cs="Consolas" w:eastAsia="Consolas" w:hAnsi="Consolas"/>
          <w:sz w:val="18"/>
          <w:szCs w:val="18"/>
        </w:rPr>
        <w:t xml:space="preserve"># Vérifier la signature de l’image livrée par la CI</w:t>
      </w:r>
    </w:p>
    <w:p>
      <w:pPr>
        <w:shd w:fill="F4F4F4" w:val="clear"/>
        <w:spacing w:after="0"/>
        <w:ind w:left="200" w:right="200"/>
      </w:pPr>
      <w:r>
        <w:rPr>
          <w:rFonts w:ascii="Consolas" w:cs="Consolas" w:eastAsia="Consolas" w:hAnsi="Consolas"/>
          <w:sz w:val="18"/>
          <w:szCs w:val="18"/>
        </w:rPr>
        <w:t xml:space="preserve">cosign verify ghcr.io/katakuri-31/harbor-devsecops/harbor-demo-app:latest \</w:t>
      </w:r>
    </w:p>
    <w:p>
      <w:pPr>
        <w:shd w:fill="F4F4F4" w:val="clear"/>
        <w:spacing w:after="0"/>
        <w:ind w:left="200" w:right="200"/>
      </w:pPr>
      <w:r>
        <w:rPr>
          <w:rFonts w:ascii="Consolas" w:cs="Consolas" w:eastAsia="Consolas" w:hAnsi="Consolas"/>
          <w:sz w:val="18"/>
          <w:szCs w:val="18"/>
        </w:rPr>
        <w:t xml:space="preserve">  --certificate-identity-regexp "https://github.com/KaTaKuRi-31/harbor-devsecops/.*" \</w:t>
      </w:r>
    </w:p>
    <w:p>
      <w:pPr>
        <w:shd w:fill="F4F4F4" w:val="clear"/>
        <w:spacing w:after="160"/>
        <w:ind w:left="200" w:right="200"/>
      </w:pPr>
      <w:r>
        <w:rPr>
          <w:rFonts w:ascii="Consolas" w:cs="Consolas" w:eastAsia="Consolas" w:hAnsi="Consolas"/>
          <w:sz w:val="18"/>
          <w:szCs w:val="18"/>
        </w:rPr>
        <w:t xml:space="preserve">  --certificate-oidc-issuer "https://token.actions.githubusercontent.com"</w:t>
      </w:r>
    </w:p>
    <w:p>
      <w:pPr>
        <w:pStyle w:val="Heading1"/>
        <w:pageBreakBefore/>
        <w:spacing w:after="160" w:before="320"/>
      </w:pPr>
      <w:r>
        <w:t xml:space="preserve">7. Questions / réponses probables du jury</w:t>
      </w:r>
    </w:p>
    <w:p>
      <w:pPr>
        <w:pStyle w:val="Heading3"/>
        <w:spacing w:after="80" w:before="180"/>
      </w:pPr>
      <w:r>
        <w:t xml:space="preserve">« Pourquoi un runner self-hosted ? »</w:t>
      </w:r>
    </w:p>
    <w:p>
      <w:pPr>
        <w:spacing w:after="120" w:line="300"/>
        <w:jc w:val="both"/>
      </w:pPr>
      <w:r>
        <w:t xml:space="preserve">Parce que Harbor est déployé en local, non exposé sur Internet : les runners cloud de GitHub ne peuvent pas l’atteindre. On exécute donc les contrôles sans état sur des runners hébergés, et la publication vers le registre interne sur un runner installé dans le réseau privé. C’est le modèle standard en entreprise.</w:t>
      </w:r>
    </w:p>
    <w:p>
      <w:pPr>
        <w:pStyle w:val="Heading3"/>
        <w:spacing w:after="80" w:before="180"/>
      </w:pPr>
      <w:r>
        <w:t xml:space="preserve">« Qu’est-ce qui rend la pipeline “bloquante” ? »</w:t>
      </w:r>
    </w:p>
    <w:p>
      <w:pPr>
        <w:spacing w:after="120" w:line="300"/>
        <w:jc w:val="both"/>
      </w:pPr>
      <w:r>
        <w:t xml:space="preserve">Chaque porte renvoie un code de sortie. Trivy avec --exit-code 1 fait échouer le job (et donc la pipeline) dès qu’une CVE HIGH/CRITICAL corrigeable est trouvée. L’image n’est alors pas publiée.</w:t>
      </w:r>
    </w:p>
    <w:p>
      <w:pPr>
        <w:pStyle w:val="Heading3"/>
        <w:spacing w:after="80" w:before="180"/>
      </w:pPr>
      <w:r>
        <w:t xml:space="preserve">« Différence entre SAST et DAST ? »</w:t>
      </w:r>
    </w:p>
    <w:p>
      <w:pPr>
        <w:spacing w:after="120" w:line="300"/>
        <w:jc w:val="both"/>
      </w:pPr>
      <w:r>
        <w:t xml:space="preserve">Le SAST (Semgrep) analyse le code source sans l’exécuter (failles de programmation). Le DAST (ZAP) teste l’application en cours d’exécution, de l’extérieur (en-têtes manquants, injections…). Les deux sont complémentaires.</w:t>
      </w:r>
    </w:p>
    <w:p>
      <w:pPr>
        <w:pStyle w:val="Heading3"/>
        <w:spacing w:after="80" w:before="180"/>
      </w:pPr>
      <w:r>
        <w:t xml:space="preserve">« Pourquoi signer l’image, et pourquoi “keyless” ? »</w:t>
      </w:r>
    </w:p>
    <w:p>
      <w:pPr>
        <w:spacing w:after="120" w:line="300"/>
        <w:jc w:val="both"/>
      </w:pPr>
      <w:r>
        <w:t xml:space="preserve">Pour garantir l’origine et l’intégrité de l’image (sécurité de la chaîne d’approvisionnement). Keyless évite de gérer une clé privée : l’identité est le workflow GitHub (OIDC), le certificat vient de Fulcio, la preuve est dans le journal public Rekor.</w:t>
      </w:r>
    </w:p>
    <w:p>
      <w:pPr>
        <w:pStyle w:val="Heading3"/>
        <w:spacing w:after="80" w:before="180"/>
      </w:pPr>
      <w:r>
        <w:t xml:space="preserve">« Comment Harbor détecte-t-il les CVE ? »</w:t>
      </w:r>
    </w:p>
    <w:p>
      <w:pPr>
        <w:spacing w:after="120" w:line="300"/>
        <w:jc w:val="both"/>
      </w:pPr>
      <w:r>
        <w:t xml:space="preserve">Harbor embarque le scanner Trivy. À chaque image poussée (ou à la demande), il la scanne et stocke le rapport de vulnérabilités, consultable dans l’UI ou via l’API.</w:t>
      </w:r>
    </w:p>
    <w:p>
      <w:pPr>
        <w:pStyle w:val="Heading3"/>
        <w:spacing w:after="80" w:before="180"/>
      </w:pPr>
      <w:r>
        <w:t xml:space="preserve">« Comment les métriques arrivent-elles dans Grafana ? »</w:t>
      </w:r>
    </w:p>
    <w:p>
      <w:pPr>
        <w:spacing w:after="120" w:line="300"/>
        <w:jc w:val="both"/>
      </w:pPr>
      <w:r>
        <w:t xml:space="preserve">Harbor expose ses métriques ; un ServiceMonitor indique à Prometheus de les collecter ; un exporter maison ajoute le détail des CVE ; Grafana interroge Prometheus et affiche le tableau de bord.</w:t>
      </w:r>
    </w:p>
    <w:p>
      <w:pPr>
        <w:pStyle w:val="Heading3"/>
        <w:spacing w:after="80" w:before="180"/>
      </w:pPr>
      <w:r>
        <w:t xml:space="preserve">« Pourquoi le depends_on dans Terraform ? »</w:t>
      </w:r>
    </w:p>
    <w:p>
      <w:pPr>
        <w:spacing w:after="120" w:line="300"/>
        <w:jc w:val="both"/>
      </w:pPr>
      <w:r>
        <w:t xml:space="preserve">Harbor crée un ServiceMonitor, qui est une CRD apportée par la stack Prometheus. Il faut donc installer Prometheus avant Harbor ; le depends_on force cet ordre.</w:t>
      </w:r>
    </w:p>
    <w:p>
      <w:pPr>
        <w:pStyle w:val="Heading3"/>
        <w:spacing w:after="80" w:before="180"/>
      </w:pPr>
      <w:r>
        <w:t xml:space="preserve">« Que se passe-t-il si je relance terraform apply ? »</w:t>
      </w:r>
    </w:p>
    <w:p>
      <w:pPr>
        <w:spacing w:after="120" w:line="300"/>
        <w:jc w:val="both"/>
      </w:pPr>
      <w:r>
        <w:t xml:space="preserve">Rien ne change si l’infrastructure est déjà conforme (Terraform compare l’état souhaité à l’état réel). C’est l’idempotence : on peut réappliquer sans risque.</w:t>
      </w:r>
    </w:p>
    <w:p>
      <w:pPr>
        <w:pStyle w:val="Heading1"/>
        <w:pageBreakBefore/>
        <w:spacing w:after="160" w:before="320"/>
      </w:pPr>
      <w:r>
        <w:t xml:space="preserve">8. Glossaire express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tblHeader/>
        </w:trPr>
        <w:tc>
          <w:tcPr>
            <w:tcW w:type="dxa" w:w="2400"/>
            <w:tcBorders>
              <w:top w:val="single" w:color="B0B0B0" w:sz="2"/>
              <w:left w:val="single" w:color="B0B0B0" w:sz="2"/>
              <w:bottom w:val="single" w:color="B0B0B0" w:sz="2"/>
              <w:right w:val="single" w:color="B0B0B0" w:sz="2"/>
            </w:tcBorders>
            <w:shd w:fill="2E5E8C" w:val="clear"/>
            <w:tcMar>
              <w:top w:type="dxa" w:w="60"/>
              <w:left w:type="dxa" w:w="110"/>
              <w:bottom w:type="dxa" w:w="60"/>
              <w:right w:type="dxa" w:w="110"/>
            </w:tcMar>
            <w:vAlign w:val="center"/>
          </w:tcPr>
          <w:p>
            <w:pPr>
              <w:spacing w:after="0"/>
            </w:pPr>
            <w:r>
              <w:rPr>
                <w:b/>
                <w:bCs/>
                <w:color w:val="FFFFFF"/>
                <w:sz w:val="19"/>
                <w:szCs w:val="19"/>
              </w:rPr>
              <w:t xml:space="preserve">Terme</w:t>
            </w:r>
          </w:p>
        </w:tc>
        <w:tc>
          <w:tcPr>
            <w:tcW w:type="dxa" w:w="7238"/>
            <w:tcBorders>
              <w:top w:val="single" w:color="B0B0B0" w:sz="2"/>
              <w:left w:val="single" w:color="B0B0B0" w:sz="2"/>
              <w:bottom w:val="single" w:color="B0B0B0" w:sz="2"/>
              <w:right w:val="single" w:color="B0B0B0" w:sz="2"/>
            </w:tcBorders>
            <w:shd w:fill="2E5E8C" w:val="clear"/>
            <w:tcMar>
              <w:top w:type="dxa" w:w="60"/>
              <w:left w:type="dxa" w:w="110"/>
              <w:bottom w:type="dxa" w:w="60"/>
              <w:right w:type="dxa" w:w="110"/>
            </w:tcMar>
            <w:vAlign w:val="center"/>
          </w:tcPr>
          <w:p>
            <w:pPr>
              <w:spacing w:after="0"/>
            </w:pPr>
            <w:r>
              <w:rPr>
                <w:b/>
                <w:bCs/>
                <w:color w:val="FFFFFF"/>
                <w:sz w:val="19"/>
                <w:szCs w:val="19"/>
              </w:rPr>
              <w:t xml:space="preserve">Définition</w:t>
            </w:r>
          </w:p>
        </w:tc>
      </w:tr>
      <w:tr>
        <w:tc>
          <w:tcPr>
            <w:tcW w:type="dxa" w:w="2400"/>
            <w:tcBorders>
              <w:top w:val="single" w:color="B0B0B0" w:sz="2"/>
              <w:left w:val="single" w:color="B0B0B0" w:sz="2"/>
              <w:bottom w:val="single" w:color="B0B0B0" w:sz="2"/>
              <w:right w:val="single" w:color="B0B0B0" w:sz="2"/>
            </w:tcBorders>
            <w:tcMar>
              <w:top w:type="dxa" w:w="60"/>
              <w:left w:type="dxa" w:w="110"/>
              <w:bottom w:type="dxa" w:w="60"/>
              <w:right w:type="dxa" w:w="110"/>
            </w:tcMar>
            <w:vAlign w:val="center"/>
          </w:tcPr>
          <w:p>
            <w:pPr>
              <w:spacing w:after="0"/>
            </w:pPr>
            <w:r>
              <w:rPr>
                <w:b w:val="false"/>
                <w:bCs w:val="false"/>
                <w:sz w:val="19"/>
                <w:szCs w:val="19"/>
              </w:rPr>
              <w:t xml:space="preserve">IaC</w:t>
            </w:r>
          </w:p>
        </w:tc>
        <w:tc>
          <w:tcPr>
            <w:tcW w:type="dxa" w:w="7238"/>
            <w:tcBorders>
              <w:top w:val="single" w:color="B0B0B0" w:sz="2"/>
              <w:left w:val="single" w:color="B0B0B0" w:sz="2"/>
              <w:bottom w:val="single" w:color="B0B0B0" w:sz="2"/>
              <w:right w:val="single" w:color="B0B0B0" w:sz="2"/>
            </w:tcBorders>
            <w:tcMar>
              <w:top w:type="dxa" w:w="60"/>
              <w:left w:type="dxa" w:w="110"/>
              <w:bottom w:type="dxa" w:w="60"/>
              <w:right w:type="dxa" w:w="110"/>
            </w:tcMar>
            <w:vAlign w:val="center"/>
          </w:tcPr>
          <w:p>
            <w:pPr>
              <w:spacing w:after="0"/>
            </w:pPr>
            <w:r>
              <w:rPr>
                <w:b w:val="false"/>
                <w:bCs w:val="false"/>
                <w:sz w:val="19"/>
                <w:szCs w:val="19"/>
              </w:rPr>
              <w:t xml:space="preserve">Infrastructure as Code : décrire l’infra dans des fichiers versionnés.</w:t>
            </w:r>
          </w:p>
        </w:tc>
      </w:tr>
      <w:tr>
        <w:tc>
          <w:tcPr>
            <w:tcW w:type="dxa" w:w="2400"/>
            <w:tcBorders>
              <w:top w:val="single" w:color="B0B0B0" w:sz="2"/>
              <w:left w:val="single" w:color="B0B0B0" w:sz="2"/>
              <w:bottom w:val="single" w:color="B0B0B0" w:sz="2"/>
              <w:right w:val="single" w:color="B0B0B0" w:sz="2"/>
            </w:tcBorders>
            <w:tcMar>
              <w:top w:type="dxa" w:w="60"/>
              <w:left w:type="dxa" w:w="110"/>
              <w:bottom w:type="dxa" w:w="60"/>
              <w:right w:type="dxa" w:w="110"/>
            </w:tcMar>
            <w:vAlign w:val="center"/>
          </w:tcPr>
          <w:p>
            <w:pPr>
              <w:spacing w:after="0"/>
            </w:pPr>
            <w:r>
              <w:rPr>
                <w:b w:val="false"/>
                <w:bCs w:val="false"/>
                <w:sz w:val="19"/>
                <w:szCs w:val="19"/>
              </w:rPr>
              <w:t xml:space="preserve">Helm / chart</w:t>
            </w:r>
          </w:p>
        </w:tc>
        <w:tc>
          <w:tcPr>
            <w:tcW w:type="dxa" w:w="7238"/>
            <w:tcBorders>
              <w:top w:val="single" w:color="B0B0B0" w:sz="2"/>
              <w:left w:val="single" w:color="B0B0B0" w:sz="2"/>
              <w:bottom w:val="single" w:color="B0B0B0" w:sz="2"/>
              <w:right w:val="single" w:color="B0B0B0" w:sz="2"/>
            </w:tcBorders>
            <w:tcMar>
              <w:top w:type="dxa" w:w="60"/>
              <w:left w:type="dxa" w:w="110"/>
              <w:bottom w:type="dxa" w:w="60"/>
              <w:right w:type="dxa" w:w="110"/>
            </w:tcMar>
            <w:vAlign w:val="center"/>
          </w:tcPr>
          <w:p>
            <w:pPr>
              <w:spacing w:after="0"/>
            </w:pPr>
            <w:r>
              <w:rPr>
                <w:b w:val="false"/>
                <w:bCs w:val="false"/>
                <w:sz w:val="19"/>
                <w:szCs w:val="19"/>
              </w:rPr>
              <w:t xml:space="preserve">Gestionnaire de paquets de Kubernetes / un paquet paramétrable.</w:t>
            </w:r>
          </w:p>
        </w:tc>
      </w:tr>
      <w:tr>
        <w:tc>
          <w:tcPr>
            <w:tcW w:type="dxa" w:w="2400"/>
            <w:tcBorders>
              <w:top w:val="single" w:color="B0B0B0" w:sz="2"/>
              <w:left w:val="single" w:color="B0B0B0" w:sz="2"/>
              <w:bottom w:val="single" w:color="B0B0B0" w:sz="2"/>
              <w:right w:val="single" w:color="B0B0B0" w:sz="2"/>
            </w:tcBorders>
            <w:tcMar>
              <w:top w:type="dxa" w:w="60"/>
              <w:left w:type="dxa" w:w="110"/>
              <w:bottom w:type="dxa" w:w="60"/>
              <w:right w:type="dxa" w:w="110"/>
            </w:tcMar>
            <w:vAlign w:val="center"/>
          </w:tcPr>
          <w:p>
            <w:pPr>
              <w:spacing w:after="0"/>
            </w:pPr>
            <w:r>
              <w:rPr>
                <w:b w:val="false"/>
                <w:bCs w:val="false"/>
                <w:sz w:val="19"/>
                <w:szCs w:val="19"/>
              </w:rPr>
              <w:t xml:space="preserve">Namespace</w:t>
            </w:r>
          </w:p>
        </w:tc>
        <w:tc>
          <w:tcPr>
            <w:tcW w:type="dxa" w:w="7238"/>
            <w:tcBorders>
              <w:top w:val="single" w:color="B0B0B0" w:sz="2"/>
              <w:left w:val="single" w:color="B0B0B0" w:sz="2"/>
              <w:bottom w:val="single" w:color="B0B0B0" w:sz="2"/>
              <w:right w:val="single" w:color="B0B0B0" w:sz="2"/>
            </w:tcBorders>
            <w:tcMar>
              <w:top w:type="dxa" w:w="60"/>
              <w:left w:type="dxa" w:w="110"/>
              <w:bottom w:type="dxa" w:w="60"/>
              <w:right w:type="dxa" w:w="110"/>
            </w:tcMar>
            <w:vAlign w:val="center"/>
          </w:tcPr>
          <w:p>
            <w:pPr>
              <w:spacing w:after="0"/>
            </w:pPr>
            <w:r>
              <w:rPr>
                <w:b w:val="false"/>
                <w:bCs w:val="false"/>
                <w:sz w:val="19"/>
                <w:szCs w:val="19"/>
              </w:rPr>
              <w:t xml:space="preserve">Cloison logique isolant des ressources dans le cluster.</w:t>
            </w:r>
          </w:p>
        </w:tc>
      </w:tr>
      <w:tr>
        <w:tc>
          <w:tcPr>
            <w:tcW w:type="dxa" w:w="2400"/>
            <w:tcBorders>
              <w:top w:val="single" w:color="B0B0B0" w:sz="2"/>
              <w:left w:val="single" w:color="B0B0B0" w:sz="2"/>
              <w:bottom w:val="single" w:color="B0B0B0" w:sz="2"/>
              <w:right w:val="single" w:color="B0B0B0" w:sz="2"/>
            </w:tcBorders>
            <w:tcMar>
              <w:top w:type="dxa" w:w="60"/>
              <w:left w:type="dxa" w:w="110"/>
              <w:bottom w:type="dxa" w:w="60"/>
              <w:right w:type="dxa" w:w="110"/>
            </w:tcMar>
            <w:vAlign w:val="center"/>
          </w:tcPr>
          <w:p>
            <w:pPr>
              <w:spacing w:after="0"/>
            </w:pPr>
            <w:r>
              <w:rPr>
                <w:b w:val="false"/>
                <w:bCs w:val="false"/>
                <w:sz w:val="19"/>
                <w:szCs w:val="19"/>
              </w:rPr>
              <w:t xml:space="preserve">CRD</w:t>
            </w:r>
          </w:p>
        </w:tc>
        <w:tc>
          <w:tcPr>
            <w:tcW w:type="dxa" w:w="7238"/>
            <w:tcBorders>
              <w:top w:val="single" w:color="B0B0B0" w:sz="2"/>
              <w:left w:val="single" w:color="B0B0B0" w:sz="2"/>
              <w:bottom w:val="single" w:color="B0B0B0" w:sz="2"/>
              <w:right w:val="single" w:color="B0B0B0" w:sz="2"/>
            </w:tcBorders>
            <w:tcMar>
              <w:top w:type="dxa" w:w="60"/>
              <w:left w:type="dxa" w:w="110"/>
              <w:bottom w:type="dxa" w:w="60"/>
              <w:right w:type="dxa" w:w="110"/>
            </w:tcMar>
            <w:vAlign w:val="center"/>
          </w:tcPr>
          <w:p>
            <w:pPr>
              <w:spacing w:after="0"/>
            </w:pPr>
            <w:r>
              <w:rPr>
                <w:b w:val="false"/>
                <w:bCs w:val="false"/>
                <w:sz w:val="19"/>
                <w:szCs w:val="19"/>
              </w:rPr>
              <w:t xml:space="preserve">Custom Resource Definition : nouveau type d’objet ajouté à Kubernetes (ex. ServiceMonitor).</w:t>
            </w:r>
          </w:p>
        </w:tc>
      </w:tr>
      <w:tr>
        <w:tc>
          <w:tcPr>
            <w:tcW w:type="dxa" w:w="2400"/>
            <w:tcBorders>
              <w:top w:val="single" w:color="B0B0B0" w:sz="2"/>
              <w:left w:val="single" w:color="B0B0B0" w:sz="2"/>
              <w:bottom w:val="single" w:color="B0B0B0" w:sz="2"/>
              <w:right w:val="single" w:color="B0B0B0" w:sz="2"/>
            </w:tcBorders>
            <w:tcMar>
              <w:top w:type="dxa" w:w="60"/>
              <w:left w:type="dxa" w:w="110"/>
              <w:bottom w:type="dxa" w:w="60"/>
              <w:right w:type="dxa" w:w="110"/>
            </w:tcMar>
            <w:vAlign w:val="center"/>
          </w:tcPr>
          <w:p>
            <w:pPr>
              <w:spacing w:after="0"/>
            </w:pPr>
            <w:r>
              <w:rPr>
                <w:b w:val="false"/>
                <w:bCs w:val="false"/>
                <w:sz w:val="19"/>
                <w:szCs w:val="19"/>
              </w:rPr>
              <w:t xml:space="preserve">Registre</w:t>
            </w:r>
          </w:p>
        </w:tc>
        <w:tc>
          <w:tcPr>
            <w:tcW w:type="dxa" w:w="7238"/>
            <w:tcBorders>
              <w:top w:val="single" w:color="B0B0B0" w:sz="2"/>
              <w:left w:val="single" w:color="B0B0B0" w:sz="2"/>
              <w:bottom w:val="single" w:color="B0B0B0" w:sz="2"/>
              <w:right w:val="single" w:color="B0B0B0" w:sz="2"/>
            </w:tcBorders>
            <w:tcMar>
              <w:top w:type="dxa" w:w="60"/>
              <w:left w:type="dxa" w:w="110"/>
              <w:bottom w:type="dxa" w:w="60"/>
              <w:right w:type="dxa" w:w="110"/>
            </w:tcMar>
            <w:vAlign w:val="center"/>
          </w:tcPr>
          <w:p>
            <w:pPr>
              <w:spacing w:after="0"/>
            </w:pPr>
            <w:r>
              <w:rPr>
                <w:b w:val="false"/>
                <w:bCs w:val="false"/>
                <w:sz w:val="19"/>
                <w:szCs w:val="19"/>
              </w:rPr>
              <w:t xml:space="preserve">Entrepôt d’images Docker (Harbor, GHCR…).</w:t>
            </w:r>
          </w:p>
        </w:tc>
      </w:tr>
      <w:tr>
        <w:tc>
          <w:tcPr>
            <w:tcW w:type="dxa" w:w="2400"/>
            <w:tcBorders>
              <w:top w:val="single" w:color="B0B0B0" w:sz="2"/>
              <w:left w:val="single" w:color="B0B0B0" w:sz="2"/>
              <w:bottom w:val="single" w:color="B0B0B0" w:sz="2"/>
              <w:right w:val="single" w:color="B0B0B0" w:sz="2"/>
            </w:tcBorders>
            <w:tcMar>
              <w:top w:type="dxa" w:w="60"/>
              <w:left w:type="dxa" w:w="110"/>
              <w:bottom w:type="dxa" w:w="60"/>
              <w:right w:type="dxa" w:w="110"/>
            </w:tcMar>
            <w:vAlign w:val="center"/>
          </w:tcPr>
          <w:p>
            <w:pPr>
              <w:spacing w:after="0"/>
            </w:pPr>
            <w:r>
              <w:rPr>
                <w:b w:val="false"/>
                <w:bCs w:val="false"/>
                <w:sz w:val="19"/>
                <w:szCs w:val="19"/>
              </w:rPr>
              <w:t xml:space="preserve">SAST / DAST</w:t>
            </w:r>
          </w:p>
        </w:tc>
        <w:tc>
          <w:tcPr>
            <w:tcW w:type="dxa" w:w="7238"/>
            <w:tcBorders>
              <w:top w:val="single" w:color="B0B0B0" w:sz="2"/>
              <w:left w:val="single" w:color="B0B0B0" w:sz="2"/>
              <w:bottom w:val="single" w:color="B0B0B0" w:sz="2"/>
              <w:right w:val="single" w:color="B0B0B0" w:sz="2"/>
            </w:tcBorders>
            <w:tcMar>
              <w:top w:type="dxa" w:w="60"/>
              <w:left w:type="dxa" w:w="110"/>
              <w:bottom w:type="dxa" w:w="60"/>
              <w:right w:type="dxa" w:w="110"/>
            </w:tcMar>
            <w:vAlign w:val="center"/>
          </w:tcPr>
          <w:p>
            <w:pPr>
              <w:spacing w:after="0"/>
            </w:pPr>
            <w:r>
              <w:rPr>
                <w:b w:val="false"/>
                <w:bCs w:val="false"/>
                <w:sz w:val="19"/>
                <w:szCs w:val="19"/>
              </w:rPr>
              <w:t xml:space="preserve">Analyse de sécurité statique (code) / dynamique (appli en exécution).</w:t>
            </w:r>
          </w:p>
        </w:tc>
      </w:tr>
      <w:tr>
        <w:tc>
          <w:tcPr>
            <w:tcW w:type="dxa" w:w="2400"/>
            <w:tcBorders>
              <w:top w:val="single" w:color="B0B0B0" w:sz="2"/>
              <w:left w:val="single" w:color="B0B0B0" w:sz="2"/>
              <w:bottom w:val="single" w:color="B0B0B0" w:sz="2"/>
              <w:right w:val="single" w:color="B0B0B0" w:sz="2"/>
            </w:tcBorders>
            <w:tcMar>
              <w:top w:type="dxa" w:w="60"/>
              <w:left w:type="dxa" w:w="110"/>
              <w:bottom w:type="dxa" w:w="60"/>
              <w:right w:type="dxa" w:w="110"/>
            </w:tcMar>
            <w:vAlign w:val="center"/>
          </w:tcPr>
          <w:p>
            <w:pPr>
              <w:spacing w:after="0"/>
            </w:pPr>
            <w:r>
              <w:rPr>
                <w:b w:val="false"/>
                <w:bCs w:val="false"/>
                <w:sz w:val="19"/>
                <w:szCs w:val="19"/>
              </w:rPr>
              <w:t xml:space="preserve">CVE</w:t>
            </w:r>
          </w:p>
        </w:tc>
        <w:tc>
          <w:tcPr>
            <w:tcW w:type="dxa" w:w="7238"/>
            <w:tcBorders>
              <w:top w:val="single" w:color="B0B0B0" w:sz="2"/>
              <w:left w:val="single" w:color="B0B0B0" w:sz="2"/>
              <w:bottom w:val="single" w:color="B0B0B0" w:sz="2"/>
              <w:right w:val="single" w:color="B0B0B0" w:sz="2"/>
            </w:tcBorders>
            <w:tcMar>
              <w:top w:type="dxa" w:w="60"/>
              <w:left w:type="dxa" w:w="110"/>
              <w:bottom w:type="dxa" w:w="60"/>
              <w:right w:type="dxa" w:w="110"/>
            </w:tcMar>
            <w:vAlign w:val="center"/>
          </w:tcPr>
          <w:p>
            <w:pPr>
              <w:spacing w:after="0"/>
            </w:pPr>
            <w:r>
              <w:rPr>
                <w:b w:val="false"/>
                <w:bCs w:val="false"/>
                <w:sz w:val="19"/>
                <w:szCs w:val="19"/>
              </w:rPr>
              <w:t xml:space="preserve">Vulnérabilité publique répertoriée.</w:t>
            </w:r>
          </w:p>
        </w:tc>
      </w:tr>
      <w:tr>
        <w:tc>
          <w:tcPr>
            <w:tcW w:type="dxa" w:w="2400"/>
            <w:tcBorders>
              <w:top w:val="single" w:color="B0B0B0" w:sz="2"/>
              <w:left w:val="single" w:color="B0B0B0" w:sz="2"/>
              <w:bottom w:val="single" w:color="B0B0B0" w:sz="2"/>
              <w:right w:val="single" w:color="B0B0B0" w:sz="2"/>
            </w:tcBorders>
            <w:tcMar>
              <w:top w:type="dxa" w:w="60"/>
              <w:left w:type="dxa" w:w="110"/>
              <w:bottom w:type="dxa" w:w="60"/>
              <w:right w:type="dxa" w:w="110"/>
            </w:tcMar>
            <w:vAlign w:val="center"/>
          </w:tcPr>
          <w:p>
            <w:pPr>
              <w:spacing w:after="0"/>
            </w:pPr>
            <w:r>
              <w:rPr>
                <w:b w:val="false"/>
                <w:bCs w:val="false"/>
                <w:sz w:val="19"/>
                <w:szCs w:val="19"/>
              </w:rPr>
              <w:t xml:space="preserve">Lint</w:t>
            </w:r>
          </w:p>
        </w:tc>
        <w:tc>
          <w:tcPr>
            <w:tcW w:type="dxa" w:w="7238"/>
            <w:tcBorders>
              <w:top w:val="single" w:color="B0B0B0" w:sz="2"/>
              <w:left w:val="single" w:color="B0B0B0" w:sz="2"/>
              <w:bottom w:val="single" w:color="B0B0B0" w:sz="2"/>
              <w:right w:val="single" w:color="B0B0B0" w:sz="2"/>
            </w:tcBorders>
            <w:tcMar>
              <w:top w:type="dxa" w:w="60"/>
              <w:left w:type="dxa" w:w="110"/>
              <w:bottom w:type="dxa" w:w="60"/>
              <w:right w:type="dxa" w:w="110"/>
            </w:tcMar>
            <w:vAlign w:val="center"/>
          </w:tcPr>
          <w:p>
            <w:pPr>
              <w:spacing w:after="0"/>
            </w:pPr>
            <w:r>
              <w:rPr>
                <w:b w:val="false"/>
                <w:bCs w:val="false"/>
                <w:sz w:val="19"/>
                <w:szCs w:val="19"/>
              </w:rPr>
              <w:t xml:space="preserve">Vérification automatique de qualité/bonnes pratiques d’un fichier.</w:t>
            </w:r>
          </w:p>
        </w:tc>
      </w:tr>
      <w:tr>
        <w:tc>
          <w:tcPr>
            <w:tcW w:type="dxa" w:w="2400"/>
            <w:tcBorders>
              <w:top w:val="single" w:color="B0B0B0" w:sz="2"/>
              <w:left w:val="single" w:color="B0B0B0" w:sz="2"/>
              <w:bottom w:val="single" w:color="B0B0B0" w:sz="2"/>
              <w:right w:val="single" w:color="B0B0B0" w:sz="2"/>
            </w:tcBorders>
            <w:tcMar>
              <w:top w:type="dxa" w:w="60"/>
              <w:left w:type="dxa" w:w="110"/>
              <w:bottom w:type="dxa" w:w="60"/>
              <w:right w:type="dxa" w:w="110"/>
            </w:tcMar>
            <w:vAlign w:val="center"/>
          </w:tcPr>
          <w:p>
            <w:pPr>
              <w:spacing w:after="0"/>
            </w:pPr>
            <w:r>
              <w:rPr>
                <w:b w:val="false"/>
                <w:bCs w:val="false"/>
                <w:sz w:val="19"/>
                <w:szCs w:val="19"/>
              </w:rPr>
              <w:t xml:space="preserve">Cosign / keyless</w:t>
            </w:r>
          </w:p>
        </w:tc>
        <w:tc>
          <w:tcPr>
            <w:tcW w:type="dxa" w:w="7238"/>
            <w:tcBorders>
              <w:top w:val="single" w:color="B0B0B0" w:sz="2"/>
              <w:left w:val="single" w:color="B0B0B0" w:sz="2"/>
              <w:bottom w:val="single" w:color="B0B0B0" w:sz="2"/>
              <w:right w:val="single" w:color="B0B0B0" w:sz="2"/>
            </w:tcBorders>
            <w:tcMar>
              <w:top w:type="dxa" w:w="60"/>
              <w:left w:type="dxa" w:w="110"/>
              <w:bottom w:type="dxa" w:w="60"/>
              <w:right w:type="dxa" w:w="110"/>
            </w:tcMar>
            <w:vAlign w:val="center"/>
          </w:tcPr>
          <w:p>
            <w:pPr>
              <w:spacing w:after="0"/>
            </w:pPr>
            <w:r>
              <w:rPr>
                <w:b w:val="false"/>
                <w:bCs w:val="false"/>
                <w:sz w:val="19"/>
                <w:szCs w:val="19"/>
              </w:rPr>
              <w:t xml:space="preserve">Signature d’image / sans clé privée (identité = workflow via OIDC).</w:t>
            </w:r>
          </w:p>
        </w:tc>
      </w:tr>
      <w:tr>
        <w:tc>
          <w:tcPr>
            <w:tcW w:type="dxa" w:w="2400"/>
            <w:tcBorders>
              <w:top w:val="single" w:color="B0B0B0" w:sz="2"/>
              <w:left w:val="single" w:color="B0B0B0" w:sz="2"/>
              <w:bottom w:val="single" w:color="B0B0B0" w:sz="2"/>
              <w:right w:val="single" w:color="B0B0B0" w:sz="2"/>
            </w:tcBorders>
            <w:tcMar>
              <w:top w:type="dxa" w:w="60"/>
              <w:left w:type="dxa" w:w="110"/>
              <w:bottom w:type="dxa" w:w="60"/>
              <w:right w:type="dxa" w:w="110"/>
            </w:tcMar>
            <w:vAlign w:val="center"/>
          </w:tcPr>
          <w:p>
            <w:pPr>
              <w:spacing w:after="0"/>
            </w:pPr>
            <w:r>
              <w:rPr>
                <w:b w:val="false"/>
                <w:bCs w:val="false"/>
                <w:sz w:val="19"/>
                <w:szCs w:val="19"/>
              </w:rPr>
              <w:t xml:space="preserve">OIDC</w:t>
            </w:r>
          </w:p>
        </w:tc>
        <w:tc>
          <w:tcPr>
            <w:tcW w:type="dxa" w:w="7238"/>
            <w:tcBorders>
              <w:top w:val="single" w:color="B0B0B0" w:sz="2"/>
              <w:left w:val="single" w:color="B0B0B0" w:sz="2"/>
              <w:bottom w:val="single" w:color="B0B0B0" w:sz="2"/>
              <w:right w:val="single" w:color="B0B0B0" w:sz="2"/>
            </w:tcBorders>
            <w:tcMar>
              <w:top w:type="dxa" w:w="60"/>
              <w:left w:type="dxa" w:w="110"/>
              <w:bottom w:type="dxa" w:w="60"/>
              <w:right w:type="dxa" w:w="110"/>
            </w:tcMar>
            <w:vAlign w:val="center"/>
          </w:tcPr>
          <w:p>
            <w:pPr>
              <w:spacing w:after="0"/>
            </w:pPr>
            <w:r>
              <w:rPr>
                <w:b w:val="false"/>
                <w:bCs w:val="false"/>
                <w:sz w:val="19"/>
                <w:szCs w:val="19"/>
              </w:rPr>
              <w:t xml:space="preserve">Protocole d’identité prouvant « ce workflow GitHub est bien lui ».</w:t>
            </w:r>
          </w:p>
        </w:tc>
      </w:tr>
      <w:tr>
        <w:tc>
          <w:tcPr>
            <w:tcW w:type="dxa" w:w="2400"/>
            <w:tcBorders>
              <w:top w:val="single" w:color="B0B0B0" w:sz="2"/>
              <w:left w:val="single" w:color="B0B0B0" w:sz="2"/>
              <w:bottom w:val="single" w:color="B0B0B0" w:sz="2"/>
              <w:right w:val="single" w:color="B0B0B0" w:sz="2"/>
            </w:tcBorders>
            <w:tcMar>
              <w:top w:type="dxa" w:w="60"/>
              <w:left w:type="dxa" w:w="110"/>
              <w:bottom w:type="dxa" w:w="60"/>
              <w:right w:type="dxa" w:w="110"/>
            </w:tcMar>
            <w:vAlign w:val="center"/>
          </w:tcPr>
          <w:p>
            <w:pPr>
              <w:spacing w:after="0"/>
            </w:pPr>
            <w:r>
              <w:rPr>
                <w:b w:val="false"/>
                <w:bCs w:val="false"/>
                <w:sz w:val="19"/>
                <w:szCs w:val="19"/>
              </w:rPr>
              <w:t xml:space="preserve">Fulcio / Rekor</w:t>
            </w:r>
          </w:p>
        </w:tc>
        <w:tc>
          <w:tcPr>
            <w:tcW w:type="dxa" w:w="7238"/>
            <w:tcBorders>
              <w:top w:val="single" w:color="B0B0B0" w:sz="2"/>
              <w:left w:val="single" w:color="B0B0B0" w:sz="2"/>
              <w:bottom w:val="single" w:color="B0B0B0" w:sz="2"/>
              <w:right w:val="single" w:color="B0B0B0" w:sz="2"/>
            </w:tcBorders>
            <w:tcMar>
              <w:top w:type="dxa" w:w="60"/>
              <w:left w:type="dxa" w:w="110"/>
              <w:bottom w:type="dxa" w:w="60"/>
              <w:right w:type="dxa" w:w="110"/>
            </w:tcMar>
            <w:vAlign w:val="center"/>
          </w:tcPr>
          <w:p>
            <w:pPr>
              <w:spacing w:after="0"/>
            </w:pPr>
            <w:r>
              <w:rPr>
                <w:b w:val="false"/>
                <w:bCs w:val="false"/>
                <w:sz w:val="19"/>
                <w:szCs w:val="19"/>
              </w:rPr>
              <w:t xml:space="preserve">Autorité de certificats éphémères / journal public de transparence (Sigstore).</w:t>
            </w:r>
          </w:p>
        </w:tc>
      </w:tr>
      <w:tr>
        <w:tc>
          <w:tcPr>
            <w:tcW w:type="dxa" w:w="2400"/>
            <w:tcBorders>
              <w:top w:val="single" w:color="B0B0B0" w:sz="2"/>
              <w:left w:val="single" w:color="B0B0B0" w:sz="2"/>
              <w:bottom w:val="single" w:color="B0B0B0" w:sz="2"/>
              <w:right w:val="single" w:color="B0B0B0" w:sz="2"/>
            </w:tcBorders>
            <w:tcMar>
              <w:top w:type="dxa" w:w="60"/>
              <w:left w:type="dxa" w:w="110"/>
              <w:bottom w:type="dxa" w:w="60"/>
              <w:right w:type="dxa" w:w="110"/>
            </w:tcMar>
            <w:vAlign w:val="center"/>
          </w:tcPr>
          <w:p>
            <w:pPr>
              <w:spacing w:after="0"/>
            </w:pPr>
            <w:r>
              <w:rPr>
                <w:b w:val="false"/>
                <w:bCs w:val="false"/>
                <w:sz w:val="19"/>
                <w:szCs w:val="19"/>
              </w:rPr>
              <w:t xml:space="preserve">GHCR</w:t>
            </w:r>
          </w:p>
        </w:tc>
        <w:tc>
          <w:tcPr>
            <w:tcW w:type="dxa" w:w="7238"/>
            <w:tcBorders>
              <w:top w:val="single" w:color="B0B0B0" w:sz="2"/>
              <w:left w:val="single" w:color="B0B0B0" w:sz="2"/>
              <w:bottom w:val="single" w:color="B0B0B0" w:sz="2"/>
              <w:right w:val="single" w:color="B0B0B0" w:sz="2"/>
            </w:tcBorders>
            <w:tcMar>
              <w:top w:type="dxa" w:w="60"/>
              <w:left w:type="dxa" w:w="110"/>
              <w:bottom w:type="dxa" w:w="60"/>
              <w:right w:type="dxa" w:w="110"/>
            </w:tcMar>
            <w:vAlign w:val="center"/>
          </w:tcPr>
          <w:p>
            <w:pPr>
              <w:spacing w:after="0"/>
            </w:pPr>
            <w:r>
              <w:rPr>
                <w:b w:val="false"/>
                <w:bCs w:val="false"/>
                <w:sz w:val="19"/>
                <w:szCs w:val="19"/>
              </w:rPr>
              <w:t xml:space="preserve">GitHub Container Registry : le registre d’images de GitHub.</w:t>
            </w:r>
          </w:p>
        </w:tc>
      </w:tr>
      <w:tr>
        <w:tc>
          <w:tcPr>
            <w:tcW w:type="dxa" w:w="2400"/>
            <w:tcBorders>
              <w:top w:val="single" w:color="B0B0B0" w:sz="2"/>
              <w:left w:val="single" w:color="B0B0B0" w:sz="2"/>
              <w:bottom w:val="single" w:color="B0B0B0" w:sz="2"/>
              <w:right w:val="single" w:color="B0B0B0" w:sz="2"/>
            </w:tcBorders>
            <w:tcMar>
              <w:top w:type="dxa" w:w="60"/>
              <w:left w:type="dxa" w:w="110"/>
              <w:bottom w:type="dxa" w:w="60"/>
              <w:right w:type="dxa" w:w="110"/>
            </w:tcMar>
            <w:vAlign w:val="center"/>
          </w:tcPr>
          <w:p>
            <w:pPr>
              <w:spacing w:after="0"/>
            </w:pPr>
            <w:r>
              <w:rPr>
                <w:b w:val="false"/>
                <w:bCs w:val="false"/>
                <w:sz w:val="19"/>
                <w:szCs w:val="19"/>
              </w:rPr>
              <w:t xml:space="preserve">ServiceMonitor</w:t>
            </w:r>
          </w:p>
        </w:tc>
        <w:tc>
          <w:tcPr>
            <w:tcW w:type="dxa" w:w="7238"/>
            <w:tcBorders>
              <w:top w:val="single" w:color="B0B0B0" w:sz="2"/>
              <w:left w:val="single" w:color="B0B0B0" w:sz="2"/>
              <w:bottom w:val="single" w:color="B0B0B0" w:sz="2"/>
              <w:right w:val="single" w:color="B0B0B0" w:sz="2"/>
            </w:tcBorders>
            <w:tcMar>
              <w:top w:type="dxa" w:w="60"/>
              <w:left w:type="dxa" w:w="110"/>
              <w:bottom w:type="dxa" w:w="60"/>
              <w:right w:type="dxa" w:w="110"/>
            </w:tcMar>
            <w:vAlign w:val="center"/>
          </w:tcPr>
          <w:p>
            <w:pPr>
              <w:spacing w:after="0"/>
            </w:pPr>
            <w:r>
              <w:rPr>
                <w:b w:val="false"/>
                <w:bCs w:val="false"/>
                <w:sz w:val="19"/>
                <w:szCs w:val="19"/>
              </w:rPr>
              <w:t xml:space="preserve">Objet disant à Prometheus quelles cibles collecter.</w:t>
            </w:r>
          </w:p>
        </w:tc>
      </w:tr>
      <w:tr>
        <w:tc>
          <w:tcPr>
            <w:tcW w:type="dxa" w:w="2400"/>
            <w:tcBorders>
              <w:top w:val="single" w:color="B0B0B0" w:sz="2"/>
              <w:left w:val="single" w:color="B0B0B0" w:sz="2"/>
              <w:bottom w:val="single" w:color="B0B0B0" w:sz="2"/>
              <w:right w:val="single" w:color="B0B0B0" w:sz="2"/>
            </w:tcBorders>
            <w:tcMar>
              <w:top w:type="dxa" w:w="60"/>
              <w:left w:type="dxa" w:w="110"/>
              <w:bottom w:type="dxa" w:w="60"/>
              <w:right w:type="dxa" w:w="110"/>
            </w:tcMar>
            <w:vAlign w:val="center"/>
          </w:tcPr>
          <w:p>
            <w:pPr>
              <w:spacing w:after="0"/>
            </w:pPr>
            <w:r>
              <w:rPr>
                <w:b w:val="false"/>
                <w:bCs w:val="false"/>
                <w:sz w:val="19"/>
                <w:szCs w:val="19"/>
              </w:rPr>
              <w:t xml:space="preserve">PromQL</w:t>
            </w:r>
          </w:p>
        </w:tc>
        <w:tc>
          <w:tcPr>
            <w:tcW w:type="dxa" w:w="7238"/>
            <w:tcBorders>
              <w:top w:val="single" w:color="B0B0B0" w:sz="2"/>
              <w:left w:val="single" w:color="B0B0B0" w:sz="2"/>
              <w:bottom w:val="single" w:color="B0B0B0" w:sz="2"/>
              <w:right w:val="single" w:color="B0B0B0" w:sz="2"/>
            </w:tcBorders>
            <w:tcMar>
              <w:top w:type="dxa" w:w="60"/>
              <w:left w:type="dxa" w:w="110"/>
              <w:bottom w:type="dxa" w:w="60"/>
              <w:right w:type="dxa" w:w="110"/>
            </w:tcMar>
            <w:vAlign w:val="center"/>
          </w:tcPr>
          <w:p>
            <w:pPr>
              <w:spacing w:after="0"/>
            </w:pPr>
            <w:r>
              <w:rPr>
                <w:b w:val="false"/>
                <w:bCs w:val="false"/>
                <w:sz w:val="19"/>
                <w:szCs w:val="19"/>
              </w:rPr>
              <w:t xml:space="preserve">Langage de requêtes de Prometheus.</w:t>
            </w:r>
          </w:p>
        </w:tc>
      </w:tr>
      <w:tr>
        <w:tc>
          <w:tcPr>
            <w:tcW w:type="dxa" w:w="2400"/>
            <w:tcBorders>
              <w:top w:val="single" w:color="B0B0B0" w:sz="2"/>
              <w:left w:val="single" w:color="B0B0B0" w:sz="2"/>
              <w:bottom w:val="single" w:color="B0B0B0" w:sz="2"/>
              <w:right w:val="single" w:color="B0B0B0" w:sz="2"/>
            </w:tcBorders>
            <w:tcMar>
              <w:top w:type="dxa" w:w="60"/>
              <w:left w:type="dxa" w:w="110"/>
              <w:bottom w:type="dxa" w:w="60"/>
              <w:right w:type="dxa" w:w="110"/>
            </w:tcMar>
            <w:vAlign w:val="center"/>
          </w:tcPr>
          <w:p>
            <w:pPr>
              <w:spacing w:after="0"/>
            </w:pPr>
            <w:r>
              <w:rPr>
                <w:b w:val="false"/>
                <w:bCs w:val="false"/>
                <w:sz w:val="19"/>
                <w:szCs w:val="19"/>
              </w:rPr>
              <w:t xml:space="preserve">Runner</w:t>
            </w:r>
          </w:p>
        </w:tc>
        <w:tc>
          <w:tcPr>
            <w:tcW w:type="dxa" w:w="7238"/>
            <w:tcBorders>
              <w:top w:val="single" w:color="B0B0B0" w:sz="2"/>
              <w:left w:val="single" w:color="B0B0B0" w:sz="2"/>
              <w:bottom w:val="single" w:color="B0B0B0" w:sz="2"/>
              <w:right w:val="single" w:color="B0B0B0" w:sz="2"/>
            </w:tcBorders>
            <w:tcMar>
              <w:top w:type="dxa" w:w="60"/>
              <w:left w:type="dxa" w:w="110"/>
              <w:bottom w:type="dxa" w:w="60"/>
              <w:right w:type="dxa" w:w="110"/>
            </w:tcMar>
            <w:vAlign w:val="center"/>
          </w:tcPr>
          <w:p>
            <w:pPr>
              <w:spacing w:after="0"/>
            </w:pPr>
            <w:r>
              <w:rPr>
                <w:b w:val="false"/>
                <w:bCs w:val="false"/>
                <w:sz w:val="19"/>
                <w:szCs w:val="19"/>
              </w:rPr>
              <w:t xml:space="preserve">Machine qui exécute les jobs GitHub Actions (hébergée ou self-hosted).</w:t>
            </w:r>
          </w:p>
        </w:tc>
      </w:tr>
      <w:tr>
        <w:tc>
          <w:tcPr>
            <w:tcW w:type="dxa" w:w="2400"/>
            <w:tcBorders>
              <w:top w:val="single" w:color="B0B0B0" w:sz="2"/>
              <w:left w:val="single" w:color="B0B0B0" w:sz="2"/>
              <w:bottom w:val="single" w:color="B0B0B0" w:sz="2"/>
              <w:right w:val="single" w:color="B0B0B0" w:sz="2"/>
            </w:tcBorders>
            <w:tcMar>
              <w:top w:type="dxa" w:w="60"/>
              <w:left w:type="dxa" w:w="110"/>
              <w:bottom w:type="dxa" w:w="60"/>
              <w:right w:type="dxa" w:w="110"/>
            </w:tcMar>
            <w:vAlign w:val="center"/>
          </w:tcPr>
          <w:p>
            <w:pPr>
              <w:spacing w:after="0"/>
            </w:pPr>
            <w:r>
              <w:rPr>
                <w:b w:val="false"/>
                <w:bCs w:val="false"/>
                <w:sz w:val="19"/>
                <w:szCs w:val="19"/>
              </w:rPr>
              <w:t xml:space="preserve">exit-code</w:t>
            </w:r>
          </w:p>
        </w:tc>
        <w:tc>
          <w:tcPr>
            <w:tcW w:type="dxa" w:w="7238"/>
            <w:tcBorders>
              <w:top w:val="single" w:color="B0B0B0" w:sz="2"/>
              <w:left w:val="single" w:color="B0B0B0" w:sz="2"/>
              <w:bottom w:val="single" w:color="B0B0B0" w:sz="2"/>
              <w:right w:val="single" w:color="B0B0B0" w:sz="2"/>
            </w:tcBorders>
            <w:tcMar>
              <w:top w:type="dxa" w:w="60"/>
              <w:left w:type="dxa" w:w="110"/>
              <w:bottom w:type="dxa" w:w="60"/>
              <w:right w:type="dxa" w:w="110"/>
            </w:tcMar>
            <w:vAlign w:val="center"/>
          </w:tcPr>
          <w:p>
            <w:pPr>
              <w:spacing w:after="0"/>
            </w:pPr>
            <w:r>
              <w:rPr>
                <w:b w:val="false"/>
                <w:bCs w:val="false"/>
                <w:sz w:val="19"/>
                <w:szCs w:val="19"/>
              </w:rPr>
              <w:t xml:space="preserve">Code de sortie d’une commande ; 0 = succès, ≠0 = échec (bloque la CI).</w:t>
            </w:r>
          </w:p>
        </w:tc>
      </w:tr>
    </w:tbl>
    <w:p>
      <w:pPr>
        <w:spacing w:after="160"/>
      </w:pPr>
    </w:p>
    <w:p>
      <w:pPr>
        <w:spacing w:after="120" w:line="300"/>
        <w:jc w:val="both"/>
      </w:pPr>
      <w:r>
        <w:rPr>
          <w:b/>
          <w:bCs/>
        </w:rPr>
        <w:t xml:space="preserve">Dernier réflexe pour l’oral : </w:t>
      </w:r>
      <w:r>
        <w:t xml:space="preserve">si tu ne sais pas répondre, ouvre le fichier concerné et raisonne à voix haute. Montrer qu’on sait </w:t>
      </w:r>
      <w:r>
        <w:rPr>
          <w:b/>
          <w:bCs/>
        </w:rPr>
        <w:t xml:space="preserve">où chercher</w:t>
      </w:r>
      <w:r>
        <w:t xml:space="preserve"> et comprendre la logique vaut mieux que réciter par cœur.</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77777"/>
        <w:sz w:val="18"/>
        <w:szCs w:val="18"/>
      </w:rPr>
      <w:t xml:space="preserve">Page </w:t>
    </w:r>
    <w:r>
      <w:rPr>
        <w:color w:val="777777"/>
        <w:sz w:val="18"/>
        <w:szCs w:val="18"/>
      </w:rPr>
      <w:fldChar w:fldCharType="begin"/>
      <w:instrText xml:space="preserve">PAGE</w:instrText>
      <w:fldChar w:fldCharType="separate"/>
      <w:fldChar w:fldCharType="end"/>
    </w:r>
    <w:r>
      <w:rPr>
        <w:color w:val="777777"/>
        <w:sz w:val="18"/>
        <w:szCs w:val="18"/>
      </w:rPr>
      <w:t xml:space="preserve"> / </w:t>
    </w:r>
    <w:r>
      <w:rPr>
        <w:color w:val="777777"/>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AAAAAA" w:sz="4" w:space="4"/>
      </w:pBdr>
      <w:jc w:val="right"/>
    </w:pPr>
    <w:r>
      <w:rPr>
        <w:i/>
        <w:iCs/>
        <w:color w:val="777777"/>
        <w:sz w:val="18"/>
        <w:szCs w:val="18"/>
      </w:rPr>
      <w:t xml:space="preserve">Mémo — Harbor + Terraform + CI sécurisée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0" w:hanging="25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Calibri" w:cs="Calibri" w:eastAsia="Calibri" w:hAnsi="Calibri"/>
      <w:b/>
      <w:bCs/>
      <w:color w:val="1F4E79"/>
      <w:sz w:val="30"/>
      <w:szCs w:val="30"/>
    </w:rPr>
  </w:style>
  <w:style w:type="paragraph" w:styleId="Heading2">
    <w:name w:val="Heading 2"/>
    <w:basedOn w:val="Normal"/>
    <w:next w:val="Normal"/>
    <w:qFormat/>
    <w:pPr>
      <w:spacing w:after="100" w:before="220"/>
      <w:outlineLvl w:val="1"/>
    </w:pPr>
    <w:rPr>
      <w:rFonts w:ascii="Calibri" w:cs="Calibri" w:eastAsia="Calibri" w:hAnsi="Calibri"/>
      <w:b/>
      <w:bCs/>
      <w:color w:val="2E5E8C"/>
      <w:sz w:val="25"/>
      <w:szCs w:val="25"/>
    </w:rPr>
  </w:style>
  <w:style w:type="paragraph" w:styleId="Heading3">
    <w:name w:val="Heading 3"/>
    <w:basedOn w:val="Normal"/>
    <w:next w:val="Normal"/>
    <w:qFormat/>
    <w:pPr>
      <w:spacing w:after="80" w:before="160"/>
      <w:outlineLvl w:val="2"/>
    </w:pPr>
    <w:rPr>
      <w:rFonts w:ascii="Calibri" w:cs="Calibri" w:eastAsia="Calibri" w:hAnsi="Calibri"/>
      <w:b/>
      <w:bCs/>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ca36855d7479037729c15a255169c7d1fecab0ba.png"/><Relationship Id="rId10" Type="http://schemas.openxmlformats.org/officeDocument/2006/relationships/image" Target="media/1998158034e7084fedfb128891bccd5079c36325.png"/><Relationship Id="rId11" Type="http://schemas.openxmlformats.org/officeDocument/2006/relationships/image" Target="media/e6e80b391ed04b1d08eedf76c41cfdd910ed630a.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Mémo TP3 — Harbor + Terraform + CI sécurisée</dc:title>
  <dc:creator>Dylan TREPON</dc:creator>
  <cp:lastModifiedBy>Un-named</cp:lastModifiedBy>
  <cp:revision>1</cp:revision>
  <dcterms:created xsi:type="dcterms:W3CDTF">2026-06-22T12:32:37.549Z</dcterms:created>
  <dcterms:modified xsi:type="dcterms:W3CDTF">2026-06-22T12:32:37.551Z</dcterms:modified>
</cp:coreProperties>
</file>

<file path=docProps/custom.xml><?xml version="1.0" encoding="utf-8"?>
<Properties xmlns="http://schemas.openxmlformats.org/officeDocument/2006/custom-properties" xmlns:vt="http://schemas.openxmlformats.org/officeDocument/2006/docPropsVTypes"/>
</file>