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br w:type="page"/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1. ТЕРМИНЫ И ОПРЕДЕЛЕНИЯ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сокращения: АРМ — автоматизированное рабочее место; АС — автоматизированная система; БДУ — банк данных угроз безопасности информации ФСТЭК России; ВВ — вид воздействия; ВТСС — вспомогательные технические средства и системы; ИС — информационная система; ИСПДн — информационная система персональных данных; КЗ — контролируемая зона; ЛИС — лабораторная информационная система; ЛПУ — лечебно-профилактическое учреждение; МИС — медицинская информационная система; МО — медицинская организация; МСЭ — межсетевой экран; НП — негативное последствие; НСД — несанкционированный доступ; ОМС — обязательное медицинское страхование; ОС — операционная система; ПДн — персональные данные; ПЭМИН — побочные электромагнитные излучения и наводки; СВТ — средства вычислительной техники; СЗИ — средство защиты информации; СКЗИ — средство криптографической защиты информации; СОВ — средство обнаружения вторжений; СР — способ реализации; СУБД — система управления базами данных; ТКУИ — технический канал утечки информации; УБИ — угроза безопасности информации; УЗ — уровень защищённости персональных данных; ФСБ России — Федеральная служба безопасности Российской Федерации; ФСТЭК России — Федеральная служба по техническому и экспортному контролю Российской Федерации; ЭМК — электронная медицинская карта.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термины с соответствующими определениями: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система, 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Автоматизированное рабочее место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программно-технический комплекс автоматизированной системы, предназначенный для автоматизации деятельности определённого вида.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основных структурно-функциональных характеристик, свойств, компонентов информационной системы больницы, воплощённых в информационных ресурсах и компонентах, правилах их взаимодействия, режимах обработки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информации,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информации при её обработке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Биометрические 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Взаимодействующая (смежная)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 или сеть,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Вирус (компьютерный, программный)</w:t>
      </w:r>
      <w:r>
        <w:rPr>
          <w:rFonts w:ascii="Times New Roman" w:hAnsi="Times New Roman" w:cs="Times New Roman"/>
          <w:sz w:val="28"/>
          <w:szCs w:val="28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 Созданные дубликаты компьютерного вируса не всегда совпадают с оригиналом, но сохраняют способность к дальнейшему распространению и самовоспроизведению.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Возможности нарушителя</w:t>
      </w:r>
      <w:r>
        <w:rPr>
          <w:rFonts w:ascii="Times New Roman" w:hAnsi="Times New Roman" w:cs="Times New Roman"/>
          <w:sz w:val="28"/>
          <w:szCs w:val="28"/>
        </w:rPr>
        <w:t xml:space="preserve"> — мера усилий нарушителя для реализации угрозы безопасности информации, выраженная в показателях компетентности, оснащённости ресурсами и мотивации нарушителя.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Вредоносная программа</w:t>
      </w:r>
      <w:r>
        <w:rPr>
          <w:rFonts w:ascii="Times New Roman" w:hAnsi="Times New Roman" w:cs="Times New Roman"/>
          <w:sz w:val="28"/>
          <w:szCs w:val="28"/>
        </w:rPr>
        <w:t xml:space="preserve"> — программа, предназначенная для осуществления несанкционированного доступа и (или) воздействия на информацию или ресурсы информационной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Врачебная тайна</w:t>
      </w:r>
      <w:r>
        <w:rPr>
          <w:rFonts w:ascii="Times New Roman" w:hAnsi="Times New Roman" w:cs="Times New Roman"/>
          <w:sz w:val="28"/>
          <w:szCs w:val="28"/>
        </w:rPr>
        <w:t xml:space="preserve"> — сведения о факте обращения гражданина за оказанием медицинской помощи, состоянии его здоровья и диагнозе, иные сведения, полученные при его медицинском обследовании и лечении, не подлежащие разглашению в соответствии с законодательством Российской Федерации в сфере охраны здоровья граждан.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Вспомогательные технические средства и системы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технические средства и системы, не предназначенные для передачи, обработки и хранения информации, устанавливаемые совместно с техническими средствами и системами, предназначенными для обработки информации, или в помещениях, в которых установлены информационные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Защищаемая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данные, содержащиеся в системах и сетях (в том числе защищаемая информация, персональные данные, информация о конфигурации систем и сетей, данные телеметрии, сведения о событиях безопасности и др.).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содержащейся в базах данных информации и обеспечивающих её обработку информационных технологий и технических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Информационно-телекоммуникационная сеть</w:t>
      </w:r>
      <w:r>
        <w:rPr>
          <w:rFonts w:ascii="Times New Roman" w:hAnsi="Times New Roman" w:cs="Times New Roman"/>
          <w:sz w:val="28"/>
          <w:szCs w:val="28"/>
        </w:rPr>
        <w:t xml:space="preserve"> — технологическая система, предназначенная для передачи по линиям связи информации, доступ к которой осуществляется с использованием средств вычислительной техники.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Информационные ресурсы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данные, представленные в форме, предназначенной для хранения и обработки в системах и сетях.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Компонент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программное, программно-аппаратное или техническое средство, входящее в состав информационной системы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Контролируемая зона</w:t>
      </w:r>
      <w:r>
        <w:rPr>
          <w:rFonts w:ascii="Times New Roman" w:hAnsi="Times New Roman" w:cs="Times New Roman"/>
          <w:sz w:val="28"/>
          <w:szCs w:val="28"/>
        </w:rPr>
        <w:t xml:space="preserve"> — пространство, в котором исключено неконтролируемое пребывание сотрудников и посетителей оператора и посторонних транспортных, технических и иных материальных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Медицинская 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предназначенная для автоматизации деятельности медицинской организации, включая ведение электронных медицинских карт пациентов, организацию записи на приём, поддержку процессов диагностики, лечения, лекарственного обеспечения и учёта оказанных услуг.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Недокументированные (недекларированные) возможности</w:t>
      </w:r>
      <w:r>
        <w:rPr>
          <w:rFonts w:ascii="Times New Roman" w:hAnsi="Times New Roman" w:cs="Times New Roman"/>
          <w:sz w:val="28"/>
          <w:szCs w:val="28"/>
        </w:rPr>
        <w:t xml:space="preserve"> — функциональные возможности средств вычислительной техники, не описанные или не соответствующие описанным в документации, при использовании которых возможно нарушение конфиденциальности, доступности или целостности обрабатываемой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Несанкционированный доступ, несанкционированные действия</w:t>
      </w:r>
      <w:r>
        <w:rPr>
          <w:rFonts w:ascii="Times New Roman" w:hAnsi="Times New Roman" w:cs="Times New Roman"/>
          <w:sz w:val="28"/>
          <w:szCs w:val="28"/>
        </w:rPr>
        <w:t xml:space="preserve"> — доступ к информации или действия с информацией, осуществляемые с нарушением установленных прав и (или) правил доступа к информации или действий с ней с применением штатных средств информационной системы или средств, аналогичных им по своим функциональному предназначению и техническим характеристикам.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Обеспечивающие системы</w:t>
      </w:r>
      <w:r>
        <w:rPr>
          <w:rFonts w:ascii="Times New Roman" w:hAnsi="Times New Roman" w:cs="Times New Roman"/>
          <w:sz w:val="28"/>
          <w:szCs w:val="28"/>
        </w:rPr>
        <w:t xml:space="preserve"> — инженерные системы, включающие системы электроснабжения, вентиляции, охлаждения, кондиционирования, охраны и другие инженерные системы, а также средства, каналы и системы, предназначенные для оказания услуг связи, других услуг и сервисов, предоставляемых сторонними организациями, от которых зависит функционирование систем и сетей.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информацией,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Основные (критические) процессы (бизнес-процессы)</w:t>
      </w:r>
      <w:r>
        <w:rPr>
          <w:rFonts w:ascii="Times New Roman" w:hAnsi="Times New Roman" w:cs="Times New Roman"/>
          <w:sz w:val="28"/>
          <w:szCs w:val="28"/>
        </w:rPr>
        <w:t xml:space="preserve"> — управленческие, организационные, технологические, производственные, финансово-экономические и иные основные процессы (бизнес-процессы), выполняемые обладателем информации, оператором в рамках реализации функций (полномочий) или осуществления основных видов деятельности, нарушение и (или) прекращение которых может привести к возникновению рисков (ущербу).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Пациент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любая информация, относящаяся к прямо или косвенно определённому или определяемому физическому лицу (субъекту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Побочные электромагнитные излучения и наводки</w:t>
      </w:r>
      <w:r>
        <w:rPr>
          <w:rFonts w:ascii="Times New Roman" w:hAnsi="Times New Roman" w:cs="Times New Roman"/>
          <w:sz w:val="28"/>
          <w:szCs w:val="28"/>
        </w:rPr>
        <w:t xml:space="preserve"> — электромагнитные излучения технических средств обработки защищаемой информации, возникающие как побочное явление и вызванные электрическими сигналами, действующими в их электрических и магнитных цепях, а также электромагнитные наводки этих сигналов на токопроводящие линии, конструкции и цепи питания.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— лицо, которому разрешено выполнять некоторые действия (операции) по обработке информации в системе или сети и использующее результаты её функционирования.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Правила разграничения доступа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правил, регламентирующих права доступа субъектов доступа к объектам доступа.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Программная закладка</w:t>
      </w:r>
      <w:r>
        <w:rPr>
          <w:rFonts w:ascii="Times New Roman" w:hAnsi="Times New Roman" w:cs="Times New Roman"/>
          <w:sz w:val="28"/>
          <w:szCs w:val="28"/>
        </w:rPr>
        <w:t xml:space="preserve"> — скрытно внесённый в программное обеспечение функциональный объект, который при определённых условиях способен обеспечить несанкционированное программное воздействие. Программная закладка может быть реализована в виде вредоносной программы или программного кода.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Программно-аппаратное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— устройство, состоящее из аппаратного обеспечения и функционирующего на нём программного обеспечения, участвующее в формировании, обработке, передаче или приёме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 системы обработки информации и программных документов, необходимых для эксплуатации этих программ.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Сеть электросвязи</w:t>
      </w:r>
      <w:r>
        <w:rPr>
          <w:rFonts w:ascii="Times New Roman" w:hAnsi="Times New Roman" w:cs="Times New Roman"/>
          <w:sz w:val="28"/>
          <w:szCs w:val="28"/>
        </w:rPr>
        <w:t xml:space="preserve"> — сеть связи, предназначенная для электросвязи (передача и приём сигналов, отображающих звуки, изображения, письменный текст, знаки или сообщения любого рода по электромагнитным системам).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Специальные категории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криптографической защиты информации (шифровальные (криптографические) средства, криптосредства, СКЗИ)</w:t>
      </w:r>
      <w:r>
        <w:rPr>
          <w:rFonts w:ascii="Times New Roman" w:hAnsi="Times New Roman" w:cs="Times New Roman"/>
          <w:sz w:val="28"/>
          <w:szCs w:val="28"/>
        </w:rPr>
        <w:t xml:space="preserve"> — аппаратные, программные и аппаратно-программные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её обработке и хранении.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Средство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техническое, программное, программно-техническое средство, вещество и (или) материал, предназначенные или используемые для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вычислительной техники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канал утечки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носителя информации (средства обработки), физической среды распространения информативного сигнала и средств, которыми добывается защищаемая информация.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Угроза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условий и факторов, создающих потенциальную или реально существующую опасность нарушения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Уничтожение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действия, в результате которых становится невозможным восстановить содержание информации в информационной системе и (или) в результате которых уничтожаются материальные носители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Уровень защищённости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комплексный показатель, характеризующий требования,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Утечка (защищаемой) информации по техническим каналам</w:t>
      </w:r>
      <w:r>
        <w:rPr>
          <w:rFonts w:ascii="Times New Roman" w:hAnsi="Times New Roman" w:cs="Times New Roman"/>
          <w:sz w:val="28"/>
          <w:szCs w:val="28"/>
        </w:rPr>
        <w:t xml:space="preserve"> — неконтролируемое распространение информации от носителя защищаемой информации через физическую среду до технического средства, осуществляющего перехват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Уязвимость</w:t>
      </w:r>
      <w:r>
        <w:rPr>
          <w:rFonts w:ascii="Times New Roman" w:hAnsi="Times New Roman" w:cs="Times New Roman"/>
          <w:sz w:val="28"/>
          <w:szCs w:val="28"/>
        </w:rPr>
        <w:t xml:space="preserve"> — недостаток (слабость) программного (программно-технического) средства или системы и сети в целом, который (которая) может быть использован для реализации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Электронная медицинская карта</w:t>
      </w:r>
      <w:r>
        <w:rPr>
          <w:rFonts w:ascii="Times New Roman" w:hAnsi="Times New Roman" w:cs="Times New Roman"/>
          <w:sz w:val="28"/>
          <w:szCs w:val="28"/>
        </w:rPr>
        <w:t xml:space="preserve"> — электронный персональный документ, содержащий сведения о состоянии здоровья пациента, оказанных ему медицинских услугах, поставленных диагнозах, проведённых обследованиях, назначенном лечении и его результатах.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2. ОБЩИЕ ПОЛОЖЕНИЯ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2.1. Введение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2.1.1. Настоящая Модель угроз безопасности информации (далее — Модель угроз) содержит результаты оценки угроз безопасности информации, обрабатываемой в информационной системе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2.1.2. Оценка угроз проводится в целях определения угроз безопасности информации, реализация (возникновение) которых возможна в информационной системе больницы (далее — ИС больницы) (с учётом архитектуры и условий её функционирования) и может привести к нарушению безопасности обрабатываемой в ИС больницы информации (нарушению конфиденциальности, целостности, доступности, неотказуемости, подотчётности, аутентичности и достоверности информации и (или) средств её обработки) и (или) к нарушению, прекращению функционирования ИС больницы — актуальных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2.1.3. В соответствии с постановлением Правительства Российской Федерации от 1 ноября 2012 г. № 1119 «Об утверждении требований к защите персональных данных при их обработке в информационных системах персональных данных» настоящая Модель угроз подлежит использованию при формировании требований к системе защиты персональных данных, обрабатываемых в ИС больницы.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2.2. Источники разработки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2.2.1. Настоящая Модель угроз сформирована в соответствии с методическими документами ФСТЭК России и ФСБ России с учётом следующих принципов: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обеспечения безопасности информации без использования СКЗИ при формировании Модели угроз используются методические документы ФСТЭК России;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определения медицинской организацией-оператором необходимости обеспечения безопасности информации с использованием СКЗИ при формировании Модели угроз используются методические документы ФСТЭК России и ФСБ России.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2.2.2. Перечень нормативных правовых актов, методических документов и национальных стандартов, используемый для оценки угроз безопасности информации и разработки Модели угроз, представлен в Приложении № 1.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2.3. Оцениваемые угрозы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2.3.1. Модель угроз содержит результаты оценки антропогенных угроз безопасности информации, возникновение которых обусловлено действиями нарушителей, и техногенных источников угроз. При этом в настоящей Модели угроз не рассматриваются угрозы, связанные с техническими каналами утечки информации (далее — ТКУИ), по причинам, перечисленным в таблице 1.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1 — Обоснования исключения угроз, реализуемых за счёт ТКУИ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Угрозы, связанные с техническими каналами утечки информации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Обоснование исключения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Угрозы утечки акустической (речевой) информации*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Характеризуются наличием высококвалифицированных нарушителей, использующих дорогостоящую специализированную аппаратуру, регистрирующую акустические (в воздухе) и виброакустические (в упругих средах) волны, а также электромагнитные (в том числе оптические) излучения и электрические сигналы, модулированные информативным акустическим сигналом, возникающие за счёт преобразований в технических средствах обработки информации, ВТСС и строительных конструкциях и инженерно-технических коммуникациях под воздействием акустических волн. Характер и объём обрабатываемой в системе информации недостаточен для мотивации нарушителей к реализации таких угроз.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Угрозы утечки видовой информации*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Характеризуются наличием высококвалифицированных нарушителей, использующих специализированные оптические (оптико-электронные) средства для просмотра информации с экранов дисплеев и других средств отображения средств вычислительной техники, информационно-вычислительных комплексов, технических средств обработки графической, видео- и буквенно-цифровой информации, входящих в состав системы. Характер и объём обрабатываемой в системе информации недостаточен для мотивации нарушителей к реализации таких угроз.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Угрозы утечки информации по каналам ПЭМИН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Характеризуются наличием высококвалифицированных нарушителей, использующих дорогостоящие специализированные технические средства перехвата побочных (не связанных с прямым функциональным значением элементов системы) информативных электромагнитных полей и электрических сигналов, возникающих при обработке информации техническими средствами системы. Характер и объём обрабатываемой в системе информации недостаточен для мотивации нарушителей к реализации таких угроз.</w:t>
            </w:r>
          </w:p>
        </w:tc>
      </w:tr>
    </w:tbl>
    <w:p>
      <w:pPr>
        <w:spacing w:line="360" w:lineRule="auto"/>
        <w:jc w:val="both"/>
      </w:pP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* За исключением угроз, характеризующихся использованием нарушителями портативных (мобильных) устройств съёма информации (планшеты, сотовые телефоны, цифровые камеры, звукозаписывающие устройства и иные средства).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2.4. Ответственность за обеспечение защиты информации (безопасности)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2.4.1. Ответственными за обеспечение безопасности персональных данных при их обработке в ИС больницы приказом главного врача медицинской организации-оператора назначаются должностные лица (подразделения), представленные в таблице 2.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2 — Ответственные за обеспечение защиты информации (безопасности)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Роль подразделения / должностного лица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Должностное лицо / подразделение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Ответственный за организацию обработки персональных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Заместитель главного врача по информационной безопасности (либо должностное лицо, назначенное приказом главного врача)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Ответственный за обеспечение безопасности персональных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(ответственное лицо) службы информационной безопасности (защиты информации) медицинской организации-оператора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информационной системы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Системный администратор отдела информационных технологий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безопасности информационной системы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службы информационной безопасности, назначенный приказом главного врача</w:t>
            </w:r>
          </w:p>
        </w:tc>
      </w:tr>
    </w:tbl>
    <w:p>
      <w:pPr>
        <w:spacing w:line="360" w:lineRule="auto"/>
        <w:jc w:val="both"/>
      </w:pP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2.5. Особенности пересмотра Модели угроз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2.5.1. Настоящая Модель угроз может быть пересмотрена: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по решению медицинской организации-оператора на основе периодически проводимых анализа и оценки угроз безопасности защищаемой информации с учётом особенностей и (или) изменений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возникновения (обнаружения) новых уязвимостей и угроз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изменения федерального законодательства в части оценки угроз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появления новых угроз в используемых источниках данных об угрозах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изменения структурно-функциональных характеристик, применяемых информационных технологий или особенностей функционирования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случае появления сведений и (или) фактов о новых возможностях потенциальных нарушителей;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случаях выявления инцидентов информационной безопасности в ИС больницы и (или) взаимодействующих (смежных) системах.</w:t>
      </w:r>
    </w:p>
    <w:sectPr>
      <w:pgSz w:w="11906" w:h="16838"/>
      <w:pgMar w:top="1134" w:right="567" w:bottom="1134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jc w:val="both"/>
        <w:ind w:firstLine="70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240"/>
      <w:ind w:firstLine="0"/>
      <w:jc w:val="left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0"/>
      <w:jc w:val="left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ind w:firstLine="0"/>
      <w:jc w:val="left"/>
    </w:pPr>
    <w:rPr>
      <w:b/>
      <w:bCs/>
      <w:sz w:val="28"/>
      <w:szCs w:val="28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