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высшего 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«Рязанский государственный радиотехнический университет им. В.Ф. Уткина»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«Утверждаю»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Заведующий кафедрой АИТП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__________________________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М.В. Ленков</w:t>
      </w:r>
    </w:p>
    <w:p>
      <w:pPr>
        <w:spacing w:line="360" w:lineRule="auto" w:after="0" w:before="0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«___» ______________ 2026 г.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ЗАДАНИЕ НА ПРЕДДИПЛОМНУЮ ПРАКТИКУ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Рыжкин Артемий Алексеевич                                            гр. 237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 студента)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Направление  15.03.04 – Автоматизация технологических процессов и производств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Кафедра  Автоматизации информационных и технологических процессов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>Тема ВКР: «Инвестиционный проект малого предприятия»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 практики Сосулин Юрий Андреевич, кандидат технических наук, доцент кафедры АИТП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должность, ученое звание)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/>
          <w:i w:val="0"/>
          <w:sz w:val="28"/>
        </w:rPr>
        <w:t>Планируемые результаты преддипломной практики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Изучить теоретико-методические основы инвестиционного проектирования малого производственного предприятия; обосновать концепцию участка металлообработки и сформировать производственную программу; обосновать выбор основного технологического оборудования с числовым программным управлением (волоконный лазерный станок, вертикальный фрезерный центр); сформировать организационную и финансовую модель проекта; рассчитать показатели экономической эффективности (NPV, IRR, PI, DPP, точка безубыточности) и провести анализ чувствительности проекта; подготовить материалы для выпускной квалификационной работы.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 Рыжкин А.А. / _______________ /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 практики Сосулин Ю.А. / _______________ /</w:t>
      </w:r>
    </w:p>
    <w:p>
      <w:r>
        <w:br w:type="page"/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высшего  образования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«Рязанский государственный радиотехнический университет им. В.Ф. Уткина»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ОТЧЁТ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о прохождении преддипломной практики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Рыжкин Артемий Алексеевич     группа 237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 студента, № группы)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Направление  15.03.04 – Автоматизация технологических процессов и производств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Кафедра  Автоматизации информационных и технологических процессов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Сроки прохождения практики:  с «____» ____________ 2026 г. по «____» ____________ 2026 г.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Место проведения практики: __________________________________________________</w:t>
      </w: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_____________________________________________________________________________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 отчёту прикладываются материалы, свидетельствующие о прохождении преддипломной практики в соответствии с утверждённым заданием на практику.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 Рыжкин А.А.   _________________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подпись)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Руководитель: Сосулин Ю.А.   _________________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(Ф.И.О., подпись)</w:t>
      </w:r>
    </w:p>
    <w:p>
      <w:pPr>
        <w:spacing w:line="360" w:lineRule="auto" w:after="0" w:before="0"/>
        <w:ind w:firstLine="709"/>
        <w:jc w:val="left"/>
      </w:pPr>
    </w:p>
    <w:p>
      <w:pPr>
        <w:spacing w:line="360" w:lineRule="auto" w:after="0" w:before="0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Оценка: ___________________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СОДЕРЖАНИЕ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Введение</w:t>
      </w:r>
      <w:r>
        <w:tab/>
      </w:r>
      <w:r>
        <w:rPr>
          <w:rFonts w:ascii="Times New Roman" w:hAnsi="Times New Roman"/>
          <w:sz w:val="28"/>
        </w:rPr>
        <w:t>4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1 Концепция предприятия и анализ рыночной ниши</w:t>
      </w:r>
      <w:r>
        <w:tab/>
      </w:r>
      <w:r>
        <w:rPr>
          <w:rFonts w:ascii="Times New Roman" w:hAnsi="Times New Roman"/>
          <w:sz w:val="28"/>
        </w:rPr>
        <w:t>5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2 Производственная модель и оборудование с числовым программным управлением</w:t>
      </w:r>
      <w:r>
        <w:tab/>
      </w:r>
      <w:r>
        <w:rPr>
          <w:rFonts w:ascii="Times New Roman" w:hAnsi="Times New Roman"/>
          <w:sz w:val="28"/>
        </w:rPr>
        <w:t>6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3 Экономическое обоснование проекта</w:t>
      </w:r>
      <w:r>
        <w:tab/>
      </w:r>
      <w:r>
        <w:rPr>
          <w:rFonts w:ascii="Times New Roman" w:hAnsi="Times New Roman"/>
          <w:sz w:val="28"/>
        </w:rPr>
        <w:t>8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Заключение</w:t>
      </w:r>
      <w:r>
        <w:tab/>
      </w:r>
      <w:r>
        <w:rPr>
          <w:rFonts w:ascii="Times New Roman" w:hAnsi="Times New Roman"/>
          <w:sz w:val="28"/>
        </w:rPr>
        <w:t>9</w:t>
      </w:r>
    </w:p>
    <w:p>
      <w:pPr>
        <w:tabs>
          <w:tab w:pos="9071" w:val="right" w:leader="hyphen"/>
        </w:tabs>
        <w:spacing w:line="360" w:lineRule="auto"/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/>
          <w:sz w:val="28"/>
        </w:rPr>
        <w:t>10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Малое производственное предпринимательство играет важную роль в структурной адаптации российской экономики, осваивая узкие рыночные ниши и обеспечивая гибкость промышленной системы. Применительно к производственным малым предприятиям инвестиционное проектирование имеет особое значение, поскольку предприниматель сталкивается с высокой капиталоёмкостью стартового этапа, необходимостью технологического оснащения с использованием современного оборудования с числовым программным управлением и обеспечения устойчивого сбыта.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Целью преддипломной практики является сбор, систематизация и обобщение материалов, необходимых для разработки выпускной квалификационной работы на тему «Инвестиционный проект малого предприятия» (на примере участка металлообработки на станках с числовым программным управлением).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1) обосновать концепцию малого производственного предприятия и проанализировать рыночную нишу металлообрабатывающих услуг для локальных B2B-заказчиков;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2) разработать технологический процесс участка, обосновать выбор основного оборудования с ЧПУ (волоконный лазерный станок, вертикальный фрезерный центр) и сформировать организационную структуру предприятия;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3) сформировать бюджет капитальных вложений, операционную модель и прогноз выручки проекта;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4) выполнить расчёт показателей экономической эффективности проекта (NPV, IRR, PI, период окупаемости, точка безубыточности) и провести анализ чувствительности к изменению ключевых параметров.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Объектом исследования выступает малое производственное предприятие как субъект инвестиционной и операционной деятельности. Предметом исследования является процесс экономического обоснования инвестиционного проекта на примере организации участка металлообработки с применением станков с числовым программным управлением.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1 КОНЦЕПЦИЯ ПРЕДПРИЯТИЯ И АНАЛИЗ РЫНОЧНОЙ НИШИ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расчётного объекта в работе принимается малое производственное предприятие, ориентированное на организацию участка металлообработки с использованием волоконного лазерного оборудования и вертикального фрезерного центра с числовым программным управлением. Базовая бизнес-идея заключается в совмещении двух направлений деятельности — выпуска типовых металлических изделий (кронштейны, опоры, корпуса, панели) и оказания услуг лазерной резки и фрезерования по чертежам заказчика.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Целевой сегмент проекта включает четыре основные группы клиентов: локальные промышленные предприятия, нуждающиеся в небольших партиях деталей, кондукторов и технологической оснастки; строительные и монтажные организации; сервисные компании; а также малые мастерские, для которых предприятие становится подрядчиком по операциям резки и обработки. Конкурентное позиционирование строится не на ценовой конкуренции, а на сочетании четырёх преимуществ: скорости исполнения заказа, технологической гибкости, стабильности качества и удобства взаимодействия с заказчиком.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Сводная характеристика расчётного предприятия приведена в таблице 1.1.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1.1 — Общая характеристика расчётного предприятия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Организационно-правовая форма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Общество с ограниченной ответственностью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Налоговый режим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УСН «доходы минус расходы»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Профиль деятельности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Лазерная резка, фрезерная обработка, выпуск металлоизделий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Расположение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Промышленная зона г. Рязани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Площадь помещения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180–220 кв. 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Целевые клиенты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Локальные B2B-заказчики (промышленные, строительные, сервисные)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Численность персонала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 человек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Объём инвестиций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6 200 тыс. руб.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Горизонт расчёта</w:t>
            </w:r>
          </w:p>
        </w:tc>
        <w:tc>
          <w:tcPr>
            <w:tcW w:type="dxa" w:w="5953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 года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Стратегия выхода на рынок предполагает поэтапное наращивание загрузки производственных мощностей. На первом этапе предприятие формирует клиентский портфель за счёт локальных B2B-заказов и услуг резки. На втором этапе увеличивается доля повторных серийных заказов. На третьем этапе расширяется номенклатура за счёт более сложных корпусных изделий, оснастки и сборочных комплектов.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2 ПРОИЗВОДСТВЕННАЯ МОДЕЛЬ И ОБОРУДОВАНИЕ С ЧИСЛОВЫМ ПРОГРАММНЫМ УПРАВЛЕНИЕМ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Производственная модель проекта строится на принципе минимально достаточной технологической конфигурации. В инвестиционный бюджет включается только такое оборудование, которое позволяет обеспечить базовый перечень операций без избыточного расширения первоначальных вложений.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Технологический процесс участка организован по следующей схеме: приём заказа и анализ технического задания; разработка чертежей и формирование карт раскроя в CAD-системе; составление управляющих программ для станков с ЧПУ в CAM-системе; лазерная резка листового металла на волоконном лазерном станке; фрезерная обработка на вертикальном фрезерном центре; слесарная доводка и сварочно-сборочные операции; контроль качества и упаковка готовой продукции. Применение современных систем подготовки управляющих программ позволяет обеспечить технологическую гибкость и сократить потери при переналадке оборудования между заказами.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Основу технологической конфигурации составляют два станка с числовым программным управлением. Волоконный лазерный станок 1530 (рабочее поле 1500×3000 мм) обеспечивает резку листового металла и формирование заготовок для большинства заказов. Вертикальный фрезерный центр с трёхосевой обработкой расширяет номенклатуру за счёт изготовления деталей сложной конфигурации, корпусных элементов и нестандартной оснастки. Вспомогательное оборудование (компрессор, система вентиляции, сварочно-сборочный пост, рабочие станции с CAD/CAM-системами) обеспечивает работоспособность участка и инженерное сопровождение заказов.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Бюджет капитальных вложений по укрупнённым статьям приведён в таблице 2.1.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2.1 — Бюджет капитальных вложений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Статья инвестиций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Сумма, тыс. руб.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Волоконный лазерный станок 1530 (ЧПУ)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2 500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Вертикальный фрезерный центр с ЧПУ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1 650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помещения и электрики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320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Компрессор и система вентиляции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310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Доставка, монтаж и обучение персонала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Сварочно-сборочный пост и оснастка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CAD/CAM, ПК и оргтехника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Первичный запас материалов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350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Регистрация, сайт, стартовый маркетинг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Резерв оборотного капитала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300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6 200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Организационная структура проекта ориентирована на компактный штат численностью пять человек, в котором совмещаются производственные и коммерческие функции. Состав штатной модели приведён в таблице 2.2. Совокупный фонд оплаты труда составляет 390 тыс. руб. в месяц без учёта страховых взносов.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2.2 — Штатная модель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Оклад, тыс. руб.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Функциональная роль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Руководитель проекта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95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Управление, закупки, координация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Оператор лазерного комплекса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Настройка и работа на лазерном станке с ЧПУ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Оператор фрезерного центра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Фрезерная обработка, корректировка управляющих программ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Слесарь-сборщик / ОТК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63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Доводка изделий, сборка, контроль качества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Менеджер по продажам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Поиск заказчиков, расчёт стоимости, сделки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390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Компактная производственно-коммерческая команда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Календарный план запуска предусматривает четыре фазы: организационно-подготовительную (регистрация, аренда, договоры на поставку оборудования), техническую (доставка, монтаж и пусконаладка), кадрово-технологическую (обучение операторов, настройка режимов обработки, подготовка управляющих программ и тестовая выработка) и коммерческо-операционную (приём первых заказов). Совокупная длительность инвестиционной фазы составляет до четырёх месяцев.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3 ЭКОНОМИЧЕСКОЕ ОБОСНОВАНИЕ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Структура ежемесячных расходов сформирована исходя из нормальной работы участка после завершения этапа запуска. Совокупная сумма ежемесячных затрат на проектной мощности составляет 1 178 тыс. руб., из которых переменные затраты (материалы, упаковка и логистика) — 438 тыс. руб., а постоянные (фонд оплаты труда со страховыми взносами, аренда, коммунальные платежи, обслуживание оборудования, маркетинг и административные расходы) — 740 тыс. руб.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Производственная программа базируется на принципе диверсификации заказов. Прогнозируемая выручка на проектной мощности составляет 1 580 тыс. руб. в месяц и распределяется по четырём продуктовым направлениям: кронштейны и опоры (510 тыс. руб./мес.), корпуса и панели (360 тыс. руб./мес.), индивидуальные детали и малые серии (480 тыс. руб./мес.), услуги лазерной резки по материалу заказчика (230 тыс. руб./мес.).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Источники финансирования проекта формируются как комбинация собственных вложений учредителя, льготного лизинга оборудования и мер государственной поддержки малого и среднего предпринимательства. Такой подход позволяет снизить единовременный объём денежных вложений на старте и сохранить часть ликвидности в качестве оборотного резерва.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Прогноз денежных потоков проекта при горизонте планирования три года представлен в таблице 3.1.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3.1 — Прогноз денежных потоков проекта (тыс. руб.)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Год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Выручка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Перем. затраты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Пост. затраты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Прибыль до налога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Чистый поток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0,00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–6 200,00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14 220,00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3 942,00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8 880,00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1 398,00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1 171,86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18 960,00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5 256,00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8 880,00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4 824,00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4 100,40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19 908,00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5 684,00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9 235,00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5 733,65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5 039,60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прогнозных денежных потоков рассчитаны интегральные показатели эффективности инвестиционного проекта (таблица 3.2).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Таблица 3.2 — Показатели экономической эффективности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Обозн.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Чистый приведённый доход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NPV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805,2 тыс. руб.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Внутренняя норма доходности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IRR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24,5 %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ставки диск.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Индекс прибыльности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PI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1,13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&gt; 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Простой срок окупаемости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PP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2,18 года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&lt; горизонта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Дисконтированный срок окупаемости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DPP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2,74 года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&lt; горизонта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Точка безубыточности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BEP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1 024 тыс. руб./мес.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&lt; выручки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соответствует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Запас финансовой прочности проекта составляет 35,2 %, коэффициент маржинального дохода — 0,723. Анализ чувствительности показал, что наибольшее влияние на NPV оказывает изменение выручки и постоянных затрат: снижение выручки на 10 % переводит проект в зону отрицательного NPV, в то время как его рост на 10 % увеличивает NPV до 4 031 тыс. руб. Главной управленческой задачей при реализации проекта является обеспечение устойчивой загрузки мощностей и контроль постоянных расходов.</w:t>
      </w:r>
    </w:p>
    <w:p>
      <w:r>
        <w:br w:type="page"/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преддипломной практики собраны и систематизированы материалы, необходимые для разработки выпускной квалификационной работы по теме «Инвестиционный проект малого предприятия». Основные результаты практики: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1) обоснована концепция малого производственного предприятия в нише металлообрабатывающих услуг для локальных B2B-заказчиков; сформирована общая характеристика расчётного предприятия и стратегия поэтапного выхода на рынок;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2) разработан технологический процесс участка металлообработки и обосновано применение оборудования с числовым программным управлением — волоконного лазерного станка 1530 и вертикального фрезерного центра с трёхосевой обработкой; общая стоимость технологической линии и сопутствующих активов составила 6 200 тыс. руб.;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3) сформирована организационная структура предприятия (5 штатных единиц, ФОТ 390 тыс. руб./мес.) и операционная модель с ежемесячными расходами 1 178 тыс. руб. и проектной выручкой 1 580 тыс. руб./мес.;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4) рассчитаны интегральные показатели экономической эффективности при горизонте планирования три года: NPV = 805,2 тыс. руб., IRR = 24,5 %, PI = 1,13, период окупаемости — 2,18 года, дисконтированный период окупаемости — 2,74 года; точка безубыточности — 1 024 тыс. руб./мес.;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5) выполнен анализ чувствительности проекта; запас финансовой прочности составил 35,2 %; ключевыми факторами устойчивости являются объём продаж и контроль постоянных затрат.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Полученные материалы достаточны для завершения выпускной квалификационной работы. Все задачи преддипломной практики выполнены в полном объёме.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Российская Федерация. Законы. О развитии малого и среднего предпринимательства в Российской Федерации: Федеральный закон № 209-ФЗ. — КонсультантПлюс.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Российская Федерация. Законы. Об инвестиционной деятельности в Российской Федерации, осуществляемой в форме капитальных вложений: Федеральный закон № 39-ФЗ. — КонсультантПлюс.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Российская Федерация. Законы. Налоговый кодекс Российской Федерации (часть вторая): Федеральный закон № 117-ФЗ. — КонсультантПлюс.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Методические рекомендации по оценке эффективности инвестиционных проектов: утв. Минэкономики РФ, Минфином РФ, Госстроем РФ 21.06.1999 № ВК 477. — КонсультантПлюс.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ВЭБ.РФ. Рекомендации по подготовке бизнес-плана инвестиционного проекта: действующая редакция. — М.: ВЭБ.РФ.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ВЭБ.РФ. Рекомендации по подготовке финансовой модели инвестиционного проекта: действующая редакция. — М.: ВЭБ.РФ.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ФНС России. Единый реестр субъектов малого и среднего предпринимательства. — URL: https://rmsp.nalog.ru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8. Корпорация МСП. Льготный лизинг оборудования для малого и среднего бизнеса. — URL: https://corpmsp.ru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9. Малое и среднее предпринимательство в России: статистический сборник / Росстат. — М., 2024.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10. Банк России. Ключевая ставка Банка России. — URL: https://www.cbr.ru/hd_base/keyrate/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11. Мой бизнес: официальный портал мер поддержки МСП. — URL: https://мойбизнес.рф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12. ГОСТ Р 50432-92. Системы числового программного управления станками. Общие технические требования.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