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высшего 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«Рязанский государственный радиотехнический университет им. В.Ф. Уткина»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«Утверждаю»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Заведующий кафедрой АИТП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__________________________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М.В. Ленков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«___» ______________ 2026 г.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ЗАДАНИЕ НА ПРЕДДИПЛОМНУЮ ПРАКТИКУ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Воробьёв Павел Алексеевич                                            гр. 237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 студента)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Направление  15.03.04 – Автоматизация технологических процессов и производств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Кафедра  Автоматизации информационных и технологических процессов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>Тема ВКР: «Инвестиционный проект производственного предприятия по выпуску комбинированных пожарных извещателей»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 практики Сосулин Юрий Андреевич, кандидат технических наук, доцент кафедры АИТП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(Ф.И.О., должность, ученое звание)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Планируемые результаты преддипломной практики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состояние рынка пожарной автоматики Российской Федерации и нормативные требования к комбинированным пожарным извещателям (ТР ЕАЭС 043/2017, ГОСТ Р 53325-2024); обосновать концепцию малого производственного предприятия с применением модели гибридной автоматизации; обосновать состав основного технологического оборудования участка сборки и автоматизированного контроля качества (комбинированный стенд «СИ-ТДК», климатическая камера, MES-система); сформировать бюджет капитальных вложений и операционную модель проекта; выполнить расчёт показателей экономической эффективности (NPV, IRR, PI, DPP) в программе Project Expert 6 Holding и провести анализ чувствительности; подготовить материалы для выпускной квалификационной работы.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 Воробьёв П.А. / _______________ /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 практики Сосулин Ю.А. / _______________ /</w:t>
      </w:r>
    </w:p>
    <w:p>
      <w:r>
        <w:br w:type="page"/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высшего 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«Рязанский государственный радиотехнический университет им. В.Ф. Уткина»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ОТЧЁТ</w:t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о прохождении преддипломной практики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Воробьёв Павел Алексеевич     группа 237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 студента, № группы)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Направление  15.03.04 – Автоматизация технологических процессов и производств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Кафедра  Автоматизации информационных и технологических процессов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Сроки прохождения практики:  с «____» ____________ 2026 г. по «____» ____________ 2026 г.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Место проведения практики: __________________________________________________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_____________________________________________________________________________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 отчёту прикладываются материалы, свидетельствующие о прохождении преддипломной практики в соответствии с утверждённым заданием на практику.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 Воробьёв П.А.   _________________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(Ф.И.О., подпись)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Руководитель: Сосулин Ю.А.   _________________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(Ф.И.О., подпись)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Оценка: ___________________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СОДЕРЖАНИЕ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Введение</w:t>
      </w:r>
      <w:r>
        <w:tab/>
      </w:r>
      <w:r>
        <w:rPr>
          <w:rFonts w:ascii="Times New Roman" w:hAnsi="Times New Roman"/>
          <w:sz w:val="28"/>
        </w:rPr>
        <w:t>4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1 Технико-экономическое обоснование проекта</w:t>
      </w:r>
      <w:r>
        <w:tab/>
      </w:r>
      <w:r>
        <w:rPr>
          <w:rFonts w:ascii="Times New Roman" w:hAnsi="Times New Roman"/>
          <w:sz w:val="28"/>
        </w:rPr>
        <w:t>5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 Производственная модель и автоматизация контроля качества</w:t>
      </w:r>
      <w:r>
        <w:tab/>
      </w:r>
      <w:r>
        <w:rPr>
          <w:rFonts w:ascii="Times New Roman" w:hAnsi="Times New Roman"/>
          <w:sz w:val="28"/>
        </w:rPr>
        <w:t>6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3 Финансово-экономическое обоснование проекта</w:t>
      </w:r>
      <w:r>
        <w:tab/>
      </w:r>
      <w:r>
        <w:rPr>
          <w:rFonts w:ascii="Times New Roman" w:hAnsi="Times New Roman"/>
          <w:sz w:val="28"/>
        </w:rPr>
        <w:t>8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Заключение</w:t>
      </w:r>
      <w:r>
        <w:tab/>
      </w:r>
      <w:r>
        <w:rPr>
          <w:rFonts w:ascii="Times New Roman" w:hAnsi="Times New Roman"/>
          <w:sz w:val="28"/>
        </w:rPr>
        <w:t>9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/>
          <w:sz w:val="28"/>
        </w:rPr>
        <w:t>10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Российский рынок пожарной автоматики в 2025 году достиг исторического максимума — 54 миллиарда рублей при росте на 10 % по сравнению с 2024 годом. Принятые в 2024–2026 годах нормативные акты — Приказ Минпромторга № 4611, обновлённый ГОСТ Р 53325-2024 и Изменение № 1 к СП 484.1311500.2020 — сформировали защищённую рыночную нишу для отечественных производителей и одновременно увеличили спрос на комбинированные мультикритериальные извещатели. Совокупность этих факторов создаёт благоприятные условия для запуска малых производственных предприятий в сфере систем пожарной безопасности.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Целью преддипломной практики является сбор, систематизация и обобщение материалов, необходимых для разработки выпускной квалификационной работы на тему «Инвестиционный проект производственного предприятия по выпуску комбинированных пожарных извещателей».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1) обосновать технико-экономическую целесообразность создания предприятия на основе анализа рынка пожарной сигнализации, нормативной базы и конкурентной среды;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2) разработать производственную и организационную модель предприятия с применением гибридной автоматизации, обосновать состав технологического оборудования участка сборки и автоматизированного контроля качества;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3) сформировать бюджет капитальных вложений, источники финансирования и операционную модель проекта;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4) выполнить расчёт показателей экономической эффективности проекта (NPV, IRR, PI, дисконтированный срок окупаемости) в программном комплексе Project Expert 6 Holding и провести анализ чувствительности.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Объектом исследования выступает малое производственное предприятие как субъект инвестиционной и операционной деятельности в сфере радиоэлектронной промышленности. Предметом — процесс экономического обоснования инвестиционного проекта на примере организации сборочного цеха по выпуску комбинированных дымо-тепловых пожарных извещателей с применением автоматизированных систем контроля качества.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1 ТЕХНИКО-ЭКОНОМИЧЕСКОЕ ОБОСНОВАНИЕ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Целью инвестиционного проекта является создание малого производственного предприятия ООО «СигналПром», ориентированного на выпуск комбинированных дымо-тепловых пожарных извещателей для B2B-сегмента монтажных организаций. Идея открытия предприятия обусловлена структурной трансформацией рынка пожарной автоматики Российской Федерации в 2024–2026 годах: запретом параллельного импорта противопожарной продукции, введением технологического сбора на импортируемую электронику и ростом нормативных требований к качеству извещателей.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Динамика российского рынка пожарной автоматики представлена в таблице 1.1. По итогам 2025 года объём рынка составил 54 миллиарда рублей; прогноз на 2026 год — 58,8 миллиарда рублей.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1.1 — Динамика объёма российского рынка пожарной автоматики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Год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Объём рынка, млрд руб.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Прирост, 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45,8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+6,5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49,1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+7,2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54,0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+10,0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2026 (прогноз)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58,8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+8,9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Нормативно-правовая среда формирует безальтернативную потребность именно в комбинированных извещателях. Обновлённый ГОСТ Р 53325-2024 «Технические средства пожарной автоматики» увеличил норматив защитной зоны одного точечного извещателя с 85 до 100 м², а Изменение № 1 к СП 484.1311500.2020 обязал применять кольцевую топологию адресных линий с изоляторами короткого замыкания. Это привело к экономической нецелесообразности использования примитивных моносенсорных извещателей и формированию устойчивого спроса на мультикритериальные устройства.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Анализ конкурентной среды позволяет выделить три основные группы производителей. Крупные национальные корпорации (ЗАО «НВП «Болид», ГК «Рубеж», АО «Эридан») инвестировали сотни миллионов рублей в полностью роботизированные SMT-линии и ориентированы на государственный заказ и крупные проекты. Азиатские OEM-поставщики работают на сером рынке и подпадут под технологический сбор с 1 сентября 2026 года. Третья группа — малые производственные предприятия с гибридной автоматизацией, ориентированные на B2B-сегмент монтажных организаций среднего бизнеса. Именно последняя ниша является целевой для проектируемого предприятия.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Целевой ассортимент проекта включает три позиции: комбинированный дымо-тепловой извещатель ИПК 212/101-1-СП «Сигнал» (отпускная цена 1 800 руб./шт.), монтажная база с интегрированным изолятором короткого замыкания (350 руб./шт.) и услуги пусконаладки (5 000 руб./объект). При выходе на проектную мощность 700 изделий в месяц годовая выручка составляет 18,66 миллиона рублей.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2 ПРОИЗВОДСТВЕННАЯ МОДЕЛЬ И АВТОМАТИЗАЦИЯ КОНТРОЛЯ КАЧЕСТВА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Ключевым технологическим решением проекта является модель гибридной автоматизации, заимствованная из практики современного контрактного производства электроники. Капиталоёмкие операции SMT-монтажа печатных плат и литья пластиковых корпусов передаются на специализированные контрактные производства, что исключает необходимость инвестиций в роботизированные линии стоимостью свыше 120 миллионов рублей. На собственной площадке реализуются операции, обеспечивающие добавленную стоимость: финальная сборка, программирование микроконтроллеров, функциональная настройка и стопроцентный автоматизированный контроль качества каждого изделия.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Принципиальное отличие предлагаемой модели от крупносерийного производства состоит в организации контроля качества. Крупные заводы с конвейерным выпуском применяют выборочный статистический контроль в соответствии с ГОСТ Р ИСО 2859-1 (приёмочная партия 1–5 %). На проектируемом предприятии каждый извещатель проходит автоматизированные испытания на комбинированном стенде «СИ-ТДК», что позволяет обеспечить нулевой уровень рекламаций при выпуске продукции в пределах гарантийного срока.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Бюджет капитальных вложений предприятия структурирован по функциональным группам оборудования и приведён в таблице 2.1.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2.1 — Бюджет капитальных вложений ООО «СигналПром»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Статья инвестиций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Стенд комбинированный «СИ-ТДК» (функциональные испытания)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2 407 500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Климатическая камера КТВ 0/130-120 (квалификационные испытания)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505 575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Пресс-форма корпуса извещателя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500 000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Ремонт помещения, монтаж ESD-зоны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450 000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Прочее технологическое оборудование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386 600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Антистатическая мебель и оснастка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250 000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АРМ программатора (2 ед.)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170 000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Сертификация по ТР ЕАЭС 043/2017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150 000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Прочее (госпошлина, реклама и др.)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154 807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ИТОГО CAPEX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4 974 482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Ключевым элементом капитальных затрат является комбинированный стенд «СИ-ТДК», предназначенный для функциональных испытаний извещателей по двум каналам срабатывания — дымовому и тепловому, а также для испытаний на устойчивость к изменению напряжения питания. Стенд включает аэродинамический канал генерации калиброванной аэрозольной среды и программно управляемый источник теплового воздействия. Климатическая камера КТВ 0/130-120 обеспечивает квалификационные испытания при температурах от –40 до +130 °C и относительной влажности до 95 %, что является обязательным требованием при сертификации по ТР ЕАЭС 043/2017.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Технологический процесс участка организован с учётом требований ESD-защиты по ГОСТ IEC 61340-5-1-2019. Производственная площадь 142,5 квадратных метра разделена на функциональные зоны: склад комплектующих и входной контроль (20 м²), зона ручного монтажа и сборки с тремя ESD-рабочими местами (40 м²), зона автоматизированного тестирования (40 м²), зона маркировки, упаковки и склад готовой продукции (25 м²) и административно-бытовая зона (17,5 м²).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обеспечения сквозной прослеживаемости каждого изделия и автоматической блокировки выпуска брака на участке внедряется MES-система (Manufacturing Execution System), интегрированная со стендом «СИ-ТДК» и АРМ программатора. Каждый извещатель получает уникальный серийный номер, при сбое испытаний система автоматически переводит изделие в карантин и блокирует переход на следующую технологическую операцию.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Стратегическим решением является применение архитектуры RISC-V — микроконтроллера WCH CH32V003F4P6 (стоимость 23 рубля) вместо западного аналога STM32 (84 рубля). Это снижает себестоимость извещателя и обеспечивает технологическую независимость от поставок импортной электронной компонентной базы. Структура прямой себестоимости одного изделия (Bill of Materials) приведена в таблице 2.2.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2.2 — Структура прямой себестоимости одного извещателя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Печатная плата ДПП 50×50 мм + SMT-монтаж (контрактное производство)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175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Пластиковый корпус (собственная пресс-форма)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Микроконтроллер WCH CH32V003F4P6 (RISC-V)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ИК-излучатель + фототранзистор (дымовой канал)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46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Термистор NTC (тепловой канал)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Пассивные компоненты, разъёмы, светодиод, кнопка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Расходные материалы (припой, флюс, изопропанол)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Упаковка (коробка, инструкция, этикетка)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ИТОГО прямая себестоимость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382</w:t>
            </w:r>
          </w:p>
        </w:tc>
      </w:tr>
    </w:tbl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3 ФИНАНСОВО-ЭКОНОМИЧЕСКОЕ ОБОСНОВАНИЕ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Совокупная потребность в финансировании проекта составляет 5 000 000 рублей: 4 974 482 рубля направляются на капитальные вложения, остаток (~25 тыс. руб.) формирует начальный оборотный капитал. Источники финансирования — собственные средства учредителей (3 000 000 руб., взнос в уставный капитал) и кредит МСП в размере 2 000 000 рублей под 12 % годовых на 35 месяцев с аннуитетными платежами.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Организационная структура предприятия — линейная, штатное расписание включает пять должностей: директор (управление, финансы, сбыт), главный инженер (разработка, стенды, контрактное производство), техник ОТК (стенд «СИ-ТДК», испытания, MES), сборщик РЭА № 1 и сборщик РЭА № 2 (пайка, сборка, прошивка). Совокупный фонд оплаты труда составляет 370 000 рублей в месяц «на руки»; с учётом страховых взносов по ставке 30 % полная стоимость персонала для предприятия составляет 455 100 рублей в месяц.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Маржинальная прибыль на одно изделие при отпускной цене 1 800 рублей и прямой себестоимости 382 рубля составляет 1 418 рублей, или 79 % от цены реализации. Высокая маржинальность обеспечивается стратегическим выбором архитектуры RISC-V, передачей капиталоёмких операций на контрактное производство и собственной пресс-формой корпуса. Выход на проектную мощность 700 изделий в месяц предусмотрен поэтапно в течение первых двенадцати месяцев операционной деятельности.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Финансовая модель проекта построена в программном комплексе Project Expert 6 Holding по стандарту UNIDO. Горизонт планирования составляет 36 месяцев, ставка дисконтирования — 16 %. Сводные показатели экономической эффективности проекта приведены в таблице 3.1.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3.1 — Показатели экономической эффективности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Обозн.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Чистый дисконтированный доход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NPV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2 461 669 руб.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&gt; 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Внутренняя норма доходности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IRR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35,67 %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&gt; ставки диск. (16 %)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Индекс прибыльности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PI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1,31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&gt; 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Дисконтированный срок окупаемости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DPP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30 мес.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&lt; горизонта (36 мес.)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Маржинальность продукции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79 %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высокая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значительный запас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Анализ чувствительности проекта проведён с использованием встроенного модуля «What-if» программы Project Expert при вариации ключевых параметров (цена реализации, объём сбыта, прямые издержки) в диапазоне от –20 % до +20 %. Наибольшее влияние на NPV оказывает параметр «цена сбыта»: при снижении цены на 20 % NPV приближается к нулю. Снижение объёма сбыта на 15 % приводит к выходу дисконтированного срока окупаемости за пределы горизонта планирования. При снижении объёма продаж до 15 % проект сохраняет положительный индекс прибыльности (PI &gt; 1), что подтверждает запас финансовой прочности при умеренном недовыполнении плана. Высокая маржинальность продукции (79 %) обеспечивает значительный резерв устойчивости проекта к неблагоприятным рыночным сценариям.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преддипломной практики собраны и систематизированы материалы, необходимые для разработки выпускной квалификационной работы по теме «Инвестиционный проект производственного предприятия по выпуску комбинированных пожарных извещателей». Основные результаты практики: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1) обоснована технико-экономическая целесообразность создания предприятия ООО «СигналПром» в условиях защищённой рыночной ниши, сформированной запретом параллельного импорта и введением технологического сбора на импортируемую электронику; рынок пожарной автоматики РФ оценён в 54 млрд руб. с прогнозом роста до 58,8 млрд руб. в 2026 году;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2) разработана производственная модель на основе гибридной автоматизации с передачей капиталоёмких операций SMT-монтажа на контрактное производство и реализацией стопроцентного автоматизированного контроля качества каждого изделия на комбинированном стенде «СИ-ТДК»; обоснован состав основного технологического оборудования и MES-системы прослеживаемости;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3) сформирован бюджет капитальных вложений в размере 4 974 482 руб. и источники финансирования (3 млн руб. собственных средств + 2 млн руб. кредита МСП); прямая себестоимость одного извещателя составила 382 руб. при отпускной цене 1 800 руб. (маржинальность 79 %);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4) в программном комплексе Project Expert 6 Holding получены положительные показатели эффективности проекта: NPV = 2 461 669 руб., IRR = 35,67 %, PI = 1,31, дисконтированный срок окупаемости — 30 месяцев при горизонте планирования 36 месяцев; анализ чувствительности подтвердил устойчивость проекта к неблагоприятным отклонениям рыночных параметров.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Полученные материалы достаточны для завершения выпускной квалификационной работы. Все задачи преддипломной практики выполнены в полном объёме.</w:t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Российская Федерация. Законы. Об инвестиционной деятельности в Российской Федерации, осуществляемой в форме капитальных вложений: Федеральный закон № 39-ФЗ. — КонсультантПлюс.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Российская Федерация. Законы. О развитии малого и среднего предпринимательства в Российской Федерации: Федеральный закон № 209-ФЗ. — КонсультантПлюс.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Технический регламент Евразийского экономического союза «О требованиях к средствам обеспечения пожарной безопасности и пожаротушения» (ТР ЕАЭС 043/2017).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ГОСТ Р 53325-2024. Технические средства пожарной автоматики. Общие технические требования. Методы испытаний. — М.: Стандартинформ, 2024.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5. СП 484.1311500.2020. Системы противопожарной защиты. Системы пожарной сигнализации и автоматизация систем противопожарной защиты. Нормы и правила проектирования (с Изменением № 1).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6. ГОСТ IEC 61340-5-1-2019. Электростатика. Защита электронных устройств от электростатических явлений. Общие требования. — М.: Стандартинформ, 2019.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7. Приказ Министерства промышленности и торговли Российской Федерации № 4611 от 8 октября 2024 г. о запрете параллельного импорта противопожарной продукции.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8. Методические рекомендации по оценке эффективности инвестиционных проектов: утв. Минэкономики РФ, Минфином РФ, Госстроем РФ 21.06.1999 № ВК 477. — КонсультантПлюс.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9. Project Expert 6 Holding: руководство пользователя. — М.: ООО «Эксперт Системс», 2024.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10. ВЭБ.РФ. Рекомендации по подготовке бизнес-плана инвестиционного проекта. — М.: ВЭБ.РФ.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11. Корпорация МСП. Льготный лизинг оборудования и кредитные продукты для МСП. — URL: https://corpmsp.ru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12. Банк России. Ключевая ставка Банка России. — URL: https://www.cbr.ru/hd_base/keyrate/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