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C2C" w:rsidRPr="00776C2C" w:rsidRDefault="00776C2C" w:rsidP="00776C2C">
      <w:pPr>
        <w:spacing w:after="0" w:line="240" w:lineRule="auto"/>
        <w:jc w:val="center"/>
        <w:outlineLvl w:val="0"/>
        <w:rPr>
          <w:rFonts w:ascii="Arial" w:eastAsia="Times New Roman" w:hAnsi="Arial" w:cs="Arial"/>
          <w:b/>
          <w:bCs/>
          <w:kern w:val="36"/>
          <w:lang w:eastAsia="en-GB"/>
        </w:rPr>
      </w:pPr>
      <w:proofErr w:type="spellStart"/>
      <w:r w:rsidRPr="00776C2C">
        <w:rPr>
          <w:rFonts w:ascii="Arial" w:eastAsia="Times New Roman" w:hAnsi="Arial" w:cs="Arial"/>
          <w:b/>
          <w:bCs/>
          <w:kern w:val="36"/>
          <w:lang w:eastAsia="en-GB"/>
        </w:rPr>
        <w:t>HelpDeskFlow</w:t>
      </w:r>
      <w:proofErr w:type="spellEnd"/>
    </w:p>
    <w:p w:rsidR="00776C2C" w:rsidRPr="00776C2C" w:rsidRDefault="00776C2C" w:rsidP="00776C2C">
      <w:pPr>
        <w:spacing w:after="0" w:line="240" w:lineRule="auto"/>
        <w:jc w:val="center"/>
        <w:outlineLvl w:val="0"/>
        <w:rPr>
          <w:rFonts w:ascii="Arial" w:eastAsia="Times New Roman" w:hAnsi="Arial" w:cs="Arial"/>
          <w:b/>
          <w:bCs/>
          <w:kern w:val="36"/>
          <w:lang w:eastAsia="en-GB"/>
        </w:rPr>
      </w:pPr>
      <w:r w:rsidRPr="00776C2C">
        <w:rPr>
          <w:rFonts w:ascii="Arial" w:eastAsia="Times New Roman" w:hAnsi="Arial" w:cs="Arial"/>
          <w:b/>
          <w:bCs/>
          <w:kern w:val="36"/>
          <w:lang w:eastAsia="en-GB"/>
        </w:rPr>
        <w:t>Compliance, Data Protection &amp; GDPR Handling Manual</w:t>
      </w:r>
    </w:p>
    <w:p w:rsidR="00776C2C" w:rsidRDefault="00776C2C" w:rsidP="00776C2C">
      <w:pPr>
        <w:spacing w:before="100" w:beforeAutospacing="1" w:after="100" w:afterAutospacing="1" w:line="240" w:lineRule="auto"/>
        <w:rPr>
          <w:rFonts w:ascii="Arial" w:eastAsia="Times New Roman" w:hAnsi="Arial" w:cs="Arial"/>
          <w:b/>
          <w:bCs/>
          <w:lang w:eastAsia="en-GB"/>
        </w:rPr>
      </w:pPr>
      <w:bookmarkStart w:id="0" w:name="_GoBack"/>
      <w:bookmarkEnd w:id="0"/>
    </w:p>
    <w:p w:rsidR="00776C2C" w:rsidRPr="00776C2C" w:rsidRDefault="00776C2C" w:rsidP="00776C2C">
      <w:p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Document Type:</w:t>
      </w:r>
      <w:r w:rsidRPr="00776C2C">
        <w:rPr>
          <w:rFonts w:ascii="Arial" w:eastAsia="Times New Roman" w:hAnsi="Arial" w:cs="Arial"/>
          <w:lang w:eastAsia="en-GB"/>
        </w:rPr>
        <w:t xml:space="preserve"> Internal</w:t>
      </w:r>
      <w:r w:rsidRPr="00776C2C">
        <w:rPr>
          <w:rFonts w:ascii="Arial" w:eastAsia="Times New Roman" w:hAnsi="Arial" w:cs="Arial"/>
          <w:lang w:eastAsia="en-GB"/>
        </w:rPr>
        <w:br/>
      </w:r>
      <w:r w:rsidRPr="00776C2C">
        <w:rPr>
          <w:rFonts w:ascii="Arial" w:eastAsia="Times New Roman" w:hAnsi="Arial" w:cs="Arial"/>
          <w:b/>
          <w:bCs/>
          <w:lang w:eastAsia="en-GB"/>
        </w:rPr>
        <w:t>Version:</w:t>
      </w:r>
      <w:r w:rsidRPr="00776C2C">
        <w:rPr>
          <w:rFonts w:ascii="Arial" w:eastAsia="Times New Roman" w:hAnsi="Arial" w:cs="Arial"/>
          <w:lang w:eastAsia="en-GB"/>
        </w:rPr>
        <w:t xml:space="preserve"> 4.5</w:t>
      </w:r>
      <w:r w:rsidRPr="00776C2C">
        <w:rPr>
          <w:rFonts w:ascii="Arial" w:eastAsia="Times New Roman" w:hAnsi="Arial" w:cs="Arial"/>
          <w:lang w:eastAsia="en-GB"/>
        </w:rPr>
        <w:br/>
      </w:r>
      <w:r w:rsidRPr="00776C2C">
        <w:rPr>
          <w:rFonts w:ascii="Arial" w:eastAsia="Times New Roman" w:hAnsi="Arial" w:cs="Arial"/>
          <w:b/>
          <w:bCs/>
          <w:lang w:eastAsia="en-GB"/>
        </w:rPr>
        <w:t>Last Updated:</w:t>
      </w:r>
      <w:r w:rsidRPr="00776C2C">
        <w:rPr>
          <w:rFonts w:ascii="Arial" w:eastAsia="Times New Roman" w:hAnsi="Arial" w:cs="Arial"/>
          <w:lang w:eastAsia="en-GB"/>
        </w:rPr>
        <w:t xml:space="preserve"> 26 Jan 2025</w:t>
      </w:r>
      <w:r w:rsidRPr="00776C2C">
        <w:rPr>
          <w:rFonts w:ascii="Arial" w:eastAsia="Times New Roman" w:hAnsi="Arial" w:cs="Arial"/>
          <w:lang w:eastAsia="en-GB"/>
        </w:rPr>
        <w:br/>
      </w:r>
      <w:r w:rsidRPr="00776C2C">
        <w:rPr>
          <w:rFonts w:ascii="Arial" w:eastAsia="Times New Roman" w:hAnsi="Arial" w:cs="Arial"/>
          <w:b/>
          <w:bCs/>
          <w:lang w:eastAsia="en-GB"/>
        </w:rPr>
        <w:t>Owner:</w:t>
      </w:r>
      <w:r w:rsidRPr="00776C2C">
        <w:rPr>
          <w:rFonts w:ascii="Arial" w:eastAsia="Times New Roman" w:hAnsi="Arial" w:cs="Arial"/>
          <w:lang w:eastAsia="en-GB"/>
        </w:rPr>
        <w:t xml:space="preserve"> Legal &amp; Compliance Department</w:t>
      </w:r>
      <w:r w:rsidRPr="00776C2C">
        <w:rPr>
          <w:rFonts w:ascii="Arial" w:eastAsia="Times New Roman" w:hAnsi="Arial" w:cs="Arial"/>
          <w:lang w:eastAsia="en-GB"/>
        </w:rPr>
        <w:br/>
      </w:r>
      <w:r w:rsidRPr="00776C2C">
        <w:rPr>
          <w:rFonts w:ascii="Arial" w:eastAsia="Times New Roman" w:hAnsi="Arial" w:cs="Arial"/>
          <w:b/>
          <w:bCs/>
          <w:lang w:eastAsia="en-GB"/>
        </w:rPr>
        <w:t>Status:</w:t>
      </w:r>
      <w:r w:rsidRPr="00776C2C">
        <w:rPr>
          <w:rFonts w:ascii="Arial" w:eastAsia="Times New Roman" w:hAnsi="Arial" w:cs="Arial"/>
          <w:lang w:eastAsia="en-GB"/>
        </w:rPr>
        <w:t xml:space="preserve"> Restricted – Internal Only**</w:t>
      </w:r>
    </w:p>
    <w:p w:rsidR="00776C2C" w:rsidRPr="00776C2C" w:rsidRDefault="00776C2C" w:rsidP="00776C2C">
      <w:pPr>
        <w:spacing w:before="100" w:beforeAutospacing="1" w:after="100" w:afterAutospacing="1" w:line="240" w:lineRule="auto"/>
        <w:outlineLvl w:val="0"/>
        <w:rPr>
          <w:rFonts w:ascii="Arial" w:eastAsia="Times New Roman" w:hAnsi="Arial" w:cs="Arial"/>
          <w:b/>
          <w:bCs/>
          <w:kern w:val="36"/>
          <w:lang w:eastAsia="en-GB"/>
        </w:rPr>
      </w:pPr>
      <w:r w:rsidRPr="00776C2C">
        <w:rPr>
          <w:rFonts w:ascii="Arial" w:eastAsia="Times New Roman" w:hAnsi="Arial" w:cs="Arial"/>
          <w:b/>
          <w:bCs/>
          <w:kern w:val="36"/>
          <w:lang w:eastAsia="en-GB"/>
        </w:rPr>
        <w:t>1. Introduction</w:t>
      </w:r>
    </w:p>
    <w:p w:rsidR="00776C2C" w:rsidRPr="00776C2C" w:rsidRDefault="00776C2C" w:rsidP="00776C2C">
      <w:p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lang w:eastAsia="en-GB"/>
        </w:rPr>
        <w:t xml:space="preserve">This document outlines </w:t>
      </w:r>
      <w:proofErr w:type="spellStart"/>
      <w:r w:rsidRPr="00776C2C">
        <w:rPr>
          <w:rFonts w:ascii="Arial" w:eastAsia="Times New Roman" w:hAnsi="Arial" w:cs="Arial"/>
          <w:lang w:eastAsia="en-GB"/>
        </w:rPr>
        <w:t>HelpDeskFlow’s</w:t>
      </w:r>
      <w:proofErr w:type="spellEnd"/>
      <w:r w:rsidRPr="00776C2C">
        <w:rPr>
          <w:rFonts w:ascii="Arial" w:eastAsia="Times New Roman" w:hAnsi="Arial" w:cs="Arial"/>
          <w:lang w:eastAsia="en-GB"/>
        </w:rPr>
        <w:t xml:space="preserve"> full data compliance framework, including:</w:t>
      </w:r>
    </w:p>
    <w:p w:rsidR="00776C2C" w:rsidRPr="00776C2C" w:rsidRDefault="00776C2C" w:rsidP="00776C2C">
      <w:pPr>
        <w:numPr>
          <w:ilvl w:val="0"/>
          <w:numId w:val="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lang w:eastAsia="en-GB"/>
        </w:rPr>
        <w:t>GDPR obligations</w:t>
      </w:r>
    </w:p>
    <w:p w:rsidR="00776C2C" w:rsidRPr="00776C2C" w:rsidRDefault="00776C2C" w:rsidP="00776C2C">
      <w:pPr>
        <w:numPr>
          <w:ilvl w:val="0"/>
          <w:numId w:val="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lang w:eastAsia="en-GB"/>
        </w:rPr>
        <w:t>customer data handling rules</w:t>
      </w:r>
    </w:p>
    <w:p w:rsidR="00776C2C" w:rsidRPr="00776C2C" w:rsidRDefault="00776C2C" w:rsidP="00776C2C">
      <w:pPr>
        <w:numPr>
          <w:ilvl w:val="0"/>
          <w:numId w:val="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lang w:eastAsia="en-GB"/>
        </w:rPr>
        <w:t>right-to-access and deletion procedures</w:t>
      </w:r>
    </w:p>
    <w:p w:rsidR="00776C2C" w:rsidRPr="00776C2C" w:rsidRDefault="00776C2C" w:rsidP="00776C2C">
      <w:pPr>
        <w:numPr>
          <w:ilvl w:val="0"/>
          <w:numId w:val="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lang w:eastAsia="en-GB"/>
        </w:rPr>
        <w:t>data retention schedules</w:t>
      </w:r>
    </w:p>
    <w:p w:rsidR="00776C2C" w:rsidRPr="00776C2C" w:rsidRDefault="00776C2C" w:rsidP="00776C2C">
      <w:pPr>
        <w:numPr>
          <w:ilvl w:val="0"/>
          <w:numId w:val="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lang w:eastAsia="en-GB"/>
        </w:rPr>
        <w:t>internal access controls</w:t>
      </w:r>
    </w:p>
    <w:p w:rsidR="00776C2C" w:rsidRPr="00776C2C" w:rsidRDefault="00776C2C" w:rsidP="00776C2C">
      <w:pPr>
        <w:numPr>
          <w:ilvl w:val="0"/>
          <w:numId w:val="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lang w:eastAsia="en-GB"/>
        </w:rPr>
        <w:t>international data transfers</w:t>
      </w:r>
    </w:p>
    <w:p w:rsidR="00776C2C" w:rsidRPr="00776C2C" w:rsidRDefault="00776C2C" w:rsidP="00776C2C">
      <w:pPr>
        <w:numPr>
          <w:ilvl w:val="0"/>
          <w:numId w:val="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lang w:eastAsia="en-GB"/>
        </w:rPr>
        <w:t>breach reporting obligations</w:t>
      </w:r>
    </w:p>
    <w:p w:rsidR="00776C2C" w:rsidRPr="00776C2C" w:rsidRDefault="00776C2C" w:rsidP="00776C2C">
      <w:pPr>
        <w:numPr>
          <w:ilvl w:val="0"/>
          <w:numId w:val="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lang w:eastAsia="en-GB"/>
        </w:rPr>
        <w:t>agent responsibility protocols</w:t>
      </w:r>
    </w:p>
    <w:p w:rsidR="00776C2C" w:rsidRPr="00776C2C" w:rsidRDefault="00776C2C" w:rsidP="00776C2C">
      <w:p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lang w:eastAsia="en-GB"/>
        </w:rPr>
        <w:t>It is designed for agents, managers, and engineers who handle or interact with customer data in any form.</w:t>
      </w:r>
    </w:p>
    <w:p w:rsidR="00776C2C" w:rsidRPr="00776C2C" w:rsidRDefault="00776C2C" w:rsidP="00776C2C">
      <w:p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lang w:eastAsia="en-GB"/>
        </w:rPr>
        <w:t>Every bullet has been expanded into multi-sentence, context-rich explanations to maximise depth for your RAG system.</w:t>
      </w:r>
    </w:p>
    <w:p w:rsidR="00776C2C" w:rsidRPr="00776C2C" w:rsidRDefault="00776C2C" w:rsidP="00776C2C">
      <w:pPr>
        <w:spacing w:before="100" w:beforeAutospacing="1" w:after="100" w:afterAutospacing="1" w:line="240" w:lineRule="auto"/>
        <w:outlineLvl w:val="0"/>
        <w:rPr>
          <w:rFonts w:ascii="Arial" w:eastAsia="Times New Roman" w:hAnsi="Arial" w:cs="Arial"/>
          <w:b/>
          <w:bCs/>
          <w:kern w:val="36"/>
          <w:lang w:eastAsia="en-GB"/>
        </w:rPr>
      </w:pPr>
      <w:r w:rsidRPr="00776C2C">
        <w:rPr>
          <w:rFonts w:ascii="Arial" w:eastAsia="Times New Roman" w:hAnsi="Arial" w:cs="Arial"/>
          <w:b/>
          <w:bCs/>
          <w:kern w:val="36"/>
          <w:lang w:eastAsia="en-GB"/>
        </w:rPr>
        <w:t>2. Data Classification &amp; Sensitivity Levels</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2.1 Data Classification Categories (Deep Explanation)</w:t>
      </w:r>
    </w:p>
    <w:p w:rsidR="00776C2C" w:rsidRPr="00776C2C" w:rsidRDefault="00776C2C" w:rsidP="00776C2C">
      <w:pPr>
        <w:numPr>
          <w:ilvl w:val="0"/>
          <w:numId w:val="2"/>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Public Data</w:t>
      </w:r>
      <w:r w:rsidRPr="00776C2C">
        <w:rPr>
          <w:rFonts w:ascii="Arial" w:eastAsia="Times New Roman" w:hAnsi="Arial" w:cs="Arial"/>
          <w:lang w:eastAsia="en-GB"/>
        </w:rPr>
        <w:t xml:space="preserve"> – This includes information </w:t>
      </w:r>
      <w:proofErr w:type="spellStart"/>
      <w:r w:rsidRPr="00776C2C">
        <w:rPr>
          <w:rFonts w:ascii="Arial" w:eastAsia="Times New Roman" w:hAnsi="Arial" w:cs="Arial"/>
          <w:lang w:eastAsia="en-GB"/>
        </w:rPr>
        <w:t>HelpDeskFlow</w:t>
      </w:r>
      <w:proofErr w:type="spellEnd"/>
      <w:r w:rsidRPr="00776C2C">
        <w:rPr>
          <w:rFonts w:ascii="Arial" w:eastAsia="Times New Roman" w:hAnsi="Arial" w:cs="Arial"/>
          <w:lang w:eastAsia="en-GB"/>
        </w:rPr>
        <w:t xml:space="preserve"> publishes openly, such as pricing pages, product descriptions, and API documentation. Public data poses the least risk if disclosed, but must still be kept correct and up to date, because inaccurate public information can cause compliance issues in regulated jurisdictions.</w:t>
      </w:r>
    </w:p>
    <w:p w:rsidR="00776C2C" w:rsidRPr="00776C2C" w:rsidRDefault="00776C2C" w:rsidP="00776C2C">
      <w:pPr>
        <w:numPr>
          <w:ilvl w:val="0"/>
          <w:numId w:val="2"/>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Internal Operational Data</w:t>
      </w:r>
      <w:r w:rsidRPr="00776C2C">
        <w:rPr>
          <w:rFonts w:ascii="Arial" w:eastAsia="Times New Roman" w:hAnsi="Arial" w:cs="Arial"/>
          <w:lang w:eastAsia="en-GB"/>
        </w:rPr>
        <w:t xml:space="preserve"> – This consists of system logs, internal process documents, staff notes, routing rules, and support workflows. While this data does not contain customer identities, it may reveal internal infrastructure details; therefore, it must not be shared externally to avoid exposing operational vulnerabilities.</w:t>
      </w:r>
    </w:p>
    <w:p w:rsidR="00776C2C" w:rsidRPr="00776C2C" w:rsidRDefault="00776C2C" w:rsidP="00776C2C">
      <w:pPr>
        <w:numPr>
          <w:ilvl w:val="0"/>
          <w:numId w:val="2"/>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Customer Personal Data (CPD)</w:t>
      </w:r>
      <w:r w:rsidRPr="00776C2C">
        <w:rPr>
          <w:rFonts w:ascii="Arial" w:eastAsia="Times New Roman" w:hAnsi="Arial" w:cs="Arial"/>
          <w:lang w:eastAsia="en-GB"/>
        </w:rPr>
        <w:t xml:space="preserve"> – This includes any information that directly or indirectly identifies a customer: names, email addresses, phone numbers, login timestamps, IP addresses, message content, and workspace IDs. This data is protected under GDPR, and all access to it must be logged and justified.</w:t>
      </w:r>
    </w:p>
    <w:p w:rsidR="00776C2C" w:rsidRPr="00776C2C" w:rsidRDefault="00776C2C" w:rsidP="00776C2C">
      <w:pPr>
        <w:numPr>
          <w:ilvl w:val="0"/>
          <w:numId w:val="2"/>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Sensitive Personal Data (SPD)</w:t>
      </w:r>
      <w:r w:rsidRPr="00776C2C">
        <w:rPr>
          <w:rFonts w:ascii="Arial" w:eastAsia="Times New Roman" w:hAnsi="Arial" w:cs="Arial"/>
          <w:lang w:eastAsia="en-GB"/>
        </w:rPr>
        <w:t xml:space="preserve"> – </w:t>
      </w:r>
      <w:proofErr w:type="spellStart"/>
      <w:r w:rsidRPr="00776C2C">
        <w:rPr>
          <w:rFonts w:ascii="Arial" w:eastAsia="Times New Roman" w:hAnsi="Arial" w:cs="Arial"/>
          <w:lang w:eastAsia="en-GB"/>
        </w:rPr>
        <w:t>HelpDeskFlow</w:t>
      </w:r>
      <w:proofErr w:type="spellEnd"/>
      <w:r w:rsidRPr="00776C2C">
        <w:rPr>
          <w:rFonts w:ascii="Arial" w:eastAsia="Times New Roman" w:hAnsi="Arial" w:cs="Arial"/>
          <w:lang w:eastAsia="en-GB"/>
        </w:rPr>
        <w:t xml:space="preserve"> rarely handles sensitive categories (e.g., health or financial data), but any such data that customers include in tickets accidentally must be treated with heightened caution. Agents must avoid duplicating or exporting such content and must redact it where appropriate.</w:t>
      </w:r>
    </w:p>
    <w:p w:rsidR="00776C2C" w:rsidRPr="00776C2C" w:rsidRDefault="00776C2C" w:rsidP="00776C2C">
      <w:pPr>
        <w:spacing w:before="100" w:beforeAutospacing="1" w:after="100" w:afterAutospacing="1" w:line="240" w:lineRule="auto"/>
        <w:outlineLvl w:val="0"/>
        <w:rPr>
          <w:rFonts w:ascii="Arial" w:eastAsia="Times New Roman" w:hAnsi="Arial" w:cs="Arial"/>
          <w:b/>
          <w:bCs/>
          <w:kern w:val="36"/>
          <w:lang w:eastAsia="en-GB"/>
        </w:rPr>
      </w:pPr>
      <w:r w:rsidRPr="00776C2C">
        <w:rPr>
          <w:rFonts w:ascii="Arial" w:eastAsia="Times New Roman" w:hAnsi="Arial" w:cs="Arial"/>
          <w:b/>
          <w:bCs/>
          <w:kern w:val="36"/>
          <w:lang w:eastAsia="en-GB"/>
        </w:rPr>
        <w:t>3. GDPR Roles &amp; Responsibilities</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lastRenderedPageBreak/>
        <w:t xml:space="preserve">3.1 </w:t>
      </w:r>
      <w:proofErr w:type="spellStart"/>
      <w:r w:rsidRPr="00776C2C">
        <w:rPr>
          <w:rFonts w:ascii="Arial" w:eastAsia="Times New Roman" w:hAnsi="Arial" w:cs="Arial"/>
          <w:b/>
          <w:bCs/>
          <w:lang w:eastAsia="en-GB"/>
        </w:rPr>
        <w:t>HelpDeskFlow</w:t>
      </w:r>
      <w:proofErr w:type="spellEnd"/>
      <w:r w:rsidRPr="00776C2C">
        <w:rPr>
          <w:rFonts w:ascii="Arial" w:eastAsia="Times New Roman" w:hAnsi="Arial" w:cs="Arial"/>
          <w:b/>
          <w:bCs/>
          <w:lang w:eastAsia="en-GB"/>
        </w:rPr>
        <w:t xml:space="preserve"> as Data Processor</w:t>
      </w:r>
    </w:p>
    <w:p w:rsidR="00776C2C" w:rsidRPr="00776C2C" w:rsidRDefault="00776C2C" w:rsidP="00776C2C">
      <w:pPr>
        <w:numPr>
          <w:ilvl w:val="0"/>
          <w:numId w:val="3"/>
        </w:numPr>
        <w:spacing w:before="100" w:beforeAutospacing="1" w:after="100" w:afterAutospacing="1" w:line="240" w:lineRule="auto"/>
        <w:rPr>
          <w:rFonts w:ascii="Arial" w:eastAsia="Times New Roman" w:hAnsi="Arial" w:cs="Arial"/>
          <w:lang w:eastAsia="en-GB"/>
        </w:rPr>
      </w:pPr>
      <w:proofErr w:type="spellStart"/>
      <w:r w:rsidRPr="00776C2C">
        <w:rPr>
          <w:rFonts w:ascii="Arial" w:eastAsia="Times New Roman" w:hAnsi="Arial" w:cs="Arial"/>
          <w:b/>
          <w:bCs/>
          <w:lang w:eastAsia="en-GB"/>
        </w:rPr>
        <w:t>HelpDeskFlow</w:t>
      </w:r>
      <w:proofErr w:type="spellEnd"/>
      <w:r w:rsidRPr="00776C2C">
        <w:rPr>
          <w:rFonts w:ascii="Arial" w:eastAsia="Times New Roman" w:hAnsi="Arial" w:cs="Arial"/>
          <w:b/>
          <w:bCs/>
          <w:lang w:eastAsia="en-GB"/>
        </w:rPr>
        <w:t xml:space="preserve"> acts as a “data processor” when a customer uploads personal information into the platform</w:t>
      </w:r>
      <w:r w:rsidRPr="00776C2C">
        <w:rPr>
          <w:rFonts w:ascii="Arial" w:eastAsia="Times New Roman" w:hAnsi="Arial" w:cs="Arial"/>
          <w:lang w:eastAsia="en-GB"/>
        </w:rPr>
        <w:t>, meaning we process data on behalf of the customer (the “controller”). This determines our legal obligations — we follow their instructions, implement security, and never repurpose data.</w:t>
      </w:r>
    </w:p>
    <w:p w:rsidR="00776C2C" w:rsidRPr="00776C2C" w:rsidRDefault="00776C2C" w:rsidP="00776C2C">
      <w:pPr>
        <w:numPr>
          <w:ilvl w:val="0"/>
          <w:numId w:val="3"/>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 xml:space="preserve">As a processor, </w:t>
      </w:r>
      <w:proofErr w:type="spellStart"/>
      <w:r w:rsidRPr="00776C2C">
        <w:rPr>
          <w:rFonts w:ascii="Arial" w:eastAsia="Times New Roman" w:hAnsi="Arial" w:cs="Arial"/>
          <w:b/>
          <w:bCs/>
          <w:lang w:eastAsia="en-GB"/>
        </w:rPr>
        <w:t>HelpDeskFlow</w:t>
      </w:r>
      <w:proofErr w:type="spellEnd"/>
      <w:r w:rsidRPr="00776C2C">
        <w:rPr>
          <w:rFonts w:ascii="Arial" w:eastAsia="Times New Roman" w:hAnsi="Arial" w:cs="Arial"/>
          <w:b/>
          <w:bCs/>
          <w:lang w:eastAsia="en-GB"/>
        </w:rPr>
        <w:t xml:space="preserve"> must ensure that any subcontractors (e.g., cloud hosting providers, email delivery services, file scanning vendors) are also compliant</w:t>
      </w:r>
      <w:r w:rsidRPr="00776C2C">
        <w:rPr>
          <w:rFonts w:ascii="Arial" w:eastAsia="Times New Roman" w:hAnsi="Arial" w:cs="Arial"/>
          <w:lang w:eastAsia="en-GB"/>
        </w:rPr>
        <w:t>, because GDPR requires processors to only engage sub-processors who meet equivalent standards.</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3.2 Customers as Data Controllers</w:t>
      </w:r>
    </w:p>
    <w:p w:rsidR="00776C2C" w:rsidRPr="00776C2C" w:rsidRDefault="00776C2C" w:rsidP="00776C2C">
      <w:pPr>
        <w:numPr>
          <w:ilvl w:val="0"/>
          <w:numId w:val="4"/>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Customers determine which personal data enters the platform</w:t>
      </w:r>
      <w:r w:rsidRPr="00776C2C">
        <w:rPr>
          <w:rFonts w:ascii="Arial" w:eastAsia="Times New Roman" w:hAnsi="Arial" w:cs="Arial"/>
          <w:lang w:eastAsia="en-GB"/>
        </w:rPr>
        <w:t xml:space="preserve">, which means they decide what is collected, stored, and deleted. </w:t>
      </w:r>
      <w:proofErr w:type="spellStart"/>
      <w:r w:rsidRPr="00776C2C">
        <w:rPr>
          <w:rFonts w:ascii="Arial" w:eastAsia="Times New Roman" w:hAnsi="Arial" w:cs="Arial"/>
          <w:lang w:eastAsia="en-GB"/>
        </w:rPr>
        <w:t>HelpDeskFlow</w:t>
      </w:r>
      <w:proofErr w:type="spellEnd"/>
      <w:r w:rsidRPr="00776C2C">
        <w:rPr>
          <w:rFonts w:ascii="Arial" w:eastAsia="Times New Roman" w:hAnsi="Arial" w:cs="Arial"/>
          <w:lang w:eastAsia="en-GB"/>
        </w:rPr>
        <w:t xml:space="preserve"> cannot override these decisions unless they conflict with security or legal obligations.</w:t>
      </w:r>
    </w:p>
    <w:p w:rsidR="00776C2C" w:rsidRPr="00776C2C" w:rsidRDefault="00776C2C" w:rsidP="00776C2C">
      <w:pPr>
        <w:spacing w:before="100" w:beforeAutospacing="1" w:after="100" w:afterAutospacing="1" w:line="240" w:lineRule="auto"/>
        <w:outlineLvl w:val="0"/>
        <w:rPr>
          <w:rFonts w:ascii="Arial" w:eastAsia="Times New Roman" w:hAnsi="Arial" w:cs="Arial"/>
          <w:b/>
          <w:bCs/>
          <w:kern w:val="36"/>
          <w:lang w:eastAsia="en-GB"/>
        </w:rPr>
      </w:pPr>
      <w:r w:rsidRPr="00776C2C">
        <w:rPr>
          <w:rFonts w:ascii="Arial" w:eastAsia="Times New Roman" w:hAnsi="Arial" w:cs="Arial"/>
          <w:b/>
          <w:bCs/>
          <w:kern w:val="36"/>
          <w:lang w:eastAsia="en-GB"/>
        </w:rPr>
        <w:t>4. Access Control &amp; Internal Permissions Framework</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4.1 Role-Based Access Control (RBAC)</w:t>
      </w:r>
    </w:p>
    <w:p w:rsidR="00776C2C" w:rsidRPr="00776C2C" w:rsidRDefault="00776C2C" w:rsidP="00776C2C">
      <w:pPr>
        <w:numPr>
          <w:ilvl w:val="0"/>
          <w:numId w:val="5"/>
        </w:numPr>
        <w:spacing w:before="100" w:beforeAutospacing="1" w:after="100" w:afterAutospacing="1" w:line="240" w:lineRule="auto"/>
        <w:rPr>
          <w:rFonts w:ascii="Arial" w:eastAsia="Times New Roman" w:hAnsi="Arial" w:cs="Arial"/>
          <w:lang w:eastAsia="en-GB"/>
        </w:rPr>
      </w:pPr>
      <w:proofErr w:type="spellStart"/>
      <w:r w:rsidRPr="00776C2C">
        <w:rPr>
          <w:rFonts w:ascii="Arial" w:eastAsia="Times New Roman" w:hAnsi="Arial" w:cs="Arial"/>
          <w:b/>
          <w:bCs/>
          <w:lang w:eastAsia="en-GB"/>
        </w:rPr>
        <w:t>HelpDeskFlow</w:t>
      </w:r>
      <w:proofErr w:type="spellEnd"/>
      <w:r w:rsidRPr="00776C2C">
        <w:rPr>
          <w:rFonts w:ascii="Arial" w:eastAsia="Times New Roman" w:hAnsi="Arial" w:cs="Arial"/>
          <w:b/>
          <w:bCs/>
          <w:lang w:eastAsia="en-GB"/>
        </w:rPr>
        <w:t xml:space="preserve"> enforces strict RBAC, meaning employees only access the minimum amount of data needed for their job</w:t>
      </w:r>
      <w:r w:rsidRPr="00776C2C">
        <w:rPr>
          <w:rFonts w:ascii="Arial" w:eastAsia="Times New Roman" w:hAnsi="Arial" w:cs="Arial"/>
          <w:lang w:eastAsia="en-GB"/>
        </w:rPr>
        <w:t>, following the “principle of least privilege.” This ensures junior agents cannot view sensitive engineering logs, and engineers cannot view random customer tickets without a documented reason.</w:t>
      </w:r>
    </w:p>
    <w:p w:rsidR="00776C2C" w:rsidRPr="00776C2C" w:rsidRDefault="00776C2C" w:rsidP="00776C2C">
      <w:pPr>
        <w:numPr>
          <w:ilvl w:val="0"/>
          <w:numId w:val="5"/>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Permission escalation requests must be approved by both the Support Lead and Compliance Lead</w:t>
      </w:r>
      <w:r w:rsidRPr="00776C2C">
        <w:rPr>
          <w:rFonts w:ascii="Arial" w:eastAsia="Times New Roman" w:hAnsi="Arial" w:cs="Arial"/>
          <w:lang w:eastAsia="en-GB"/>
        </w:rPr>
        <w:t>, and all escalations expire after 48 hours, requiring re-approval if needed again. This prevents long-term privilege creep.</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4.2 Data Access Logging</w:t>
      </w:r>
    </w:p>
    <w:p w:rsidR="00776C2C" w:rsidRPr="00776C2C" w:rsidRDefault="00776C2C" w:rsidP="00776C2C">
      <w:pPr>
        <w:numPr>
          <w:ilvl w:val="0"/>
          <w:numId w:val="6"/>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Every time an employee views a ticket or customer profile, a log entry is created</w:t>
      </w:r>
      <w:r w:rsidRPr="00776C2C">
        <w:rPr>
          <w:rFonts w:ascii="Arial" w:eastAsia="Times New Roman" w:hAnsi="Arial" w:cs="Arial"/>
          <w:lang w:eastAsia="en-GB"/>
        </w:rPr>
        <w:t>, including employee ID, timestamp, IP address, and the specific resource accessed. These logs are reviewed monthly to detect unusual patterns of access.</w:t>
      </w:r>
    </w:p>
    <w:p w:rsidR="00776C2C" w:rsidRPr="00776C2C" w:rsidRDefault="00776C2C" w:rsidP="00776C2C">
      <w:pPr>
        <w:numPr>
          <w:ilvl w:val="0"/>
          <w:numId w:val="6"/>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Unusual access patterns (e.g., large batches of unrelated customer profiles) trigger automatic alerts</w:t>
      </w:r>
      <w:r w:rsidRPr="00776C2C">
        <w:rPr>
          <w:rFonts w:ascii="Arial" w:eastAsia="Times New Roman" w:hAnsi="Arial" w:cs="Arial"/>
          <w:lang w:eastAsia="en-GB"/>
        </w:rPr>
        <w:t>, and the Compliance team must investigate within 24 hours. This prevents data harvesting and insider threat scenarios.</w:t>
      </w:r>
    </w:p>
    <w:p w:rsidR="00776C2C" w:rsidRPr="00776C2C" w:rsidRDefault="00776C2C" w:rsidP="00776C2C">
      <w:pPr>
        <w:spacing w:before="100" w:beforeAutospacing="1" w:after="100" w:afterAutospacing="1" w:line="240" w:lineRule="auto"/>
        <w:outlineLvl w:val="0"/>
        <w:rPr>
          <w:rFonts w:ascii="Arial" w:eastAsia="Times New Roman" w:hAnsi="Arial" w:cs="Arial"/>
          <w:b/>
          <w:bCs/>
          <w:kern w:val="36"/>
          <w:lang w:eastAsia="en-GB"/>
        </w:rPr>
      </w:pPr>
      <w:r w:rsidRPr="00776C2C">
        <w:rPr>
          <w:rFonts w:ascii="Arial" w:eastAsia="Times New Roman" w:hAnsi="Arial" w:cs="Arial"/>
          <w:b/>
          <w:bCs/>
          <w:kern w:val="36"/>
          <w:lang w:eastAsia="en-GB"/>
        </w:rPr>
        <w:t>5. Customer Data Requests (DSAR) – Right of Access</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5.1 How Agents Handle DSAR Requests</w:t>
      </w:r>
    </w:p>
    <w:p w:rsidR="00776C2C" w:rsidRPr="00776C2C" w:rsidRDefault="00776C2C" w:rsidP="00776C2C">
      <w:pPr>
        <w:numPr>
          <w:ilvl w:val="0"/>
          <w:numId w:val="7"/>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When a customer requests all data about them, agents must collect ticket history, message content, attachments, logs, and metadata</w:t>
      </w:r>
      <w:r w:rsidRPr="00776C2C">
        <w:rPr>
          <w:rFonts w:ascii="Arial" w:eastAsia="Times New Roman" w:hAnsi="Arial" w:cs="Arial"/>
          <w:lang w:eastAsia="en-GB"/>
        </w:rPr>
        <w:t>, ensuring no customer-related data is omitted. DSARs must be completed within 30 days by law.</w:t>
      </w:r>
    </w:p>
    <w:p w:rsidR="00776C2C" w:rsidRPr="00776C2C" w:rsidRDefault="00776C2C" w:rsidP="00776C2C">
      <w:pPr>
        <w:numPr>
          <w:ilvl w:val="0"/>
          <w:numId w:val="7"/>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Agents must not provide internal notes, internal staff messages, or system-level data</w:t>
      </w:r>
      <w:r w:rsidRPr="00776C2C">
        <w:rPr>
          <w:rFonts w:ascii="Arial" w:eastAsia="Times New Roman" w:hAnsi="Arial" w:cs="Arial"/>
          <w:lang w:eastAsia="en-GB"/>
        </w:rPr>
        <w:t>, because GDPR only grants access to data directly related to the customer, not internal operational details.</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5.2 Verification Before Processing DSAR</w:t>
      </w:r>
    </w:p>
    <w:p w:rsidR="00776C2C" w:rsidRPr="00776C2C" w:rsidRDefault="00776C2C" w:rsidP="00776C2C">
      <w:pPr>
        <w:numPr>
          <w:ilvl w:val="0"/>
          <w:numId w:val="8"/>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lastRenderedPageBreak/>
        <w:t>Agents must verify identity via email confirmation or two-factor method</w:t>
      </w:r>
      <w:r w:rsidRPr="00776C2C">
        <w:rPr>
          <w:rFonts w:ascii="Arial" w:eastAsia="Times New Roman" w:hAnsi="Arial" w:cs="Arial"/>
          <w:lang w:eastAsia="en-GB"/>
        </w:rPr>
        <w:t>, ensuring the requester truly owns the account. DSAR responses must not be sent to unverified addresses to avoid privacy violations.</w:t>
      </w:r>
    </w:p>
    <w:p w:rsidR="00776C2C" w:rsidRPr="00776C2C" w:rsidRDefault="00776C2C" w:rsidP="00776C2C">
      <w:pPr>
        <w:spacing w:before="100" w:beforeAutospacing="1" w:after="100" w:afterAutospacing="1" w:line="240" w:lineRule="auto"/>
        <w:outlineLvl w:val="0"/>
        <w:rPr>
          <w:rFonts w:ascii="Arial" w:eastAsia="Times New Roman" w:hAnsi="Arial" w:cs="Arial"/>
          <w:b/>
          <w:bCs/>
          <w:kern w:val="36"/>
          <w:lang w:eastAsia="en-GB"/>
        </w:rPr>
      </w:pPr>
      <w:r w:rsidRPr="00776C2C">
        <w:rPr>
          <w:rFonts w:ascii="Arial" w:eastAsia="Times New Roman" w:hAnsi="Arial" w:cs="Arial"/>
          <w:b/>
          <w:bCs/>
          <w:kern w:val="36"/>
          <w:lang w:eastAsia="en-GB"/>
        </w:rPr>
        <w:t>6. Data Deletion Requests (“Right to be Forgotten”)</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6.1 Deletion Workflow</w:t>
      </w:r>
    </w:p>
    <w:p w:rsidR="00776C2C" w:rsidRPr="00776C2C" w:rsidRDefault="00776C2C" w:rsidP="00776C2C">
      <w:pPr>
        <w:numPr>
          <w:ilvl w:val="0"/>
          <w:numId w:val="9"/>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 xml:space="preserve">When a customer requests deletion, </w:t>
      </w:r>
      <w:proofErr w:type="spellStart"/>
      <w:r w:rsidRPr="00776C2C">
        <w:rPr>
          <w:rFonts w:ascii="Arial" w:eastAsia="Times New Roman" w:hAnsi="Arial" w:cs="Arial"/>
          <w:b/>
          <w:bCs/>
          <w:lang w:eastAsia="en-GB"/>
        </w:rPr>
        <w:t>HelpDeskFlow</w:t>
      </w:r>
      <w:proofErr w:type="spellEnd"/>
      <w:r w:rsidRPr="00776C2C">
        <w:rPr>
          <w:rFonts w:ascii="Arial" w:eastAsia="Times New Roman" w:hAnsi="Arial" w:cs="Arial"/>
          <w:b/>
          <w:bCs/>
          <w:lang w:eastAsia="en-GB"/>
        </w:rPr>
        <w:t xml:space="preserve"> must erase all personal data including profile information, ticket history, attachments, and timestamps</w:t>
      </w:r>
      <w:r w:rsidRPr="00776C2C">
        <w:rPr>
          <w:rFonts w:ascii="Arial" w:eastAsia="Times New Roman" w:hAnsi="Arial" w:cs="Arial"/>
          <w:lang w:eastAsia="en-GB"/>
        </w:rPr>
        <w:t>, unless legal or financial obligations require retention (e.g., tax invoices).</w:t>
      </w:r>
    </w:p>
    <w:p w:rsidR="00776C2C" w:rsidRPr="00776C2C" w:rsidRDefault="00776C2C" w:rsidP="00776C2C">
      <w:pPr>
        <w:numPr>
          <w:ilvl w:val="0"/>
          <w:numId w:val="9"/>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Before deletion, agents must confirm whether the customer wants the entire workspace deleted or only their individual profile</w:t>
      </w:r>
      <w:r w:rsidRPr="00776C2C">
        <w:rPr>
          <w:rFonts w:ascii="Arial" w:eastAsia="Times New Roman" w:hAnsi="Arial" w:cs="Arial"/>
          <w:lang w:eastAsia="en-GB"/>
        </w:rPr>
        <w:t>, because deleting a workspace removes multiple users.</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6.2 Permanent Deletion Timeline</w:t>
      </w:r>
    </w:p>
    <w:p w:rsidR="00776C2C" w:rsidRPr="00776C2C" w:rsidRDefault="00776C2C" w:rsidP="00776C2C">
      <w:pPr>
        <w:numPr>
          <w:ilvl w:val="0"/>
          <w:numId w:val="10"/>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Data moves into a “pending deletion” state for 14 days</w:t>
      </w:r>
      <w:r w:rsidRPr="00776C2C">
        <w:rPr>
          <w:rFonts w:ascii="Arial" w:eastAsia="Times New Roman" w:hAnsi="Arial" w:cs="Arial"/>
          <w:lang w:eastAsia="en-GB"/>
        </w:rPr>
        <w:t>, during which recovery is possible if the customer rescinds the request.</w:t>
      </w:r>
    </w:p>
    <w:p w:rsidR="00776C2C" w:rsidRPr="00776C2C" w:rsidRDefault="00776C2C" w:rsidP="00776C2C">
      <w:pPr>
        <w:numPr>
          <w:ilvl w:val="0"/>
          <w:numId w:val="10"/>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After 14 days, data deletion becomes irreversible</w:t>
      </w:r>
      <w:r w:rsidRPr="00776C2C">
        <w:rPr>
          <w:rFonts w:ascii="Arial" w:eastAsia="Times New Roman" w:hAnsi="Arial" w:cs="Arial"/>
          <w:lang w:eastAsia="en-GB"/>
        </w:rPr>
        <w:t>, and the platform overwrites the files and clears indexes from the search infrastructure.</w:t>
      </w:r>
    </w:p>
    <w:p w:rsidR="00776C2C" w:rsidRPr="00776C2C" w:rsidRDefault="00776C2C" w:rsidP="00776C2C">
      <w:pPr>
        <w:spacing w:before="100" w:beforeAutospacing="1" w:after="100" w:afterAutospacing="1" w:line="240" w:lineRule="auto"/>
        <w:outlineLvl w:val="0"/>
        <w:rPr>
          <w:rFonts w:ascii="Arial" w:eastAsia="Times New Roman" w:hAnsi="Arial" w:cs="Arial"/>
          <w:b/>
          <w:bCs/>
          <w:kern w:val="36"/>
          <w:lang w:eastAsia="en-GB"/>
        </w:rPr>
      </w:pPr>
      <w:r w:rsidRPr="00776C2C">
        <w:rPr>
          <w:rFonts w:ascii="Arial" w:eastAsia="Times New Roman" w:hAnsi="Arial" w:cs="Arial"/>
          <w:b/>
          <w:bCs/>
          <w:kern w:val="36"/>
          <w:lang w:eastAsia="en-GB"/>
        </w:rPr>
        <w:t>7. Data Retention &amp; Storage Policies</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7.1 Ticket Retention Rules</w:t>
      </w:r>
    </w:p>
    <w:p w:rsidR="00776C2C" w:rsidRPr="00776C2C" w:rsidRDefault="00776C2C" w:rsidP="00776C2C">
      <w:pPr>
        <w:numPr>
          <w:ilvl w:val="0"/>
          <w:numId w:val="1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Tickets are stored for 12 months on the Basic plan and 24 months on Pro, unless the customer manually deletes them</w:t>
      </w:r>
      <w:r w:rsidRPr="00776C2C">
        <w:rPr>
          <w:rFonts w:ascii="Arial" w:eastAsia="Times New Roman" w:hAnsi="Arial" w:cs="Arial"/>
          <w:lang w:eastAsia="en-GB"/>
        </w:rPr>
        <w:t>, allowing businesses to manage storage volumes. Tickets older than the retention period are archived and removed from primary storage.</w:t>
      </w:r>
    </w:p>
    <w:p w:rsidR="00776C2C" w:rsidRPr="00776C2C" w:rsidRDefault="00776C2C" w:rsidP="00776C2C">
      <w:pPr>
        <w:numPr>
          <w:ilvl w:val="0"/>
          <w:numId w:val="1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Attachment files are held for 180 days</w:t>
      </w:r>
      <w:r w:rsidRPr="00776C2C">
        <w:rPr>
          <w:rFonts w:ascii="Arial" w:eastAsia="Times New Roman" w:hAnsi="Arial" w:cs="Arial"/>
          <w:lang w:eastAsia="en-GB"/>
        </w:rPr>
        <w:t>, because attachments increase storage requirements significantly and seldom need long-term retention.</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7.2 Log Retention</w:t>
      </w:r>
    </w:p>
    <w:p w:rsidR="00776C2C" w:rsidRPr="00776C2C" w:rsidRDefault="00776C2C" w:rsidP="00776C2C">
      <w:pPr>
        <w:numPr>
          <w:ilvl w:val="0"/>
          <w:numId w:val="12"/>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System logs are kept for 90 days</w:t>
      </w:r>
      <w:r w:rsidRPr="00776C2C">
        <w:rPr>
          <w:rFonts w:ascii="Arial" w:eastAsia="Times New Roman" w:hAnsi="Arial" w:cs="Arial"/>
          <w:lang w:eastAsia="en-GB"/>
        </w:rPr>
        <w:t>, because they contain sensitive operational data and are prone to misuse if retained indefinitely. These logs include request metadata, API calls, and agent interactions, but exclude message bodies.</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7.3 Billing Records</w:t>
      </w:r>
    </w:p>
    <w:p w:rsidR="00776C2C" w:rsidRPr="00776C2C" w:rsidRDefault="00776C2C" w:rsidP="00776C2C">
      <w:pPr>
        <w:numPr>
          <w:ilvl w:val="0"/>
          <w:numId w:val="13"/>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Billing and invoice data are retained for 7 years</w:t>
      </w:r>
      <w:r w:rsidRPr="00776C2C">
        <w:rPr>
          <w:rFonts w:ascii="Arial" w:eastAsia="Times New Roman" w:hAnsi="Arial" w:cs="Arial"/>
          <w:lang w:eastAsia="en-GB"/>
        </w:rPr>
        <w:t>, due to tax and regulatory requirements. These records are stored separately from operational systems to comply with financial audit standards.</w:t>
      </w:r>
    </w:p>
    <w:p w:rsidR="00776C2C" w:rsidRPr="00776C2C" w:rsidRDefault="00776C2C" w:rsidP="00776C2C">
      <w:pPr>
        <w:spacing w:before="100" w:beforeAutospacing="1" w:after="100" w:afterAutospacing="1" w:line="240" w:lineRule="auto"/>
        <w:outlineLvl w:val="0"/>
        <w:rPr>
          <w:rFonts w:ascii="Arial" w:eastAsia="Times New Roman" w:hAnsi="Arial" w:cs="Arial"/>
          <w:b/>
          <w:bCs/>
          <w:kern w:val="36"/>
          <w:lang w:eastAsia="en-GB"/>
        </w:rPr>
      </w:pPr>
      <w:r w:rsidRPr="00776C2C">
        <w:rPr>
          <w:rFonts w:ascii="Arial" w:eastAsia="Times New Roman" w:hAnsi="Arial" w:cs="Arial"/>
          <w:b/>
          <w:bCs/>
          <w:kern w:val="36"/>
          <w:lang w:eastAsia="en-GB"/>
        </w:rPr>
        <w:t>8. Data Security &amp; Encryption</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8.1 Encryption in Transit</w:t>
      </w:r>
    </w:p>
    <w:p w:rsidR="00776C2C" w:rsidRPr="00776C2C" w:rsidRDefault="00776C2C" w:rsidP="00776C2C">
      <w:pPr>
        <w:numPr>
          <w:ilvl w:val="0"/>
          <w:numId w:val="14"/>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All API and dashboard connections occur over HTTPS using TLS 1.2 or later</w:t>
      </w:r>
      <w:r w:rsidRPr="00776C2C">
        <w:rPr>
          <w:rFonts w:ascii="Arial" w:eastAsia="Times New Roman" w:hAnsi="Arial" w:cs="Arial"/>
          <w:lang w:eastAsia="en-GB"/>
        </w:rPr>
        <w:t>, preventing eavesdropping and tampering. Any requests made over HTTP are automatically redirected to HTTPS.</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lastRenderedPageBreak/>
        <w:t>8.2 Encryption at Rest</w:t>
      </w:r>
    </w:p>
    <w:p w:rsidR="00776C2C" w:rsidRPr="00776C2C" w:rsidRDefault="00776C2C" w:rsidP="00776C2C">
      <w:pPr>
        <w:numPr>
          <w:ilvl w:val="0"/>
          <w:numId w:val="15"/>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Customer data, including messages, attachments, and metadata, is stored using AES-256 encryption at rest</w:t>
      </w:r>
      <w:r w:rsidRPr="00776C2C">
        <w:rPr>
          <w:rFonts w:ascii="Arial" w:eastAsia="Times New Roman" w:hAnsi="Arial" w:cs="Arial"/>
          <w:lang w:eastAsia="en-GB"/>
        </w:rPr>
        <w:t>, meaning even if physical disks were compromised, the data would not be readable without the encryption keys.</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8.3 Key Management</w:t>
      </w:r>
    </w:p>
    <w:p w:rsidR="00776C2C" w:rsidRPr="00776C2C" w:rsidRDefault="00776C2C" w:rsidP="00776C2C">
      <w:pPr>
        <w:numPr>
          <w:ilvl w:val="0"/>
          <w:numId w:val="16"/>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Encryption keys are stored in a Hardware Security Module (HSM)</w:t>
      </w:r>
      <w:r w:rsidRPr="00776C2C">
        <w:rPr>
          <w:rFonts w:ascii="Arial" w:eastAsia="Times New Roman" w:hAnsi="Arial" w:cs="Arial"/>
          <w:lang w:eastAsia="en-GB"/>
        </w:rPr>
        <w:t xml:space="preserve"> and rotated automatically every 90 days. No engineer or employee has direct access to these keys, eliminating manual handling risks.</w:t>
      </w:r>
    </w:p>
    <w:p w:rsidR="00776C2C" w:rsidRPr="00776C2C" w:rsidRDefault="00776C2C" w:rsidP="00776C2C">
      <w:pPr>
        <w:spacing w:before="100" w:beforeAutospacing="1" w:after="100" w:afterAutospacing="1" w:line="240" w:lineRule="auto"/>
        <w:outlineLvl w:val="0"/>
        <w:rPr>
          <w:rFonts w:ascii="Arial" w:eastAsia="Times New Roman" w:hAnsi="Arial" w:cs="Arial"/>
          <w:b/>
          <w:bCs/>
          <w:kern w:val="36"/>
          <w:lang w:eastAsia="en-GB"/>
        </w:rPr>
      </w:pPr>
      <w:r w:rsidRPr="00776C2C">
        <w:rPr>
          <w:rFonts w:ascii="Arial" w:eastAsia="Times New Roman" w:hAnsi="Arial" w:cs="Arial"/>
          <w:b/>
          <w:bCs/>
          <w:kern w:val="36"/>
          <w:lang w:eastAsia="en-GB"/>
        </w:rPr>
        <w:t>9. International Data Transfers</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9.1 Regional Storage Rules</w:t>
      </w:r>
    </w:p>
    <w:p w:rsidR="00776C2C" w:rsidRPr="00776C2C" w:rsidRDefault="00776C2C" w:rsidP="00776C2C">
      <w:pPr>
        <w:numPr>
          <w:ilvl w:val="0"/>
          <w:numId w:val="17"/>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EU customers’ data is stored exclusively in the EU data region (Ireland)</w:t>
      </w:r>
      <w:r w:rsidRPr="00776C2C">
        <w:rPr>
          <w:rFonts w:ascii="Arial" w:eastAsia="Times New Roman" w:hAnsi="Arial" w:cs="Arial"/>
          <w:lang w:eastAsia="en-GB"/>
        </w:rPr>
        <w:t xml:space="preserve"> unless they explicitly request a different region. This complies with GDPR geographic rules and prevents unlawful data transfer.</w:t>
      </w:r>
    </w:p>
    <w:p w:rsidR="00776C2C" w:rsidRPr="00776C2C" w:rsidRDefault="00776C2C" w:rsidP="00776C2C">
      <w:pPr>
        <w:numPr>
          <w:ilvl w:val="0"/>
          <w:numId w:val="17"/>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Enterprise customers can request custom storage regions</w:t>
      </w:r>
      <w:r w:rsidRPr="00776C2C">
        <w:rPr>
          <w:rFonts w:ascii="Arial" w:eastAsia="Times New Roman" w:hAnsi="Arial" w:cs="Arial"/>
          <w:lang w:eastAsia="en-GB"/>
        </w:rPr>
        <w:t>, but this may affect latency and routing reliability.</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9.2 Standard Contractual Clauses (SCC)</w:t>
      </w:r>
    </w:p>
    <w:p w:rsidR="00776C2C" w:rsidRPr="00776C2C" w:rsidRDefault="00776C2C" w:rsidP="00776C2C">
      <w:pPr>
        <w:numPr>
          <w:ilvl w:val="0"/>
          <w:numId w:val="18"/>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 xml:space="preserve">When data is transferred outside the EU, </w:t>
      </w:r>
      <w:proofErr w:type="spellStart"/>
      <w:r w:rsidRPr="00776C2C">
        <w:rPr>
          <w:rFonts w:ascii="Arial" w:eastAsia="Times New Roman" w:hAnsi="Arial" w:cs="Arial"/>
          <w:b/>
          <w:bCs/>
          <w:lang w:eastAsia="en-GB"/>
        </w:rPr>
        <w:t>HelpDeskFlow</w:t>
      </w:r>
      <w:proofErr w:type="spellEnd"/>
      <w:r w:rsidRPr="00776C2C">
        <w:rPr>
          <w:rFonts w:ascii="Arial" w:eastAsia="Times New Roman" w:hAnsi="Arial" w:cs="Arial"/>
          <w:b/>
          <w:bCs/>
          <w:lang w:eastAsia="en-GB"/>
        </w:rPr>
        <w:t xml:space="preserve"> uses Standard Contractual Clauses</w:t>
      </w:r>
      <w:r w:rsidRPr="00776C2C">
        <w:rPr>
          <w:rFonts w:ascii="Arial" w:eastAsia="Times New Roman" w:hAnsi="Arial" w:cs="Arial"/>
          <w:lang w:eastAsia="en-GB"/>
        </w:rPr>
        <w:t>, ensuring legal protections equivalent to GDPR even in non-EU jurisdictions.</w:t>
      </w:r>
    </w:p>
    <w:p w:rsidR="00776C2C" w:rsidRPr="00776C2C" w:rsidRDefault="00776C2C" w:rsidP="00776C2C">
      <w:pPr>
        <w:spacing w:before="100" w:beforeAutospacing="1" w:after="100" w:afterAutospacing="1" w:line="240" w:lineRule="auto"/>
        <w:outlineLvl w:val="0"/>
        <w:rPr>
          <w:rFonts w:ascii="Arial" w:eastAsia="Times New Roman" w:hAnsi="Arial" w:cs="Arial"/>
          <w:b/>
          <w:bCs/>
          <w:kern w:val="36"/>
          <w:lang w:eastAsia="en-GB"/>
        </w:rPr>
      </w:pPr>
      <w:r w:rsidRPr="00776C2C">
        <w:rPr>
          <w:rFonts w:ascii="Arial" w:eastAsia="Times New Roman" w:hAnsi="Arial" w:cs="Arial"/>
          <w:b/>
          <w:bCs/>
          <w:kern w:val="36"/>
          <w:lang w:eastAsia="en-GB"/>
        </w:rPr>
        <w:t>10. Data Breach Reporting &amp; Response Plan</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10.1 Internal Breach Response Steps</w:t>
      </w:r>
    </w:p>
    <w:p w:rsidR="00776C2C" w:rsidRPr="00776C2C" w:rsidRDefault="00776C2C" w:rsidP="00776C2C">
      <w:pPr>
        <w:numPr>
          <w:ilvl w:val="0"/>
          <w:numId w:val="19"/>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Any employee who suspects a breach must notify the Security Officer immediately</w:t>
      </w:r>
      <w:r w:rsidRPr="00776C2C">
        <w:rPr>
          <w:rFonts w:ascii="Arial" w:eastAsia="Times New Roman" w:hAnsi="Arial" w:cs="Arial"/>
          <w:lang w:eastAsia="en-GB"/>
        </w:rPr>
        <w:t>, even if they are unsure. Compliance must investigate within 4 hours to determine severity.</w:t>
      </w:r>
    </w:p>
    <w:p w:rsidR="00776C2C" w:rsidRPr="00776C2C" w:rsidRDefault="00776C2C" w:rsidP="00776C2C">
      <w:pPr>
        <w:numPr>
          <w:ilvl w:val="0"/>
          <w:numId w:val="19"/>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Engineering must gather logs, isolate affected systems, and identify impacted accounts</w:t>
      </w:r>
      <w:r w:rsidRPr="00776C2C">
        <w:rPr>
          <w:rFonts w:ascii="Arial" w:eastAsia="Times New Roman" w:hAnsi="Arial" w:cs="Arial"/>
          <w:lang w:eastAsia="en-GB"/>
        </w:rPr>
        <w:t>, ensuring the breach does not propagate further.</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10.2 External Notification Requirements</w:t>
      </w:r>
    </w:p>
    <w:p w:rsidR="00776C2C" w:rsidRPr="00776C2C" w:rsidRDefault="00776C2C" w:rsidP="00776C2C">
      <w:pPr>
        <w:numPr>
          <w:ilvl w:val="0"/>
          <w:numId w:val="20"/>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 xml:space="preserve">If a breach involves personal data, </w:t>
      </w:r>
      <w:proofErr w:type="spellStart"/>
      <w:r w:rsidRPr="00776C2C">
        <w:rPr>
          <w:rFonts w:ascii="Arial" w:eastAsia="Times New Roman" w:hAnsi="Arial" w:cs="Arial"/>
          <w:b/>
          <w:bCs/>
          <w:lang w:eastAsia="en-GB"/>
        </w:rPr>
        <w:t>HelpDeskFlow</w:t>
      </w:r>
      <w:proofErr w:type="spellEnd"/>
      <w:r w:rsidRPr="00776C2C">
        <w:rPr>
          <w:rFonts w:ascii="Arial" w:eastAsia="Times New Roman" w:hAnsi="Arial" w:cs="Arial"/>
          <w:b/>
          <w:bCs/>
          <w:lang w:eastAsia="en-GB"/>
        </w:rPr>
        <w:t xml:space="preserve"> must notify the affected customer (data controller) within 72 hours</w:t>
      </w:r>
      <w:r w:rsidRPr="00776C2C">
        <w:rPr>
          <w:rFonts w:ascii="Arial" w:eastAsia="Times New Roman" w:hAnsi="Arial" w:cs="Arial"/>
          <w:lang w:eastAsia="en-GB"/>
        </w:rPr>
        <w:t>, as required by GDPR. Notifications must include nature, scope, and recommended mitigation steps.</w:t>
      </w:r>
    </w:p>
    <w:p w:rsidR="00776C2C" w:rsidRPr="00776C2C" w:rsidRDefault="00776C2C" w:rsidP="00776C2C">
      <w:pPr>
        <w:numPr>
          <w:ilvl w:val="0"/>
          <w:numId w:val="20"/>
        </w:numPr>
        <w:spacing w:before="100" w:beforeAutospacing="1" w:after="100" w:afterAutospacing="1" w:line="240" w:lineRule="auto"/>
        <w:rPr>
          <w:rFonts w:ascii="Arial" w:eastAsia="Times New Roman" w:hAnsi="Arial" w:cs="Arial"/>
          <w:lang w:eastAsia="en-GB"/>
        </w:rPr>
      </w:pPr>
      <w:proofErr w:type="spellStart"/>
      <w:r w:rsidRPr="00776C2C">
        <w:rPr>
          <w:rFonts w:ascii="Arial" w:eastAsia="Times New Roman" w:hAnsi="Arial" w:cs="Arial"/>
          <w:b/>
          <w:bCs/>
          <w:lang w:eastAsia="en-GB"/>
        </w:rPr>
        <w:t>HelpDeskFlow</w:t>
      </w:r>
      <w:proofErr w:type="spellEnd"/>
      <w:r w:rsidRPr="00776C2C">
        <w:rPr>
          <w:rFonts w:ascii="Arial" w:eastAsia="Times New Roman" w:hAnsi="Arial" w:cs="Arial"/>
          <w:b/>
          <w:bCs/>
          <w:lang w:eastAsia="en-GB"/>
        </w:rPr>
        <w:t xml:space="preserve"> must never contact the end users directly</w:t>
      </w:r>
      <w:r w:rsidRPr="00776C2C">
        <w:rPr>
          <w:rFonts w:ascii="Arial" w:eastAsia="Times New Roman" w:hAnsi="Arial" w:cs="Arial"/>
          <w:lang w:eastAsia="en-GB"/>
        </w:rPr>
        <w:t>, because our contractual relationship is with the controller, not their customers.</w:t>
      </w:r>
    </w:p>
    <w:p w:rsidR="00776C2C" w:rsidRPr="00776C2C" w:rsidRDefault="00776C2C" w:rsidP="00776C2C">
      <w:pPr>
        <w:spacing w:before="100" w:beforeAutospacing="1" w:after="100" w:afterAutospacing="1" w:line="240" w:lineRule="auto"/>
        <w:outlineLvl w:val="0"/>
        <w:rPr>
          <w:rFonts w:ascii="Arial" w:eastAsia="Times New Roman" w:hAnsi="Arial" w:cs="Arial"/>
          <w:b/>
          <w:bCs/>
          <w:kern w:val="36"/>
          <w:lang w:eastAsia="en-GB"/>
        </w:rPr>
      </w:pPr>
      <w:r w:rsidRPr="00776C2C">
        <w:rPr>
          <w:rFonts w:ascii="Arial" w:eastAsia="Times New Roman" w:hAnsi="Arial" w:cs="Arial"/>
          <w:b/>
          <w:bCs/>
          <w:kern w:val="36"/>
          <w:lang w:eastAsia="en-GB"/>
        </w:rPr>
        <w:t>11. Forbidden Agent Actions</w:t>
      </w:r>
    </w:p>
    <w:p w:rsidR="00776C2C" w:rsidRPr="00776C2C" w:rsidRDefault="00776C2C" w:rsidP="00776C2C">
      <w:pPr>
        <w:spacing w:before="100" w:beforeAutospacing="1" w:after="100" w:afterAutospacing="1" w:line="240" w:lineRule="auto"/>
        <w:outlineLvl w:val="1"/>
        <w:rPr>
          <w:rFonts w:ascii="Arial" w:eastAsia="Times New Roman" w:hAnsi="Arial" w:cs="Arial"/>
          <w:b/>
          <w:bCs/>
          <w:lang w:eastAsia="en-GB"/>
        </w:rPr>
      </w:pPr>
      <w:r w:rsidRPr="00776C2C">
        <w:rPr>
          <w:rFonts w:ascii="Arial" w:eastAsia="Times New Roman" w:hAnsi="Arial" w:cs="Arial"/>
          <w:b/>
          <w:bCs/>
          <w:lang w:eastAsia="en-GB"/>
        </w:rPr>
        <w:t>11.1 Actions That Violate Compliance</w:t>
      </w:r>
    </w:p>
    <w:p w:rsidR="00776C2C" w:rsidRPr="00776C2C" w:rsidRDefault="00776C2C" w:rsidP="00776C2C">
      <w:pPr>
        <w:numPr>
          <w:ilvl w:val="0"/>
          <w:numId w:val="2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Agents must never export customer tickets or attachments outside the platform</w:t>
      </w:r>
      <w:r w:rsidRPr="00776C2C">
        <w:rPr>
          <w:rFonts w:ascii="Arial" w:eastAsia="Times New Roman" w:hAnsi="Arial" w:cs="Arial"/>
          <w:lang w:eastAsia="en-GB"/>
        </w:rPr>
        <w:t>, unless explicitly approved for engineering reproduction. Screenshots must be redacted.</w:t>
      </w:r>
    </w:p>
    <w:p w:rsidR="00776C2C" w:rsidRPr="00776C2C" w:rsidRDefault="00776C2C" w:rsidP="00776C2C">
      <w:pPr>
        <w:numPr>
          <w:ilvl w:val="0"/>
          <w:numId w:val="2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lastRenderedPageBreak/>
        <w:t>Agents must never forward customer messages to personal email</w:t>
      </w:r>
      <w:r w:rsidRPr="00776C2C">
        <w:rPr>
          <w:rFonts w:ascii="Arial" w:eastAsia="Times New Roman" w:hAnsi="Arial" w:cs="Arial"/>
          <w:lang w:eastAsia="en-GB"/>
        </w:rPr>
        <w:t>, even for temporary convenience. Doing so creates an untracked data leak.</w:t>
      </w:r>
    </w:p>
    <w:p w:rsidR="00776C2C" w:rsidRPr="00776C2C" w:rsidRDefault="00776C2C" w:rsidP="00776C2C">
      <w:pPr>
        <w:numPr>
          <w:ilvl w:val="0"/>
          <w:numId w:val="21"/>
        </w:numPr>
        <w:spacing w:before="100" w:beforeAutospacing="1" w:after="100" w:afterAutospacing="1" w:line="240" w:lineRule="auto"/>
        <w:rPr>
          <w:rFonts w:ascii="Arial" w:eastAsia="Times New Roman" w:hAnsi="Arial" w:cs="Arial"/>
          <w:lang w:eastAsia="en-GB"/>
        </w:rPr>
      </w:pPr>
      <w:r w:rsidRPr="00776C2C">
        <w:rPr>
          <w:rFonts w:ascii="Arial" w:eastAsia="Times New Roman" w:hAnsi="Arial" w:cs="Arial"/>
          <w:b/>
          <w:bCs/>
          <w:lang w:eastAsia="en-GB"/>
        </w:rPr>
        <w:t>Never retain customer data in personal notes, messaging apps, or local files</w:t>
      </w:r>
      <w:r w:rsidRPr="00776C2C">
        <w:rPr>
          <w:rFonts w:ascii="Arial" w:eastAsia="Times New Roman" w:hAnsi="Arial" w:cs="Arial"/>
          <w:lang w:eastAsia="en-GB"/>
        </w:rPr>
        <w:t xml:space="preserve">, because these pathways are not covered by </w:t>
      </w:r>
      <w:proofErr w:type="spellStart"/>
      <w:r w:rsidRPr="00776C2C">
        <w:rPr>
          <w:rFonts w:ascii="Arial" w:eastAsia="Times New Roman" w:hAnsi="Arial" w:cs="Arial"/>
          <w:lang w:eastAsia="en-GB"/>
        </w:rPr>
        <w:t>HelpDeskFlow’s</w:t>
      </w:r>
      <w:proofErr w:type="spellEnd"/>
      <w:r w:rsidRPr="00776C2C">
        <w:rPr>
          <w:rFonts w:ascii="Arial" w:eastAsia="Times New Roman" w:hAnsi="Arial" w:cs="Arial"/>
          <w:lang w:eastAsia="en-GB"/>
        </w:rPr>
        <w:t xml:space="preserve"> security controls.</w:t>
      </w:r>
    </w:p>
    <w:p w:rsidR="006377C9" w:rsidRPr="00776C2C" w:rsidRDefault="00776C2C">
      <w:pPr>
        <w:rPr>
          <w:rFonts w:ascii="Arial" w:hAnsi="Arial" w:cs="Arial"/>
        </w:rPr>
      </w:pPr>
    </w:p>
    <w:sectPr w:rsidR="006377C9" w:rsidRPr="00776C2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E6AE3"/>
    <w:multiLevelType w:val="multilevel"/>
    <w:tmpl w:val="A5D8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57253"/>
    <w:multiLevelType w:val="multilevel"/>
    <w:tmpl w:val="459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85F66"/>
    <w:multiLevelType w:val="multilevel"/>
    <w:tmpl w:val="5076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65D6F"/>
    <w:multiLevelType w:val="multilevel"/>
    <w:tmpl w:val="6FD6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F59AC"/>
    <w:multiLevelType w:val="multilevel"/>
    <w:tmpl w:val="AB98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672A8"/>
    <w:multiLevelType w:val="multilevel"/>
    <w:tmpl w:val="B166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25872"/>
    <w:multiLevelType w:val="multilevel"/>
    <w:tmpl w:val="A1AC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A7D80"/>
    <w:multiLevelType w:val="multilevel"/>
    <w:tmpl w:val="CE64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C2767"/>
    <w:multiLevelType w:val="multilevel"/>
    <w:tmpl w:val="CF14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C2083"/>
    <w:multiLevelType w:val="multilevel"/>
    <w:tmpl w:val="DB72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44673"/>
    <w:multiLevelType w:val="multilevel"/>
    <w:tmpl w:val="E90C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D747D"/>
    <w:multiLevelType w:val="multilevel"/>
    <w:tmpl w:val="6C9E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96CFE"/>
    <w:multiLevelType w:val="multilevel"/>
    <w:tmpl w:val="1B28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E5117"/>
    <w:multiLevelType w:val="multilevel"/>
    <w:tmpl w:val="6616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F7FE2"/>
    <w:multiLevelType w:val="multilevel"/>
    <w:tmpl w:val="AB64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B1E43"/>
    <w:multiLevelType w:val="multilevel"/>
    <w:tmpl w:val="638E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50D87"/>
    <w:multiLevelType w:val="multilevel"/>
    <w:tmpl w:val="4640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96FF9"/>
    <w:multiLevelType w:val="multilevel"/>
    <w:tmpl w:val="F7F8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77FEA"/>
    <w:multiLevelType w:val="multilevel"/>
    <w:tmpl w:val="244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15169"/>
    <w:multiLevelType w:val="multilevel"/>
    <w:tmpl w:val="D540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E392A"/>
    <w:multiLevelType w:val="multilevel"/>
    <w:tmpl w:val="6AA0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7"/>
  </w:num>
  <w:num w:numId="3">
    <w:abstractNumId w:val="0"/>
  </w:num>
  <w:num w:numId="4">
    <w:abstractNumId w:val="11"/>
  </w:num>
  <w:num w:numId="5">
    <w:abstractNumId w:val="10"/>
  </w:num>
  <w:num w:numId="6">
    <w:abstractNumId w:val="20"/>
  </w:num>
  <w:num w:numId="7">
    <w:abstractNumId w:val="18"/>
  </w:num>
  <w:num w:numId="8">
    <w:abstractNumId w:val="19"/>
  </w:num>
  <w:num w:numId="9">
    <w:abstractNumId w:val="13"/>
  </w:num>
  <w:num w:numId="10">
    <w:abstractNumId w:val="4"/>
  </w:num>
  <w:num w:numId="11">
    <w:abstractNumId w:val="15"/>
  </w:num>
  <w:num w:numId="12">
    <w:abstractNumId w:val="5"/>
  </w:num>
  <w:num w:numId="13">
    <w:abstractNumId w:val="2"/>
  </w:num>
  <w:num w:numId="14">
    <w:abstractNumId w:val="12"/>
  </w:num>
  <w:num w:numId="15">
    <w:abstractNumId w:val="6"/>
  </w:num>
  <w:num w:numId="16">
    <w:abstractNumId w:val="16"/>
  </w:num>
  <w:num w:numId="17">
    <w:abstractNumId w:val="8"/>
  </w:num>
  <w:num w:numId="18">
    <w:abstractNumId w:val="1"/>
  </w:num>
  <w:num w:numId="19">
    <w:abstractNumId w:val="14"/>
  </w:num>
  <w:num w:numId="20">
    <w:abstractNumId w:val="7"/>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C2C"/>
    <w:rsid w:val="002873F6"/>
    <w:rsid w:val="002A3BBA"/>
    <w:rsid w:val="00776C2C"/>
    <w:rsid w:val="00EC74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1237"/>
  <w15:chartTrackingRefBased/>
  <w15:docId w15:val="{7B8E1C49-43D5-4A49-B30D-C24FCA608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76C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776C2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C2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776C2C"/>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776C2C"/>
    <w:rPr>
      <w:b/>
      <w:bCs/>
    </w:rPr>
  </w:style>
  <w:style w:type="paragraph" w:styleId="NormalWeb">
    <w:name w:val="Normal (Web)"/>
    <w:basedOn w:val="Normal"/>
    <w:uiPriority w:val="99"/>
    <w:semiHidden/>
    <w:unhideWhenUsed/>
    <w:rsid w:val="00776C2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4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1360</Words>
  <Characters>7753</Characters>
  <Application>Microsoft Office Word</Application>
  <DocSecurity>0</DocSecurity>
  <Lines>64</Lines>
  <Paragraphs>18</Paragraphs>
  <ScaleCrop>false</ScaleCrop>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Kaab</dc:creator>
  <cp:keywords/>
  <dc:description/>
  <cp:lastModifiedBy>Kaab</cp:lastModifiedBy>
  <cp:revision>1</cp:revision>
  <dcterms:created xsi:type="dcterms:W3CDTF">2025-11-26T10:18:00Z</dcterms:created>
  <dcterms:modified xsi:type="dcterms:W3CDTF">2025-11-26T10:24:00Z</dcterms:modified>
</cp:coreProperties>
</file>