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b/>
          <w:bCs/>
          <w:color w:val="0F172A"/>
          <w:sz w:val="44"/>
          <w:szCs w:val="44"/>
        </w:rPr>
        <w:t xml:space="preserve">BrightPath Learning — RAG Testing Knowledge Base</w:t>
      </w:r>
    </w:p>
    <w:p>
      <w:pPr>
        <w:spacing w:after="300"/>
      </w:pPr>
      <w:r>
        <w:rPr>
          <w:b/>
          <w:bCs/>
          <w:color w:val="2563EB"/>
          <w:sz w:val="24"/>
          <w:szCs w:val="24"/>
        </w:rPr>
        <w:t xml:space="preserve">Official Operational, Academic, and Technical Policy Handbook (Standard Test Document v1.0)</w:t>
      </w:r>
    </w:p>
    <w:p>
      <w:pPr>
        <w:spacing w:after="260"/>
      </w:pPr>
      <w:r>
        <w:rPr>
          <w:b/>
          <w:bCs/>
          <w:color w:val="0F172A"/>
        </w:rPr>
        <w:t xml:space="preserve">Note for Evaluators: </w:t>
      </w:r>
      <w:r>
        <w:rPr>
          <w:i/>
          <w:iCs/>
          <w:color w:val="475569"/>
        </w:rPr>
        <w:t xml:space="preserve">BrightPath Learning is a fictional educational organization created specifically to validate document upload, text extraction, semantic chunk retrieval, grounding accuracy, and AI question-answering systems. All figures, schedules, and scenarios herein serve as authoritative ground truth.</w:t>
      </w:r>
    </w:p>
    <w:p>
      <w:pPr>
        <w:pStyle w:val="Heading1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1. Company Information</w:t>
      </w:r>
    </w:p>
    <w:p>
      <w:r>
        <w:rPr>
          <w:b/>
          <w:bCs/>
        </w:rPr>
        <w:t xml:space="preserve">Organization Name: </w:t>
      </w:r>
      <w:r>
        <w:t xml:space="preserve">BrightPath Learning</w:t>
      </w:r>
    </w:p>
    <w:p>
      <w:r>
        <w:rPr>
          <w:b/>
          <w:bCs/>
        </w:rPr>
        <w:t xml:space="preserve">Year Founded: </w:t>
      </w:r>
      <w:r>
        <w:t xml:space="preserve">2021</w:t>
      </w:r>
    </w:p>
    <w:p>
      <w:r>
        <w:rPr>
          <w:b/>
          <w:bCs/>
        </w:rPr>
        <w:t xml:space="preserve">Corporate Mission: </w:t>
      </w:r>
      <w:r>
        <w:t xml:space="preserve">Make practical technology education accessible to beginners through hands-on curriculum, structured mentorship, and industry-aligned skill tracks.</w:t>
      </w:r>
    </w:p>
    <w:p>
      <w:r>
        <w:rPr>
          <w:b/>
          <w:bCs/>
        </w:rPr>
        <w:t xml:space="preserve">Support Operating Hours: </w:t>
      </w:r>
      <w:r>
        <w:t xml:space="preserve">Monday–Friday, 9:00 AM–5:00 PM IST (Indian Standard Time). Support operations are paused on Indian national holidays and weekends.</w:t>
      </w:r>
    </w:p>
    <w:p>
      <w:r>
        <w:rPr>
          <w:b/>
          <w:bCs/>
        </w:rPr>
        <w:t xml:space="preserve">Headquarters Location: </w:t>
      </w:r>
      <w:r>
        <w:t xml:space="preserve">Bengaluru, Karnataka, India</w:t>
      </w:r>
    </w:p>
    <w:p>
      <w:r>
        <w:rPr>
          <w:b/>
          <w:bCs/>
        </w:rPr>
        <w:t xml:space="preserve">Official Support Contact: </w:t>
      </w:r>
      <w:r>
        <w:t xml:space="preserve">support@brightpathlearning.in</w:t>
      </w:r>
    </w:p>
    <w:p>
      <w:pPr>
        <w:pStyle w:val="Heading1"/>
        <w:spacing w:after="120" w:before="280"/>
      </w:pPr>
      <w:r>
        <w:rPr>
          <w:b/>
          <w:bCs/>
          <w:color w:val="0F172A"/>
          <w:sz w:val="28"/>
          <w:szCs w:val="28"/>
        </w:rPr>
        <w:t xml:space="preserve">2. Course Catalog &amp; Curricular Structure</w:t>
      </w:r>
    </w:p>
    <w:p>
      <w:r>
        <w:t xml:space="preserve">BrightPath Learning offers three core vocational tracks. All courses include live mentorship sessions, hands-on homework assignments, and an end-of-course capstone portfolio project.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2527"/>
        <w:gridCol w:w="1264"/>
        <w:gridCol w:w="1625"/>
        <w:gridCol w:w="3610"/>
      </w:tblGrid>
      <w:tr>
        <w:tc>
          <w:tcPr>
            <w:tcW w:type="pct" w:w="14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Course Name</w:t>
            </w:r>
          </w:p>
        </w:tc>
        <w:tc>
          <w:tcPr>
            <w:tcW w:type="pct" w:w="7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Duration</w:t>
            </w:r>
          </w:p>
        </w:tc>
        <w:tc>
          <w:tcPr>
            <w:tcW w:type="pct" w:w="9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Course Fee (INR)</w:t>
            </w:r>
          </w:p>
        </w:tc>
        <w:tc>
          <w:tcPr>
            <w:tcW w:type="pct" w:w="20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Curriculum &amp; Core Topics</w:t>
            </w:r>
          </w:p>
        </w:tc>
      </w:tr>
      <w:tr>
        <w:tc>
          <w:tcPr>
            <w:tcW w:type="pct" w:w="14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 Development Foundations</w:t>
            </w:r>
          </w:p>
        </w:tc>
        <w:tc>
          <w:tcPr>
            <w:tcW w:type="pct" w:w="7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 weeks</w:t>
            </w:r>
          </w:p>
        </w:tc>
        <w:tc>
          <w:tcPr>
            <w:tcW w:type="pct" w:w="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₹7,500</w:t>
            </w:r>
          </w:p>
        </w:tc>
        <w:tc>
          <w:tcPr>
            <w:tcW w:type="pct" w:w="20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HTML5 semantic structure, modern CSS3 layout &amp; Flexbox/Grid, JavaScript ES6+, React 19 component architecture, Node.js runtime, Express backend services, and REST APIs.</w:t>
            </w:r>
          </w:p>
        </w:tc>
      </w:tr>
      <w:tr>
        <w:tc>
          <w:tcPr>
            <w:tcW w:type="pct" w:w="14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Data Analytics Essentials</w:t>
            </w:r>
          </w:p>
        </w:tc>
        <w:tc>
          <w:tcPr>
            <w:tcW w:type="pct" w:w="7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 weeks</w:t>
            </w:r>
          </w:p>
        </w:tc>
        <w:tc>
          <w:tcPr>
            <w:tcW w:type="pct" w:w="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₹6,000</w:t>
            </w:r>
          </w:p>
        </w:tc>
        <w:tc>
          <w:tcPr>
            <w:tcW w:type="pct" w:w="20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Advanced spreadsheets &amp; lookup functions, relational SQL querying (joins, aggregations, subqueries), data cleaning techniques, interactive BI dashboards, and descriptive statistics.</w:t>
            </w:r>
          </w:p>
        </w:tc>
      </w:tr>
      <w:tr>
        <w:tc>
          <w:tcPr>
            <w:tcW w:type="pct" w:w="14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Fundamentals</w:t>
            </w:r>
          </w:p>
        </w:tc>
        <w:tc>
          <w:tcPr>
            <w:tcW w:type="pct" w:w="7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 weeks</w:t>
            </w:r>
          </w:p>
        </w:tc>
        <w:tc>
          <w:tcPr>
            <w:tcW w:type="pct" w:w="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₹4,000</w:t>
            </w:r>
          </w:p>
        </w:tc>
        <w:tc>
          <w:tcPr>
            <w:tcW w:type="pct" w:w="20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computing paradigms, Identity and Access Management (IAM), virtual machines &amp; VPC networking, container basics, and automated cloud application deployment.</w:t>
            </w:r>
          </w:p>
        </w:tc>
      </w:tr>
    </w:tbl>
    <w:p>
      <w:pPr>
        <w:spacing w:after="80" w:before="140"/>
      </w:pPr>
      <w:r>
        <w:rPr>
          <w:b/>
          <w:bCs/>
        </w:rPr>
        <w:t xml:space="preserve">Course-Specific Projects &amp; Assignment Requirements:</w:t>
      </w:r>
    </w:p>
    <w:p>
      <w:r>
        <w:rPr>
          <w:b/>
          <w:bCs/>
        </w:rPr>
        <w:t xml:space="preserve">• Web Development Foundations: </w:t>
      </w:r>
      <w:r>
        <w:t xml:space="preserve">Requires 4 graded assignments and 1 capstone project (Personal Portfolio &amp; Task Management REST API). Total learning commitment: 120 hours.</w:t>
      </w:r>
    </w:p>
    <w:p>
      <w:r>
        <w:rPr>
          <w:b/>
          <w:bCs/>
        </w:rPr>
        <w:t xml:space="preserve">• Data Analytics Essentials: </w:t>
      </w:r>
      <w:r>
        <w:t xml:space="preserve">Requires 3 graded assignments and 1 capstone project (Retail Sales Performance &amp; Churn Dashboard). Total learning commitment: 80 hours.</w:t>
      </w:r>
    </w:p>
    <w:p>
      <w:r>
        <w:rPr>
          <w:b/>
          <w:bCs/>
        </w:rPr>
        <w:t xml:space="preserve">• Cloud Fundamentals: </w:t>
      </w:r>
      <w:r>
        <w:t xml:space="preserve">Requires 2 graded assignments and 1 capstone project (Multi-Tier Web Application Cloud Deployment). Total learning commitment: 45 hours.</w:t>
      </w:r>
    </w:p>
    <w:p>
      <w:pPr>
        <w:pStyle w:val="Heading1"/>
        <w:spacing w:after="120" w:before="280"/>
      </w:pPr>
      <w:r>
        <w:rPr>
          <w:b/>
          <w:bCs/>
          <w:color w:val="0F172A"/>
          <w:sz w:val="28"/>
          <w:szCs w:val="28"/>
        </w:rPr>
        <w:t xml:space="preserve">3. Student Refund &amp; Cancellation Policy</w:t>
      </w:r>
    </w:p>
    <w:p>
      <w:r>
        <w:t xml:space="preserve">BrightPath Learning provides a transparent, consumer-friendly refund policy to guarantee learner confidence.</w:t>
      </w:r>
    </w:p>
    <w:p>
      <w:r>
        <w:rPr>
          <w:b/>
          <w:bCs/>
        </w:rPr>
        <w:t xml:space="preserve">1. Window for Request: </w:t>
      </w:r>
      <w:r>
        <w:t xml:space="preserve">Students can request a full refund within exactly 7 calendar days of their initial payment timestamp.</w:t>
      </w:r>
    </w:p>
    <w:p>
      <w:r>
        <w:rPr>
          <w:b/>
          <w:bCs/>
        </w:rPr>
        <w:t xml:space="preserve">2. Eligibility Criteria: </w:t>
      </w:r>
      <w:r>
        <w:t xml:space="preserve">To qualify for a full refund, the enrolled student must have completed no more than one lesson in the course and must have submitted no graded assignments.</w:t>
      </w:r>
    </w:p>
    <w:p>
      <w:r>
        <w:rPr>
          <w:b/>
          <w:bCs/>
        </w:rPr>
        <w:t xml:space="preserve">3. Disqualification: </w:t>
      </w:r>
      <w:r>
        <w:t xml:space="preserve">If a student has completed two or more lessons, or has submitted even one graded assignment, the enrollment becomes strictly non-refundable regardless of whether 7 calendar days have elapsed.</w:t>
      </w:r>
    </w:p>
    <w:p>
      <w:r>
        <w:rPr>
          <w:b/>
          <w:bCs/>
        </w:rPr>
        <w:t xml:space="preserve">4. Processing Timeline: </w:t>
      </w:r>
      <w:r>
        <w:t xml:space="preserve">Approved refunds are credited back to the original payment source within 5–7 business days following administrative approval.</w:t>
      </w:r>
    </w:p>
    <w:p>
      <w:r>
        <w:rPr>
          <w:b/>
          <w:bCs/>
        </w:rPr>
        <w:t xml:space="preserve">5. Mandatory Request Information: </w:t>
      </w:r>
      <w:r>
        <w:t xml:space="preserve">Every refund submission must explicitly provide: (a) Registered student email address, (b) Exact course name, (c) Date of payment, and (d) Payment transaction reference ID (e.g., TXN-WD-88412).</w:t>
      </w:r>
    </w:p>
    <w:p>
      <w:pPr>
        <w:pStyle w:val="Heading1"/>
        <w:spacing w:after="120" w:before="280"/>
      </w:pPr>
      <w:r>
        <w:rPr>
          <w:b/>
          <w:bCs/>
          <w:color w:val="0F172A"/>
          <w:sz w:val="28"/>
          <w:szCs w:val="28"/>
        </w:rPr>
        <w:t xml:space="preserve">4. Certificate Issuance Policy</w:t>
      </w:r>
    </w:p>
    <w:p>
      <w:r>
        <w:t xml:space="preserve">BrightPath Learning awards verifiable, industry-recognized digital credentials upon meeting academic standards.</w:t>
      </w:r>
    </w:p>
    <w:p>
      <w:r>
        <w:rPr>
          <w:b/>
          <w:bCs/>
        </w:rPr>
        <w:t xml:space="preserve">• Lesson Completion Requirement: </w:t>
      </w:r>
      <w:r>
        <w:t xml:space="preserve">Students must complete at least 80% of all scheduled course lessons and interactive modules.</w:t>
      </w:r>
    </w:p>
    <w:p>
      <w:r>
        <w:rPr>
          <w:b/>
          <w:bCs/>
        </w:rPr>
        <w:t xml:space="preserve">• Assessment Score Requirement: </w:t>
      </w:r>
      <w:r>
        <w:t xml:space="preserve">Students must score at least 60% on the comprehensive final course assessment.</w:t>
      </w:r>
    </w:p>
    <w:p>
      <w:r>
        <w:rPr>
          <w:b/>
          <w:bCs/>
        </w:rPr>
        <w:t xml:space="preserve">• Issuance Turnaround: </w:t>
      </w:r>
      <w:r>
        <w:t xml:space="preserve">Certificates are issued digitally via secure download within 2 business days after academic verification is complete.</w:t>
      </w:r>
    </w:p>
    <w:p>
      <w:r>
        <w:rPr>
          <w:b/>
          <w:bCs/>
        </w:rPr>
        <w:t xml:space="preserve">• Retake Allowance: </w:t>
      </w:r>
      <w:r>
        <w:t xml:space="preserve">Students scoring below 60% are granted one free assessment retake after a mandatory 7-calendar-day study period.</w:t>
      </w:r>
    </w:p>
    <w:p>
      <w:pPr>
        <w:pStyle w:val="Heading1"/>
        <w:spacing w:after="120" w:before="280"/>
      </w:pPr>
      <w:r>
        <w:rPr>
          <w:b/>
          <w:bCs/>
          <w:color w:val="0F172A"/>
          <w:sz w:val="28"/>
          <w:szCs w:val="28"/>
        </w:rPr>
        <w:t xml:space="preserve">5. Assignment Submission &amp; Grading Policy</w:t>
      </w:r>
    </w:p>
    <w:p>
      <w:r>
        <w:rPr>
          <w:b/>
          <w:bCs/>
        </w:rPr>
        <w:t xml:space="preserve">• Standard Review Turnaround: </w:t>
      </w:r>
      <w:r>
        <w:t xml:space="preserve">The normal assignment review and grading turnaround time is 3 business days from submission.</w:t>
      </w:r>
    </w:p>
    <w:p>
      <w:r>
        <w:rPr>
          <w:b/>
          <w:bCs/>
        </w:rPr>
        <w:t xml:space="preserve">• Late Submissions (Up to 3 Days): </w:t>
      </w:r>
      <w:r>
        <w:t xml:space="preserve">Assignments submitted up to 3 calendar days after the stated deadline receive a flat 10% score deduction (e.g., an 85% paper becomes 76.5%).</w:t>
      </w:r>
    </w:p>
    <w:p>
      <w:r>
        <w:rPr>
          <w:b/>
          <w:bCs/>
        </w:rPr>
        <w:t xml:space="preserve">• Excessive Late Submissions (&gt;3 Days): </w:t>
      </w:r>
      <w:r>
        <w:t xml:space="preserve">Assignments submitted later than 3 calendar days past the deadline receive zero credit unless an explicit instructor exception has been approved in writing prior to the cutoff.</w:t>
      </w:r>
    </w:p>
    <w:p>
      <w:pPr>
        <w:pStyle w:val="Heading1"/>
        <w:spacing w:after="120" w:before="280"/>
      </w:pPr>
      <w:r>
        <w:rPr>
          <w:b/>
          <w:bCs/>
          <w:color w:val="0F172A"/>
          <w:sz w:val="28"/>
          <w:szCs w:val="28"/>
        </w:rPr>
        <w:t xml:space="preserve">6. Technical Support &amp; Platform Guidelines</w:t>
      </w:r>
    </w:p>
    <w:p>
      <w:r>
        <w:rPr>
          <w:b/>
          <w:bCs/>
        </w:rPr>
        <w:t xml:space="preserve">• Authentication &amp; Login Issues: </w:t>
      </w:r>
      <w:r>
        <w:t xml:space="preserve">Verify the registered email spelling and use the automated "Forgot Password" link on the portal. If locked out, contact support.</w:t>
      </w:r>
    </w:p>
    <w:p>
      <w:r>
        <w:rPr>
          <w:b/>
          <w:bCs/>
          <w:color w:val="B91C1C"/>
        </w:rPr>
        <w:t xml:space="preserve">• Critical Security Protocol: </w:t>
      </w:r>
      <w:r>
        <w:rPr>
          <w:b/>
          <w:bCs/>
          <w:color w:val="B91C1C"/>
        </w:rPr>
        <w:t xml:space="preserve">BrightPath Learning support staff never ask for user passwords or One-Time Passwords (OTPs) under any circumstance. Never disclose your security credentials.</w:t>
      </w:r>
    </w:p>
    <w:p>
      <w:r>
        <w:rPr>
          <w:b/>
          <w:bCs/>
        </w:rPr>
        <w:t xml:space="preserve">• Video Playback Troubleshooting: </w:t>
      </w:r>
      <w:r>
        <w:t xml:space="preserve">Refresh the browser tab, check your internet connectivity (minimum recommended download speed: 5 Mbps), disable conflicting ad-blockers, and ensure your browser (Chrome, Edge, or Firefox) is updated.</w:t>
      </w:r>
    </w:p>
    <w:p>
      <w:r>
        <w:rPr>
          <w:b/>
          <w:bCs/>
        </w:rPr>
        <w:t xml:space="preserve">• Normal Support Response Target: </w:t>
      </w:r>
      <w:r>
        <w:t xml:space="preserve">1 business day for standard inquiry tickets submitted through support@brightpathlearning.in.</w:t>
      </w:r>
    </w:p>
    <w:p>
      <w:pPr>
        <w:pStyle w:val="Heading1"/>
        <w:spacing w:after="120" w:before="280"/>
      </w:pPr>
      <w:r>
        <w:rPr>
          <w:b/>
          <w:bCs/>
          <w:color w:val="0F172A"/>
          <w:sz w:val="28"/>
          <w:szCs w:val="28"/>
        </w:rPr>
        <w:t xml:space="preserve">7. Sample Student Case Scenarios</w:t>
      </w:r>
    </w:p>
    <w:p>
      <w:r>
        <w:t xml:space="preserve">The following five concrete case scenarios illustrate the application of BrightPath Learning policies to real-world learner situations.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9026"/>
      </w:tblGrid>
      <w:tr>
        <w:tc>
          <w:tcPr>
            <w:tcW w:type="pct" w:w="50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 1 — Priya Sharma: Timely Refund Request</w:t>
            </w:r>
          </w:p>
        </w:tc>
      </w:tr>
      <w:tr>
        <w:tc>
          <w:tcPr>
            <w:tcW w:type="pct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Student &amp; Course: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Priya Sharma — Web Development Foundations (Fee: ₹7,500, Paid: March 1, 2026, Txn: TXN-WD-88412)</w:t>
            </w:r>
          </w:p>
        </w:tc>
      </w:tr>
      <w:tr>
        <w:tc>
          <w:tcPr>
            <w:tcW w:type="pct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Academic Activity: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Completed 0 lessons; submitted 0 graded assignments.</w:t>
            </w:r>
          </w:p>
        </w:tc>
      </w:tr>
      <w:tr>
        <w:tc>
          <w:tcPr>
            <w:tcW w:type="pct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Request Date: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March 5, 2026 (Day 4 after payment, within the 7-calendar-day window).</w:t>
            </w:r>
          </w:p>
        </w:tc>
      </w:tr>
      <w:tr>
        <w:tc>
          <w:tcPr>
            <w:tcW w:type="pct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Evaluation &amp; Outcome: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APPROVED for full refund of ₹7,500. Priya met all criteria (within 7 days, &lt;= 1 lesson completed, 0 assignments submitted). Funds credited back to her bank account within 6 business days.</w:t>
            </w:r>
          </w:p>
        </w:tc>
      </w:tr>
    </w:tbl>
    <w:p>
      <w:pPr>
        <w:spacing w:after="140"/>
      </w:pP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9026"/>
      </w:tblGrid>
      <w:tr>
        <w:tc>
          <w:tcPr>
            <w:tcW w:type="pct" w:w="50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 2 — Rohan Verma: Disqualified Refund Request</w:t>
            </w:r>
          </w:p>
        </w:tc>
      </w:tr>
      <w:tr>
        <w:tc>
          <w:tcPr>
            <w:tcW w:type="pct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Student &amp; Course: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Rohan Verma — Data Analytics Essentials (Fee: ₹6,000, Paid: February 10, 2026, Txn: TXN-DA-55201)</w:t>
            </w:r>
          </w:p>
        </w:tc>
      </w:tr>
      <w:tr>
        <w:tc>
          <w:tcPr>
            <w:tcW w:type="pct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Academic Activity: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Completed 3 lessons and submitted Assignment 1 on February 14, 2026.</w:t>
            </w:r>
          </w:p>
        </w:tc>
      </w:tr>
      <w:tr>
        <w:tc>
          <w:tcPr>
            <w:tcW w:type="pct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Request Date: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February 15, 2026 (Day 5 after payment).</w:t>
            </w:r>
          </w:p>
        </w:tc>
      </w:tr>
      <w:tr>
        <w:tc>
          <w:tcPr>
            <w:tcW w:type="pct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Evaluation &amp; Outcome: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DENIED. Although the request arrived on calendar Day 5 (within 7 days), Rohan completed 3 lessons (limit: max 1 lesson) and submitted a graded assignment (limit: 0). The enrollment is strictly non-refundable.</w:t>
            </w:r>
          </w:p>
        </w:tc>
      </w:tr>
    </w:tbl>
    <w:p>
      <w:pPr>
        <w:spacing w:after="140"/>
      </w:pP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9026"/>
      </w:tblGrid>
      <w:tr>
        <w:tc>
          <w:tcPr>
            <w:tcW w:type="pct" w:w="50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 3 — Ananya Nair: Successful Certificate Qualification</w:t>
            </w:r>
          </w:p>
        </w:tc>
      </w:tr>
      <w:tr>
        <w:tc>
          <w:tcPr>
            <w:tcW w:type="pct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Student &amp; Course: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Ananya Nair — Cloud Fundamentals (4 weeks, Paid: January 15, 2026)</w:t>
            </w:r>
          </w:p>
        </w:tc>
      </w:tr>
      <w:tr>
        <w:tc>
          <w:tcPr>
            <w:tcW w:type="pct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Academic Activity: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Completed 9 out of 10 lessons (90% attendance, above 80% threshold). Scored 74% on the final assessment (above 60% threshold).</w:t>
            </w:r>
          </w:p>
        </w:tc>
      </w:tr>
      <w:tr>
        <w:tc>
          <w:tcPr>
            <w:tcW w:type="pct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Evaluation &amp; Outcome: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QUALIFIED FOR CERTIFICATE. Ananya fulfilled both academic criteria. Her digital certificate (Credential ID: BP-CF-2026-904) was issued 2 business days after verification on February 20, 2026.</w:t>
            </w:r>
          </w:p>
        </w:tc>
      </w:tr>
    </w:tbl>
    <w:p>
      <w:pPr>
        <w:spacing w:after="140"/>
      </w:pP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9026"/>
      </w:tblGrid>
      <w:tr>
        <w:tc>
          <w:tcPr>
            <w:tcW w:type="pct" w:w="50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 4 — Vikram Malhotra: Late Assignment Submission &amp; Penalty</w:t>
            </w:r>
          </w:p>
        </w:tc>
      </w:tr>
      <w:tr>
        <w:tc>
          <w:tcPr>
            <w:tcW w:type="pct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Student &amp; Course: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Vikram Malhotra — Web Development Foundations</w:t>
            </w:r>
          </w:p>
        </w:tc>
      </w:tr>
      <w:tr>
        <w:tc>
          <w:tcPr>
            <w:tcW w:type="pct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Assignment &amp; Timeline: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Assignment 2 (React State Management) was due April 10, 2026 at 11:59 PM. Vikram submitted on April 12, 2026 at 2:15 PM (2 calendar days late).</w:t>
            </w:r>
          </w:p>
        </w:tc>
      </w:tr>
      <w:tr>
        <w:tc>
          <w:tcPr>
            <w:tcW w:type="pct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Grading &amp; Outcome: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Earned raw evaluation score of 85/100. Because submission was within the 3-day grace period, a 10% penalty (-8.5 points) was applied. Final recorded grade: 76.5/100. Graded within 3 business days on April 15, 2026.</w:t>
            </w:r>
          </w:p>
        </w:tc>
      </w:tr>
    </w:tbl>
    <w:p>
      <w:pPr>
        <w:spacing w:after="140"/>
      </w:pP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9026"/>
      </w:tblGrid>
      <w:tr>
        <w:tc>
          <w:tcPr>
            <w:tcW w:type="pct" w:w="50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 5 — Neha Kulkarni: Assessment Retake Requirement</w:t>
            </w:r>
          </w:p>
        </w:tc>
      </w:tr>
      <w:tr>
        <w:tc>
          <w:tcPr>
            <w:tcW w:type="pct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Student &amp; Course: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Neha Kulkarni — Cloud Fundamentals</w:t>
            </w:r>
          </w:p>
        </w:tc>
      </w:tr>
      <w:tr>
        <w:tc>
          <w:tcPr>
            <w:tcW w:type="pct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Academic Activity: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Completed 85% of course lessons (satisfies 80% attendance rule). Scored 54% on the final assessment (below 60% passing mark).</w:t>
            </w:r>
          </w:p>
        </w:tc>
      </w:tr>
      <w:tr>
        <w:tc>
          <w:tcPr>
            <w:tcW w:type="pct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Evaluation &amp; Outcome: </w:t>
            </w: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CERTIFICATE WITHHELD. Neha failed to achieve the minimum 60% assessment score. In accordance with policy, she was scheduled for one free retake 7 calendar days later.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  <w:sz w:val="28"/>
          <w:szCs w:val="28"/>
        </w:rPr>
        <w:t xml:space="preserve">8. Quick Reference &amp; System Verification Matrix</w:t>
      </w:r>
    </w:p>
    <w:p>
      <w:r>
        <w:t xml:space="preserve">The following structured reference matrix compiles 24 key facts from across this manual for automated retrieval verification and cross-policy reasoning benchmarks.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blGrid>
        <w:gridCol w:w="1083"/>
        <w:gridCol w:w="2708"/>
        <w:gridCol w:w="5235"/>
      </w:tblGrid>
      <w:tr>
        <w:tc>
          <w:tcPr>
            <w:tcW w:type="pct" w:w="6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Fact ID</w:t>
            </w:r>
          </w:p>
        </w:tc>
        <w:tc>
          <w:tcPr>
            <w:tcW w:type="pct" w:w="15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Domain / Topic</w:t>
            </w:r>
          </w:p>
        </w:tc>
        <w:tc>
          <w:tcPr>
            <w:tcW w:type="pct" w:w="29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Canonical Specification / Value</w:t>
            </w:r>
          </w:p>
        </w:tc>
      </w:tr>
      <w:tr>
        <w:tc>
          <w:tcPr>
            <w:tcW w:type="pct" w:w="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F-01</w:t>
            </w:r>
          </w:p>
        </w:tc>
        <w:tc>
          <w:tcPr>
            <w:tcW w:type="pct" w:w="15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Founding Year</w:t>
            </w:r>
          </w:p>
        </w:tc>
        <w:tc>
          <w:tcPr>
            <w:tcW w:type="pct" w:w="2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2021</w:t>
            </w:r>
          </w:p>
        </w:tc>
      </w:tr>
      <w:tr>
        <w:tc>
          <w:tcPr>
            <w:tcW w:type="pct" w:w="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F-02</w:t>
            </w:r>
          </w:p>
        </w:tc>
        <w:tc>
          <w:tcPr>
            <w:tcW w:type="pct" w:w="15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Headquarters</w:t>
            </w:r>
          </w:p>
        </w:tc>
        <w:tc>
          <w:tcPr>
            <w:tcW w:type="pct" w:w="2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Bengaluru, Karnataka, India</w:t>
            </w:r>
          </w:p>
        </w:tc>
      </w:tr>
      <w:tr>
        <w:tc>
          <w:tcPr>
            <w:tcW w:type="pct" w:w="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F-03</w:t>
            </w:r>
          </w:p>
        </w:tc>
        <w:tc>
          <w:tcPr>
            <w:tcW w:type="pct" w:w="15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Support Operating Hours</w:t>
            </w:r>
          </w:p>
        </w:tc>
        <w:tc>
          <w:tcPr>
            <w:tcW w:type="pct" w:w="2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Monday–Friday, 9:00 AM–5:00 PM IST</w:t>
            </w:r>
          </w:p>
        </w:tc>
      </w:tr>
      <w:tr>
        <w:tc>
          <w:tcPr>
            <w:tcW w:type="pct" w:w="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F-04</w:t>
            </w:r>
          </w:p>
        </w:tc>
        <w:tc>
          <w:tcPr>
            <w:tcW w:type="pct" w:w="15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Support Response Target</w:t>
            </w:r>
          </w:p>
        </w:tc>
        <w:tc>
          <w:tcPr>
            <w:tcW w:type="pct" w:w="2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business day</w:t>
            </w:r>
          </w:p>
        </w:tc>
      </w:tr>
      <w:tr>
        <w:tc>
          <w:tcPr>
            <w:tcW w:type="pct" w:w="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F-05</w:t>
            </w:r>
          </w:p>
        </w:tc>
        <w:tc>
          <w:tcPr>
            <w:tcW w:type="pct" w:w="15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 Dev Duration &amp; Fee</w:t>
            </w:r>
          </w:p>
        </w:tc>
        <w:tc>
          <w:tcPr>
            <w:tcW w:type="pct" w:w="2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 weeks duration; fee is ₹7,500</w:t>
            </w:r>
          </w:p>
        </w:tc>
      </w:tr>
      <w:tr>
        <w:tc>
          <w:tcPr>
            <w:tcW w:type="pct" w:w="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F-06</w:t>
            </w:r>
          </w:p>
        </w:tc>
        <w:tc>
          <w:tcPr>
            <w:tcW w:type="pct" w:w="15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Data Analytics Duration &amp; Fee</w:t>
            </w:r>
          </w:p>
        </w:tc>
        <w:tc>
          <w:tcPr>
            <w:tcW w:type="pct" w:w="2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 weeks duration; fee is ₹6,000</w:t>
            </w:r>
          </w:p>
        </w:tc>
      </w:tr>
      <w:tr>
        <w:tc>
          <w:tcPr>
            <w:tcW w:type="pct" w:w="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F-07</w:t>
            </w:r>
          </w:p>
        </w:tc>
        <w:tc>
          <w:tcPr>
            <w:tcW w:type="pct" w:w="15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Fundamentals Duration &amp; Fee</w:t>
            </w:r>
          </w:p>
        </w:tc>
        <w:tc>
          <w:tcPr>
            <w:tcW w:type="pct" w:w="2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 weeks duration; fee is ₹4,000</w:t>
            </w:r>
          </w:p>
        </w:tc>
      </w:tr>
      <w:tr>
        <w:tc>
          <w:tcPr>
            <w:tcW w:type="pct" w:w="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F-08</w:t>
            </w:r>
          </w:p>
        </w:tc>
        <w:tc>
          <w:tcPr>
            <w:tcW w:type="pct" w:w="15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All-Courses Combined Fee</w:t>
            </w:r>
          </w:p>
        </w:tc>
        <w:tc>
          <w:tcPr>
            <w:tcW w:type="pct" w:w="2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₹17,500 (₹7,500 + ₹6,000 + ₹4,000)</w:t>
            </w:r>
          </w:p>
        </w:tc>
      </w:tr>
      <w:tr>
        <w:tc>
          <w:tcPr>
            <w:tcW w:type="pct" w:w="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F-09</w:t>
            </w:r>
          </w:p>
        </w:tc>
        <w:tc>
          <w:tcPr>
            <w:tcW w:type="pct" w:w="15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All-Courses Combined Duration</w:t>
            </w:r>
          </w:p>
        </w:tc>
        <w:tc>
          <w:tcPr>
            <w:tcW w:type="pct" w:w="2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18 weeks sequential study (8 + 6 + 4)</w:t>
            </w:r>
          </w:p>
        </w:tc>
      </w:tr>
      <w:tr>
        <w:tc>
          <w:tcPr>
            <w:tcW w:type="pct" w:w="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F-10</w:t>
            </w:r>
          </w:p>
        </w:tc>
        <w:tc>
          <w:tcPr>
            <w:tcW w:type="pct" w:w="15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Graded Course Assignments</w:t>
            </w:r>
          </w:p>
        </w:tc>
        <w:tc>
          <w:tcPr>
            <w:tcW w:type="pct" w:w="2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 assignments across all 3 courses (4 + 3 + 2)</w:t>
            </w:r>
          </w:p>
        </w:tc>
      </w:tr>
      <w:tr>
        <w:tc>
          <w:tcPr>
            <w:tcW w:type="pct" w:w="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F-11</w:t>
            </w:r>
          </w:p>
        </w:tc>
        <w:tc>
          <w:tcPr>
            <w:tcW w:type="pct" w:w="15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Capstone Projects</w:t>
            </w:r>
          </w:p>
        </w:tc>
        <w:tc>
          <w:tcPr>
            <w:tcW w:type="pct" w:w="2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 capstone projects across the catalog (1 per course)</w:t>
            </w:r>
          </w:p>
        </w:tc>
      </w:tr>
      <w:tr>
        <w:tc>
          <w:tcPr>
            <w:tcW w:type="pct" w:w="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F-12</w:t>
            </w:r>
          </w:p>
        </w:tc>
        <w:tc>
          <w:tcPr>
            <w:tcW w:type="pct" w:w="15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Refund Request Deadline</w:t>
            </w:r>
          </w:p>
        </w:tc>
        <w:tc>
          <w:tcPr>
            <w:tcW w:type="pct" w:w="2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Within 7 calendar days from payment date</w:t>
            </w:r>
          </w:p>
        </w:tc>
      </w:tr>
      <w:tr>
        <w:tc>
          <w:tcPr>
            <w:tcW w:type="pct" w:w="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F-13</w:t>
            </w:r>
          </w:p>
        </w:tc>
        <w:tc>
          <w:tcPr>
            <w:tcW w:type="pct" w:w="15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Refund Lesson Completion Ceiling</w:t>
            </w:r>
          </w:p>
        </w:tc>
        <w:tc>
          <w:tcPr>
            <w:tcW w:type="pct" w:w="2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Maximum 1 lesson completed (2 or more disqualifies)</w:t>
            </w:r>
          </w:p>
        </w:tc>
      </w:tr>
      <w:tr>
        <w:tc>
          <w:tcPr>
            <w:tcW w:type="pct" w:w="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F-14</w:t>
            </w:r>
          </w:p>
        </w:tc>
        <w:tc>
          <w:tcPr>
            <w:tcW w:type="pct" w:w="15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Refund Assignment Ceiling</w:t>
            </w:r>
          </w:p>
        </w:tc>
        <w:tc>
          <w:tcPr>
            <w:tcW w:type="pct" w:w="2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 graded assignments submitted (1 or more disqualifies)</w:t>
            </w:r>
          </w:p>
        </w:tc>
      </w:tr>
      <w:tr>
        <w:tc>
          <w:tcPr>
            <w:tcW w:type="pct" w:w="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F-15</w:t>
            </w:r>
          </w:p>
        </w:tc>
        <w:tc>
          <w:tcPr>
            <w:tcW w:type="pct" w:w="15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Refund Processing Window</w:t>
            </w:r>
          </w:p>
        </w:tc>
        <w:tc>
          <w:tcPr>
            <w:tcW w:type="pct" w:w="2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5–7 business days after approval</w:t>
            </w:r>
          </w:p>
        </w:tc>
      </w:tr>
      <w:tr>
        <w:tc>
          <w:tcPr>
            <w:tcW w:type="pct" w:w="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F-16</w:t>
            </w:r>
          </w:p>
        </w:tc>
        <w:tc>
          <w:tcPr>
            <w:tcW w:type="pct" w:w="15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Certificate Lesson Threshold</w:t>
            </w:r>
          </w:p>
        </w:tc>
        <w:tc>
          <w:tcPr>
            <w:tcW w:type="pct" w:w="2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Minimum 80% lesson completion required</w:t>
            </w:r>
          </w:p>
        </w:tc>
      </w:tr>
      <w:tr>
        <w:tc>
          <w:tcPr>
            <w:tcW w:type="pct" w:w="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F-17</w:t>
            </w:r>
          </w:p>
        </w:tc>
        <w:tc>
          <w:tcPr>
            <w:tcW w:type="pct" w:w="15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Certificate Assessment Threshold</w:t>
            </w:r>
          </w:p>
        </w:tc>
        <w:tc>
          <w:tcPr>
            <w:tcW w:type="pct" w:w="2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Minimum 60% final assessment score required</w:t>
            </w:r>
          </w:p>
        </w:tc>
      </w:tr>
      <w:tr>
        <w:tc>
          <w:tcPr>
            <w:tcW w:type="pct" w:w="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F-18</w:t>
            </w:r>
          </w:p>
        </w:tc>
        <w:tc>
          <w:tcPr>
            <w:tcW w:type="pct" w:w="15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Certificate Issuance Timeline</w:t>
            </w:r>
          </w:p>
        </w:tc>
        <w:tc>
          <w:tcPr>
            <w:tcW w:type="pct" w:w="2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 business days following academic verification</w:t>
            </w:r>
          </w:p>
        </w:tc>
      </w:tr>
      <w:tr>
        <w:tc>
          <w:tcPr>
            <w:tcW w:type="pct" w:w="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F-19</w:t>
            </w:r>
          </w:p>
        </w:tc>
        <w:tc>
          <w:tcPr>
            <w:tcW w:type="pct" w:w="15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Retake Waiting Period</w:t>
            </w:r>
          </w:p>
        </w:tc>
        <w:tc>
          <w:tcPr>
            <w:tcW w:type="pct" w:w="2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 calendar days between initial attempt and retake</w:t>
            </w:r>
          </w:p>
        </w:tc>
      </w:tr>
      <w:tr>
        <w:tc>
          <w:tcPr>
            <w:tcW w:type="pct" w:w="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F-20</w:t>
            </w:r>
          </w:p>
        </w:tc>
        <w:tc>
          <w:tcPr>
            <w:tcW w:type="pct" w:w="15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Assignment Grading Window</w:t>
            </w:r>
          </w:p>
        </w:tc>
        <w:tc>
          <w:tcPr>
            <w:tcW w:type="pct" w:w="2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 business days from submission timestamp</w:t>
            </w:r>
          </w:p>
        </w:tc>
      </w:tr>
      <w:tr>
        <w:tc>
          <w:tcPr>
            <w:tcW w:type="pct" w:w="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F-21</w:t>
            </w:r>
          </w:p>
        </w:tc>
        <w:tc>
          <w:tcPr>
            <w:tcW w:type="pct" w:w="15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Late Assignment Deduction</w:t>
            </w:r>
          </w:p>
        </w:tc>
        <w:tc>
          <w:tcPr>
            <w:tcW w:type="pct" w:w="2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10% penalty for up to 3 calendar days late</w:t>
            </w:r>
          </w:p>
        </w:tc>
      </w:tr>
      <w:tr>
        <w:tc>
          <w:tcPr>
            <w:tcW w:type="pct" w:w="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F-22</w:t>
            </w:r>
          </w:p>
        </w:tc>
        <w:tc>
          <w:tcPr>
            <w:tcW w:type="pct" w:w="15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Late Assignment Hard Cutoff</w:t>
            </w:r>
          </w:p>
        </w:tc>
        <w:tc>
          <w:tcPr>
            <w:tcW w:type="pct" w:w="2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Zero score if &gt;3 calendar days late without prior exception</w:t>
            </w:r>
          </w:p>
        </w:tc>
      </w:tr>
      <w:tr>
        <w:tc>
          <w:tcPr>
            <w:tcW w:type="pct" w:w="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F-23</w:t>
            </w:r>
          </w:p>
        </w:tc>
        <w:tc>
          <w:tcPr>
            <w:tcW w:type="pct" w:w="15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Minimum Video Streaming Speed</w:t>
            </w:r>
          </w:p>
        </w:tc>
        <w:tc>
          <w:tcPr>
            <w:tcW w:type="pct" w:w="2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 Mbps internet bandwidth</w:t>
            </w:r>
          </w:p>
        </w:tc>
      </w:tr>
      <w:tr>
        <w:tc>
          <w:tcPr>
            <w:tcW w:type="pct" w:w="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F-24</w:t>
            </w:r>
          </w:p>
        </w:tc>
        <w:tc>
          <w:tcPr>
            <w:tcW w:type="pct" w:w="15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Credentials Non-Disclosure Rule</w:t>
            </w:r>
          </w:p>
        </w:tc>
        <w:tc>
          <w:tcPr>
            <w:tcW w:type="pct" w:w="29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Staff never ask for passwords or OTPs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 xml:space="preserve">PAGE</w:instrText>
    </w:r>
    <w:r>
      <w:rPr>
        <w:color w:val="64748B"/>
        <w:sz w:val="18"/>
        <w:szCs w:val="18"/>
      </w:rPr>
      <w:fldChar w:fldCharType="separate"/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 xml:space="preserve">NUMPAGES</w:instrText>
    </w:r>
    <w:r>
      <w:rPr>
        <w:color w:val="64748B"/>
        <w:sz w:val="18"/>
        <w:szCs w:val="18"/>
      </w:rPr>
      <w:fldChar w:fldCharType="separate"/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7"/>
        <w:szCs w:val="17"/>
      </w:rPr>
      <w:t xml:space="preserve">BrightPath Learning — RAG Testing Knowledge 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>
      <w:pPr>
        <w:spacing w:after="14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2026-10-26T06:11:18.118Z</dcterms:created>
  <dcterms:modified xsi:type="dcterms:W3CDTF">2026-10-26T06:11:18.129Z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