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2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0" w:right="0" w:firstLine="0"/>
        <w:jc w:val="center"/>
      </w:pPr>
      <w:r>
        <w:rPr>
          <w:w w:val="101.26706291647518"/>
          <w:rFonts w:ascii="F40" w:hAnsi="F40" w:eastAsia="F40"/>
          <w:b w:val="0"/>
          <w:i w:val="0"/>
          <w:color w:val="000000"/>
          <w:sz w:val="34"/>
        </w:rPr>
        <w:t>HTW Berlin</w:t>
      </w:r>
    </w:p>
    <w:p>
      <w:pPr>
        <w:autoSpaceDN w:val="0"/>
        <w:autoSpaceDE w:val="0"/>
        <w:widowControl/>
        <w:spacing w:line="344" w:lineRule="exact" w:before="302" w:after="0"/>
        <w:ind w:left="0" w:right="0" w:firstLine="0"/>
        <w:jc w:val="center"/>
      </w:pPr>
      <w:r>
        <w:rPr>
          <w:w w:val="101.26706291647518"/>
          <w:rFonts w:ascii="F39" w:hAnsi="F39" w:eastAsia="F39"/>
          <w:b w:val="0"/>
          <w:i w:val="0"/>
          <w:color w:val="000000"/>
          <w:sz w:val="34"/>
        </w:rPr>
        <w:t>Hochschule für Technik und Wirtschaft Berlin</w:t>
      </w:r>
    </w:p>
    <w:p>
      <w:pPr>
        <w:autoSpaceDN w:val="0"/>
        <w:autoSpaceDE w:val="0"/>
        <w:widowControl/>
        <w:spacing w:line="288" w:lineRule="exact" w:before="350" w:after="0"/>
        <w:ind w:left="0" w:right="0" w:firstLine="0"/>
        <w:jc w:val="center"/>
      </w:pPr>
      <w:r>
        <w:rPr>
          <w:w w:val="98.93931027116447"/>
          <w:rFonts w:ascii="F41" w:hAnsi="F41" w:eastAsia="F41"/>
          <w:b w:val="0"/>
          <w:i w:val="0"/>
          <w:color w:val="000000"/>
          <w:sz w:val="29"/>
        </w:rPr>
        <w:t>Fachbereich Wirtschaftswissenschaften</w:t>
      </w:r>
    </w:p>
    <w:p>
      <w:pPr>
        <w:autoSpaceDN w:val="0"/>
        <w:autoSpaceDE w:val="0"/>
        <w:widowControl/>
        <w:spacing w:line="454" w:lineRule="exact" w:before="1082" w:after="0"/>
        <w:ind w:left="0" w:right="0" w:firstLine="0"/>
        <w:jc w:val="center"/>
      </w:pPr>
      <w:r>
        <w:rPr>
          <w:rFonts w:ascii="F43" w:hAnsi="F43" w:eastAsia="F43"/>
          <w:b w:val="0"/>
          <w:i w:val="0"/>
          <w:color w:val="000000"/>
          <w:sz w:val="41"/>
        </w:rPr>
        <w:t>Technisch-Ökologische-Analyse von e-Bikes</w:t>
      </w:r>
    </w:p>
    <w:p>
      <w:pPr>
        <w:autoSpaceDN w:val="0"/>
        <w:autoSpaceDE w:val="0"/>
        <w:widowControl/>
        <w:spacing w:line="344" w:lineRule="exact" w:before="288" w:after="0"/>
        <w:ind w:left="0" w:right="0" w:firstLine="0"/>
        <w:jc w:val="center"/>
      </w:pPr>
      <w:r>
        <w:rPr>
          <w:w w:val="101.26706291647518"/>
          <w:rFonts w:ascii="F39" w:hAnsi="F39" w:eastAsia="F39"/>
          <w:b w:val="0"/>
          <w:i w:val="0"/>
          <w:color w:val="000000"/>
          <w:sz w:val="34"/>
        </w:rPr>
        <w:t>am Beispiel Diamant Fahrradwerke GmbH</w:t>
      </w:r>
    </w:p>
    <w:p>
      <w:pPr>
        <w:autoSpaceDN w:val="0"/>
        <w:autoSpaceDE w:val="0"/>
        <w:widowControl/>
        <w:spacing w:line="528" w:lineRule="exact" w:before="1530" w:after="1192"/>
        <w:ind w:left="1440" w:right="1440" w:firstLine="0"/>
        <w:jc w:val="center"/>
      </w:pPr>
      <w:r>
        <w:rPr>
          <w:w w:val="98.93931027116447"/>
          <w:rFonts w:ascii="F41" w:hAnsi="F41" w:eastAsia="F41"/>
          <w:b w:val="0"/>
          <w:i w:val="0"/>
          <w:color w:val="000000"/>
          <w:sz w:val="29"/>
        </w:rPr>
        <w:t xml:space="preserve">Belegarbeit </w:t>
      </w:r>
      <w:r>
        <w:br/>
      </w:r>
      <w:r>
        <w:rPr>
          <w:w w:val="98.93931027116447"/>
          <w:rFonts w:ascii="F41" w:hAnsi="F41" w:eastAsia="F41"/>
          <w:b w:val="0"/>
          <w:i w:val="0"/>
          <w:color w:val="000000"/>
          <w:sz w:val="29"/>
        </w:rPr>
        <w:t xml:space="preserve">im Fach Unternehmens- und Personalmanagement </w:t>
      </w:r>
      <w:r>
        <w:rPr>
          <w:w w:val="98.93931027116447"/>
          <w:rFonts w:ascii="F41" w:hAnsi="F41" w:eastAsia="F41"/>
          <w:b w:val="0"/>
          <w:i w:val="0"/>
          <w:color w:val="000000"/>
          <w:sz w:val="29"/>
        </w:rPr>
        <w:t>Wintersemester 2025/26</w:t>
      </w:r>
    </w:p>
    <w:p>
      <w:pPr>
        <w:sectPr>
          <w:pgSz w:w="11906" w:h="16838"/>
          <w:pgMar w:top="14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1770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Vorgelegt von: </w:t>
      </w:r>
      <w:r>
        <w:br/>
      </w:r>
      <w:r>
        <w:rPr>
          <w:rFonts w:ascii="F52" w:hAnsi="F52" w:eastAsia="F52"/>
          <w:b w:val="0"/>
          <w:i w:val="0"/>
          <w:color w:val="000000"/>
          <w:sz w:val="24"/>
        </w:rPr>
        <w:t>Matrikelnummer:</w:t>
      </w:r>
    </w:p>
    <w:p>
      <w:pPr>
        <w:sectPr>
          <w:type w:val="continuous"/>
          <w:pgSz w:w="11906" w:h="16838"/>
          <w:pgMar w:top="1420" w:right="1440" w:bottom="1440" w:left="1440" w:header="720" w:footer="720" w:gutter="0"/>
          <w:cols w:num="2" w:equalWidth="0">
            <w:col w:w="3942" w:space="0"/>
            <w:col w:w="5083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84"/>
        <w:ind w:left="122" w:right="3024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Kaan [Nachname]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[Matrikelnummer]</w:t>
      </w:r>
    </w:p>
    <w:p>
      <w:pPr>
        <w:sectPr>
          <w:type w:val="nextColumn"/>
          <w:pgSz w:w="11906" w:h="16838"/>
          <w:pgMar w:top="1420" w:right="1440" w:bottom="1440" w:left="1440" w:header="720" w:footer="720" w:gutter="0"/>
          <w:cols w:num="2" w:equalWidth="0">
            <w:col w:w="3942" w:space="0"/>
            <w:col w:w="5083" w:space="0"/>
          </w:cols>
          <w:docGrid w:linePitch="360"/>
        </w:sectPr>
      </w:pPr>
    </w:p>
    <w:p>
      <w:pPr>
        <w:autoSpaceDN w:val="0"/>
        <w:tabs>
          <w:tab w:pos="4064" w:val="left"/>
        </w:tabs>
        <w:autoSpaceDE w:val="0"/>
        <w:widowControl/>
        <w:spacing w:line="264" w:lineRule="exact" w:before="0" w:after="0"/>
        <w:ind w:left="1770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E-Mail: </w:t>
      </w:r>
      <w:r>
        <w:rPr>
          <w:rFonts w:ascii="F38" w:hAnsi="F38" w:eastAsia="F38"/>
          <w:b w:val="0"/>
          <w:i w:val="0"/>
          <w:color w:val="000000"/>
          <w:sz w:val="24"/>
        </w:rPr>
        <w:t>[E-Mail Adresse]</w:t>
      </w:r>
    </w:p>
    <w:p>
      <w:pPr>
        <w:autoSpaceDN w:val="0"/>
        <w:tabs>
          <w:tab w:pos="4064" w:val="left"/>
        </w:tabs>
        <w:autoSpaceDE w:val="0"/>
        <w:widowControl/>
        <w:spacing w:line="272" w:lineRule="exact" w:before="78" w:after="0"/>
        <w:ind w:left="1770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Studiengang: </w:t>
      </w:r>
      <w:r>
        <w:rPr>
          <w:rFonts w:ascii="F38" w:hAnsi="F38" w:eastAsia="F38"/>
          <w:b w:val="0"/>
          <w:i w:val="0"/>
          <w:color w:val="000000"/>
          <w:sz w:val="24"/>
        </w:rPr>
        <w:t>[Studiengang]</w:t>
      </w:r>
    </w:p>
    <w:p>
      <w:pPr>
        <w:autoSpaceDN w:val="0"/>
        <w:tabs>
          <w:tab w:pos="4064" w:val="left"/>
        </w:tabs>
        <w:autoSpaceDE w:val="0"/>
        <w:widowControl/>
        <w:spacing w:line="272" w:lineRule="exact" w:before="362" w:after="370"/>
        <w:ind w:left="1770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Dozent: </w:t>
      </w:r>
      <w:r>
        <w:rPr>
          <w:rFonts w:ascii="F38" w:hAnsi="F38" w:eastAsia="F38"/>
          <w:b w:val="0"/>
          <w:i w:val="0"/>
          <w:color w:val="000000"/>
          <w:sz w:val="24"/>
        </w:rPr>
        <w:t>Dipl. Kfm. Patrick Lange (FH)</w:t>
      </w:r>
    </w:p>
    <w:p>
      <w:pPr>
        <w:sectPr>
          <w:type w:val="continuous"/>
          <w:pgSz w:w="11906" w:h="16838"/>
          <w:pgMar w:top="14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0" w:right="226" w:firstLine="0"/>
        <w:jc w:val="right"/>
      </w:pPr>
      <w:r>
        <w:rPr>
          <w:rFonts w:ascii="F52" w:hAnsi="F52" w:eastAsia="F52"/>
          <w:b w:val="0"/>
          <w:i w:val="0"/>
          <w:color w:val="000000"/>
          <w:sz w:val="24"/>
        </w:rPr>
        <w:t>Eingereicht am:</w:t>
      </w:r>
    </w:p>
    <w:p>
      <w:pPr>
        <w:sectPr>
          <w:type w:val="continuous"/>
          <w:pgSz w:w="11906" w:h="16838"/>
          <w:pgMar w:top="1420" w:right="1440" w:bottom="1440" w:left="1440" w:header="720" w:footer="720" w:gutter="0"/>
          <w:cols w:num="2" w:equalWidth="0">
            <w:col w:w="3837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26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>01. Februar 2026</w:t>
      </w:r>
    </w:p>
    <w:p>
      <w:pPr>
        <w:sectPr>
          <w:type w:val="nextColumn"/>
          <w:pgSz w:w="11906" w:h="16838"/>
          <w:pgMar w:top="1420" w:right="1440" w:bottom="1440" w:left="1440" w:header="720" w:footer="720" w:gutter="0"/>
          <w:cols w:num="2" w:equalWidth="0">
            <w:col w:w="3837" w:space="0"/>
            <w:col w:w="518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p>
      <w:pPr>
        <w:autoSpaceDN w:val="0"/>
        <w:autoSpaceDE w:val="0"/>
        <w:widowControl/>
        <w:spacing w:line="380" w:lineRule="exact" w:before="566" w:after="0"/>
        <w:ind w:left="4" w:right="0" w:firstLine="0"/>
        <w:jc w:val="left"/>
      </w:pPr>
      <w:r>
        <w:rPr>
          <w:w w:val="101.26706291647518"/>
          <w:rFonts w:ascii="F40" w:hAnsi="F40" w:eastAsia="F40"/>
          <w:b w:val="0"/>
          <w:i w:val="0"/>
          <w:color w:val="000000"/>
          <w:sz w:val="34"/>
        </w:rPr>
        <w:t>Inhaltsverzeichnis</w:t>
      </w:r>
    </w:p>
    <w:p>
      <w:pPr>
        <w:autoSpaceDN w:val="0"/>
        <w:tabs>
          <w:tab w:pos="8864" w:val="left"/>
        </w:tabs>
        <w:autoSpaceDE w:val="0"/>
        <w:widowControl/>
        <w:spacing w:line="264" w:lineRule="exact" w:before="544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Inhaltsverzeichnis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II</w:t>
      </w:r>
    </w:p>
    <w:p>
      <w:pPr>
        <w:autoSpaceDN w:val="0"/>
        <w:tabs>
          <w:tab w:pos="354" w:val="left"/>
          <w:tab w:pos="8936" w:val="left"/>
        </w:tabs>
        <w:autoSpaceDE w:val="0"/>
        <w:widowControl/>
        <w:spacing w:line="264" w:lineRule="exact" w:before="328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1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 xml:space="preserve">Einleitung und Problemstellung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354" w:val="left"/>
          <w:tab w:pos="8936" w:val="left"/>
        </w:tabs>
        <w:autoSpaceDE w:val="0"/>
        <w:widowControl/>
        <w:spacing w:line="264" w:lineRule="exact" w:before="330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2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 xml:space="preserve">Technische Analyse von E-Bikes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892" w:val="left"/>
          <w:tab w:pos="8948" w:val="left"/>
        </w:tabs>
        <w:autoSpaceDE w:val="0"/>
        <w:widowControl/>
        <w:spacing w:line="268" w:lineRule="exact" w:before="100" w:after="0"/>
        <w:ind w:left="354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2.1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Komponenten und Funktionsweise . . . . . . . . . . . . . . . . . . . . . . . </w:t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892" w:val="left"/>
          <w:tab w:pos="8948" w:val="left"/>
        </w:tabs>
        <w:autoSpaceDE w:val="0"/>
        <w:widowControl/>
        <w:spacing w:line="266" w:lineRule="exact" w:before="92" w:after="0"/>
        <w:ind w:left="354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2.2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Technologische Innovationen . . . . . . . . . . . . . . . . . . . . . . . . . . </w:t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354" w:val="left"/>
          <w:tab w:pos="8938" w:val="left"/>
        </w:tabs>
        <w:autoSpaceDE w:val="0"/>
        <w:widowControl/>
        <w:spacing w:line="264" w:lineRule="exact" w:before="318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>3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 xml:space="preserve">Ökologische Analyse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92" w:val="left"/>
          <w:tab w:pos="8948" w:val="left"/>
        </w:tabs>
        <w:autoSpaceDE w:val="0"/>
        <w:widowControl/>
        <w:spacing w:line="266" w:lineRule="exact" w:before="102" w:after="0"/>
        <w:ind w:left="354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3.1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Betrachtung des Lebenszyklus . . . . . . . . . . . . . . . . . . . . . . . . . </w:t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92" w:val="left"/>
          <w:tab w:pos="4120" w:val="left"/>
          <w:tab w:pos="8948" w:val="left"/>
        </w:tabs>
        <w:autoSpaceDE w:val="0"/>
        <w:widowControl/>
        <w:spacing w:line="266" w:lineRule="exact" w:before="94" w:after="0"/>
        <w:ind w:left="354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3.2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Strategien zur Nachhaltigkeit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. . . . . . . . . . . . . . . . . . . . . . . . . </w:t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354" w:val="left"/>
          <w:tab w:pos="8936" w:val="left"/>
        </w:tabs>
        <w:autoSpaceDE w:val="0"/>
        <w:widowControl/>
        <w:spacing w:line="264" w:lineRule="exact" w:before="318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4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 xml:space="preserve">Fallbeispiel: Diamant Fahrradwerke GmbH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892" w:val="left"/>
          <w:tab w:pos="3750" w:val="left"/>
          <w:tab w:pos="8948" w:val="left"/>
        </w:tabs>
        <w:autoSpaceDE w:val="0"/>
        <w:widowControl/>
        <w:spacing w:line="266" w:lineRule="exact" w:before="102" w:after="0"/>
        <w:ind w:left="354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4.1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Unternehmensausrichtung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. . . . . . . . . . . . . . . . . . . . . . . . . . . </w:t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892" w:val="left"/>
          <w:tab w:pos="3382" w:val="left"/>
          <w:tab w:pos="8948" w:val="left"/>
        </w:tabs>
        <w:autoSpaceDE w:val="0"/>
        <w:widowControl/>
        <w:spacing w:line="268" w:lineRule="exact" w:before="92" w:after="0"/>
        <w:ind w:left="354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4.2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Praktische Umsetzung </w:t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. . . . . . . . . . . . . . . . . . . . . . . . . . . . . </w:t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354" w:val="left"/>
          <w:tab w:pos="8938" w:val="left"/>
        </w:tabs>
        <w:autoSpaceDE w:val="0"/>
        <w:widowControl/>
        <w:spacing w:line="264" w:lineRule="exact" w:before="318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5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 xml:space="preserve">Fazit und Ausblick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8938" w:val="left"/>
        </w:tabs>
        <w:autoSpaceDE w:val="0"/>
        <w:widowControl/>
        <w:spacing w:line="264" w:lineRule="exact" w:before="328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Literaturverzeichnis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8940" w:val="left"/>
        </w:tabs>
        <w:autoSpaceDE w:val="0"/>
        <w:widowControl/>
        <w:spacing w:line="264" w:lineRule="exact" w:before="330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Literatur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8936" w:val="left"/>
        </w:tabs>
        <w:autoSpaceDE w:val="0"/>
        <w:widowControl/>
        <w:spacing w:line="264" w:lineRule="exact" w:before="328" w:after="0"/>
        <w:ind w:left="4" w:right="0" w:firstLine="0"/>
        <w:jc w:val="left"/>
      </w:pPr>
      <w:r>
        <w:rPr>
          <w:rFonts w:ascii="F52" w:hAnsi="F52" w:eastAsia="F52"/>
          <w:b w:val="0"/>
          <w:i w:val="0"/>
          <w:color w:val="000000"/>
          <w:sz w:val="24"/>
        </w:rPr>
        <w:t xml:space="preserve">Eigenständigkeitserklärung </w:t>
      </w:r>
      <w:r>
        <w:tab/>
      </w:r>
      <w:r>
        <w:rPr>
          <w:rFonts w:ascii="F52" w:hAnsi="F52" w:eastAsia="F52"/>
          <w:b w:val="0"/>
          <w:i w:val="0"/>
          <w:color w:val="000000"/>
          <w:sz w:val="24"/>
        </w:rPr>
        <w:t>7</w:t>
      </w:r>
    </w:p>
    <w:p>
      <w:pPr>
        <w:autoSpaceDN w:val="0"/>
        <w:autoSpaceDE w:val="0"/>
        <w:widowControl/>
        <w:spacing w:line="218" w:lineRule="exact" w:before="6286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II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28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974"/>
        </w:trPr>
        <w:tc>
          <w:tcPr>
            <w:tcW w:type="dxa" w:w="3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530" w:after="0"/>
              <w:ind w:left="4" w:right="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>1</w:t>
            </w:r>
          </w:p>
        </w:tc>
        <w:tc>
          <w:tcPr>
            <w:tcW w:type="dxa" w:w="87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530" w:after="0"/>
              <w:ind w:left="194" w:right="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>Einleitung und Problemstellung</w:t>
            </w:r>
          </w:p>
        </w:tc>
      </w:tr>
    </w:tbl>
    <w:p>
      <w:pPr>
        <w:autoSpaceDN w:val="0"/>
        <w:autoSpaceDE w:val="0"/>
        <w:widowControl/>
        <w:spacing w:line="358" w:lineRule="exact" w:before="162" w:after="0"/>
        <w:ind w:left="4" w:right="32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Die Elektromobilität hat sich in den letzten Jahren zu einem zentralen Bestandteil der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Verkehrswende entwickelt. Insbesondere Elektrofahrräder, sogenannte E-Bikes, erfreuen </w:t>
      </w:r>
      <w:r>
        <w:rPr>
          <w:rFonts w:ascii="F38" w:hAnsi="F38" w:eastAsia="F38"/>
          <w:b w:val="0"/>
          <w:i w:val="0"/>
          <w:color w:val="000000"/>
          <w:sz w:val="24"/>
        </w:rPr>
        <w:t>sich zunehmender Beliebtheit und werden als umweltfreundliche Alternative zum moto-</w:t>
      </w:r>
      <w:r>
        <w:rPr>
          <w:rFonts w:ascii="F38" w:hAnsi="F38" w:eastAsia="F38"/>
          <w:b w:val="0"/>
          <w:i w:val="0"/>
          <w:color w:val="000000"/>
          <w:sz w:val="24"/>
        </w:rPr>
        <w:t>risierten Individualverkehr betrachtet [12]. Im Jahr 2023 wurden allein in Deutschland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über zwei Millionen E-Bikes verkauft, was einem Marktanteil von über 50 Prozent am </w:t>
      </w:r>
      <w:r>
        <w:rPr>
          <w:rFonts w:ascii="F38" w:hAnsi="F38" w:eastAsia="F38"/>
          <w:b w:val="0"/>
          <w:i w:val="0"/>
          <w:color w:val="000000"/>
          <w:sz w:val="24"/>
        </w:rPr>
        <w:t>gesamten Fahrradmarkt entspricht [13].</w:t>
      </w:r>
    </w:p>
    <w:p>
      <w:pPr>
        <w:autoSpaceDN w:val="0"/>
        <w:autoSpaceDE w:val="0"/>
        <w:widowControl/>
        <w:spacing w:line="358" w:lineRule="exact" w:before="0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Diese Belegarbeit analysiert die technischen und ökologischen Aspekte von E-Bikes </w:t>
      </w:r>
      <w:r>
        <w:rPr>
          <w:rFonts w:ascii="F38" w:hAnsi="F38" w:eastAsia="F38"/>
          <w:b w:val="0"/>
          <w:i w:val="0"/>
          <w:color w:val="000000"/>
          <w:sz w:val="24"/>
        </w:rPr>
        <w:t>am Beispiel der Diamant Fahrradwerke GmbH, einem traditionsreichen deutschen Fahr-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radhersteller mit Sitz in Hartmannsdorf, Sachsen. Die Diamant Fahrradwerke, gegründet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1885, gehören zu den ältesten Fahrradherstellern Deutschlands und haben sich seit 2010 </w:t>
      </w:r>
      <w:r>
        <w:rPr>
          <w:rFonts w:ascii="F38" w:hAnsi="F38" w:eastAsia="F38"/>
          <w:b w:val="0"/>
          <w:i w:val="0"/>
          <w:color w:val="000000"/>
          <w:sz w:val="24"/>
        </w:rPr>
        <w:t>verstärkt auf die Produktion von E-Bikes fokussiert [5].</w:t>
      </w:r>
    </w:p>
    <w:p>
      <w:pPr>
        <w:autoSpaceDN w:val="0"/>
        <w:autoSpaceDE w:val="0"/>
        <w:widowControl/>
        <w:spacing w:line="358" w:lineRule="exact" w:before="2" w:after="0"/>
        <w:ind w:left="4" w:right="34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Die Arbeit gliedert sich in drei Hauptabschnitte: Zunächst werden die technischen </w:t>
      </w:r>
      <w:r>
        <w:rPr>
          <w:rFonts w:ascii="F38" w:hAnsi="F38" w:eastAsia="F38"/>
          <w:b w:val="0"/>
          <w:i w:val="0"/>
          <w:color w:val="000000"/>
          <w:sz w:val="24"/>
        </w:rPr>
        <w:t>Komponenten und Innovationen moderner E-Bikes dargestellt. Anschlieÿend erfolgt eine</w:t>
      </w:r>
      <w:r>
        <w:rPr>
          <w:rFonts w:ascii="F38" w:hAnsi="F38" w:eastAsia="F38"/>
          <w:b w:val="0"/>
          <w:i w:val="0"/>
          <w:color w:val="000000"/>
          <w:sz w:val="24"/>
        </w:rPr>
        <w:t>ökologische Bewertung unter Berücksichtigung des gesamten Produktlebenszyklus. Ab-</w:t>
      </w:r>
      <w:r>
        <w:rPr>
          <w:rFonts w:ascii="F38" w:hAnsi="F38" w:eastAsia="F38"/>
          <w:b w:val="0"/>
          <w:i w:val="0"/>
          <w:color w:val="000000"/>
          <w:sz w:val="24"/>
        </w:rPr>
        <w:t>schlieÿend wird die Nachhaltigkeitsstrategie der Diamant Fahrradwerke GmbH als Pra-</w:t>
      </w:r>
      <w:r>
        <w:rPr>
          <w:rFonts w:ascii="F38" w:hAnsi="F38" w:eastAsia="F38"/>
          <w:b w:val="0"/>
          <w:i w:val="0"/>
          <w:color w:val="000000"/>
          <w:sz w:val="24"/>
        </w:rPr>
        <w:t>xisbeispiel analysiert.</w:t>
      </w:r>
    </w:p>
    <w:p>
      <w:pPr>
        <w:autoSpaceDN w:val="0"/>
        <w:autoSpaceDE w:val="0"/>
        <w:widowControl/>
        <w:spacing w:line="218" w:lineRule="exact" w:before="8024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1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28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1700"/>
        </w:trPr>
        <w:tc>
          <w:tcPr>
            <w:tcW w:type="dxa" w:w="4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184" w:after="0"/>
              <w:ind w:left="4" w:right="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 xml:space="preserve">2 </w:t>
            </w:r>
            <w:r>
              <w:br/>
            </w:r>
            <w:r>
              <w:rPr>
                <w:w w:val="98.93931027116447"/>
                <w:rFonts w:ascii="F54" w:hAnsi="F54" w:eastAsia="F54"/>
                <w:b w:val="0"/>
                <w:i w:val="0"/>
                <w:color w:val="000000"/>
                <w:sz w:val="29"/>
              </w:rPr>
              <w:t>2.1</w:t>
            </w:r>
          </w:p>
        </w:tc>
        <w:tc>
          <w:tcPr>
            <w:tcW w:type="dxa" w:w="86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726" w:lineRule="exact" w:before="184" w:after="0"/>
              <w:ind w:left="94" w:right="3168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 xml:space="preserve">Technische Analyse von E-Bikes </w:t>
            </w:r>
            <w:r>
              <w:rPr>
                <w:w w:val="98.93931027116447"/>
                <w:rFonts w:ascii="F54" w:hAnsi="F54" w:eastAsia="F54"/>
                <w:b w:val="0"/>
                <w:i w:val="0"/>
                <w:color w:val="000000"/>
                <w:sz w:val="29"/>
              </w:rPr>
              <w:t>Komponenten und Funktionsweise</w:t>
            </w:r>
          </w:p>
        </w:tc>
      </w:tr>
    </w:tbl>
    <w:p>
      <w:pPr>
        <w:autoSpaceDN w:val="0"/>
        <w:autoSpaceDE w:val="0"/>
        <w:widowControl/>
        <w:spacing w:line="358" w:lineRule="exact" w:before="84" w:after="0"/>
        <w:ind w:left="4" w:right="32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Ein E-Bike besteht aus mehreren Hauptkomponenten, die zusammenwirken müssen: dem </w:t>
      </w:r>
      <w:r>
        <w:rPr>
          <w:rFonts w:ascii="F38" w:hAnsi="F38" w:eastAsia="F38"/>
          <w:b w:val="0"/>
          <w:i w:val="0"/>
          <w:color w:val="000000"/>
          <w:sz w:val="24"/>
        </w:rPr>
        <w:t>Elektromotor, der Batterie, dem Steuerungssystem und den mechanischen Fahrradkompo-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nenten. Bei modernen E-Bikes kommen überwiegend Lithium-Ionen-Akkus zum Einsatz,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die eine Kapazität zwischen 400 und 750 Wattstunden aufweisen [3]. Diese ermöglichen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Reichweiten von durchschnittlich 80 bis 120 Kilometern, abhängig von Fahrweise, Gelände </w:t>
      </w:r>
      <w:r>
        <w:rPr>
          <w:rFonts w:ascii="F38" w:hAnsi="F38" w:eastAsia="F38"/>
          <w:b w:val="0"/>
          <w:i w:val="0"/>
          <w:color w:val="000000"/>
          <w:sz w:val="24"/>
        </w:rPr>
        <w:t>und Unterstützungsstufe.</w:t>
      </w:r>
    </w:p>
    <w:p>
      <w:pPr>
        <w:autoSpaceDN w:val="0"/>
        <w:autoSpaceDE w:val="0"/>
        <w:widowControl/>
        <w:spacing w:line="358" w:lineRule="exact" w:before="0" w:after="0"/>
        <w:ind w:left="4" w:right="34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Die Motoren werden typischerweise an drei Positionen verbaut: als Frontmotor im Vor-</w:t>
      </w:r>
      <w:r>
        <w:rPr>
          <w:rFonts w:ascii="F38" w:hAnsi="F38" w:eastAsia="F38"/>
          <w:b w:val="0"/>
          <w:i w:val="0"/>
          <w:color w:val="000000"/>
          <w:sz w:val="24"/>
        </w:rPr>
        <w:t>derrad, als Heckmotor im Hinterrad oder als Mittelmotor im Tretlagerbereich. Der Mittel-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motor hat sich dabei als bevorzugte Lösung etabliert, da er einen optimalen Schwerpunkt </w:t>
      </w:r>
      <w:r>
        <w:rPr>
          <w:rFonts w:ascii="F38" w:hAnsi="F38" w:eastAsia="F38"/>
          <w:b w:val="0"/>
          <w:i w:val="0"/>
          <w:color w:val="000000"/>
          <w:sz w:val="24"/>
        </w:rPr>
        <w:t>gewährleistet und eine bessere Kraftübertragung ermöglicht [9]. Die Diamant Fahrrad-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werke setzen in ihren Premium-Modellen hauptsächlich auf Mittelmotoren der Hersteller </w:t>
      </w:r>
      <w:r>
        <w:rPr>
          <w:rFonts w:ascii="F38" w:hAnsi="F38" w:eastAsia="F38"/>
          <w:b w:val="0"/>
          <w:i w:val="0"/>
          <w:color w:val="000000"/>
          <w:sz w:val="24"/>
        </w:rPr>
        <w:t>Bosch und Shimano.</w:t>
      </w:r>
    </w:p>
    <w:p>
      <w:pPr>
        <w:autoSpaceDN w:val="0"/>
        <w:autoSpaceDE w:val="0"/>
        <w:widowControl/>
        <w:spacing w:line="358" w:lineRule="exact" w:before="2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Das Steuerungssystem, auch Display oder Bordcomputer genannt, zeigt dem Fahrer </w:t>
      </w:r>
      <w:r>
        <w:rPr>
          <w:rFonts w:ascii="F38" w:hAnsi="F38" w:eastAsia="F38"/>
          <w:b w:val="0"/>
          <w:i w:val="0"/>
          <w:color w:val="000000"/>
          <w:sz w:val="24"/>
        </w:rPr>
        <w:t>wichtige Informationen wie Geschwindigkeit, Akkustand und Reichweite an. Moderne Sys-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teme verfügen über GPS-Navigation und können mit Fitness-Apps synchronisiert werden. </w:t>
      </w:r>
      <w:r>
        <w:rPr>
          <w:rFonts w:ascii="F38" w:hAnsi="F38" w:eastAsia="F38"/>
          <w:b w:val="0"/>
          <w:i w:val="0"/>
          <w:color w:val="000000"/>
          <w:sz w:val="24"/>
        </w:rPr>
        <w:t>Die Motorunterstützung wird über Sensoren geregelt, die Tretkraft, Trittfrequenz und Ge-</w:t>
      </w:r>
      <w:r>
        <w:rPr>
          <w:rFonts w:ascii="F38" w:hAnsi="F38" w:eastAsia="F38"/>
          <w:b w:val="0"/>
          <w:i w:val="0"/>
          <w:color w:val="000000"/>
          <w:sz w:val="24"/>
        </w:rPr>
        <w:t>schwindigkeit messen und die Unterstützungsleistung entsprechend anpassen [3].</w:t>
      </w:r>
    </w:p>
    <w:p>
      <w:pPr>
        <w:autoSpaceDN w:val="0"/>
        <w:tabs>
          <w:tab w:pos="722" w:val="left"/>
        </w:tabs>
        <w:autoSpaceDE w:val="0"/>
        <w:widowControl/>
        <w:spacing w:line="286" w:lineRule="exact" w:before="498" w:after="0"/>
        <w:ind w:left="4" w:right="0" w:firstLine="0"/>
        <w:jc w:val="left"/>
      </w:pP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 xml:space="preserve">2.2 </w:t>
      </w: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>Technologische Innovationen</w:t>
      </w:r>
    </w:p>
    <w:p>
      <w:pPr>
        <w:autoSpaceDN w:val="0"/>
        <w:autoSpaceDE w:val="0"/>
        <w:widowControl/>
        <w:spacing w:line="358" w:lineRule="exact" w:before="150" w:after="0"/>
        <w:ind w:left="4" w:right="34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Die technologische Entwicklung im E-Bike-Sektor schreitet rasant voran. Moderne Steue-</w:t>
      </w:r>
      <w:r>
        <w:rPr>
          <w:rFonts w:ascii="F38" w:hAnsi="F38" w:eastAsia="F38"/>
          <w:b w:val="0"/>
          <w:i w:val="0"/>
          <w:color w:val="000000"/>
          <w:sz w:val="24"/>
        </w:rPr>
        <w:t>rungssysteme ermöglichen eine intelligente Anpassung der Motorunterstützung an Fahrsi-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tuation und Gelände. Connectivity-Funktionen erlauben die Vernetzung mit Smartphones, </w:t>
      </w:r>
      <w:r>
        <w:rPr>
          <w:rFonts w:ascii="F38" w:hAnsi="F38" w:eastAsia="F38"/>
          <w:b w:val="0"/>
          <w:i w:val="0"/>
          <w:color w:val="000000"/>
          <w:sz w:val="24"/>
        </w:rPr>
        <w:t>wodurch Navigation, Diebstahlschutz und Wartungsmanagement optimiert werden [6].</w:t>
      </w:r>
    </w:p>
    <w:p>
      <w:pPr>
        <w:autoSpaceDN w:val="0"/>
        <w:autoSpaceDE w:val="0"/>
        <w:widowControl/>
        <w:spacing w:line="358" w:lineRule="exact" w:before="0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Ein wichtiger Innovationsbereich betrit die Energierückgewinnung. Rekuperations-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systeme, die beim Bremsen oder in Bergabfahrten Energie zurückgewinnen und in der </w:t>
      </w:r>
      <w:r>
        <w:rPr>
          <w:rFonts w:ascii="F38" w:hAnsi="F38" w:eastAsia="F38"/>
          <w:b w:val="0"/>
          <w:i w:val="0"/>
          <w:color w:val="000000"/>
          <w:sz w:val="24"/>
        </w:rPr>
        <w:t>Batterie speichern, erhöhen die Ezienz und Reichweite um bis zu 15 Prozent [11]. Dia-</w:t>
      </w:r>
      <w:r>
        <w:rPr>
          <w:rFonts w:ascii="F38" w:hAnsi="F38" w:eastAsia="F38"/>
          <w:b w:val="0"/>
          <w:i w:val="0"/>
          <w:color w:val="000000"/>
          <w:sz w:val="24"/>
        </w:rPr>
        <w:t>mant integriert solche Systeme zunehmend in seine Modellpalette, insbesondere bei Pe-</w:t>
      </w:r>
      <w:r>
        <w:rPr>
          <w:rFonts w:ascii="F38" w:hAnsi="F38" w:eastAsia="F38"/>
          <w:b w:val="0"/>
          <w:i w:val="0"/>
          <w:color w:val="000000"/>
          <w:sz w:val="24"/>
        </w:rPr>
        <w:t>delecs für urbane Mobilität.</w:t>
      </w:r>
    </w:p>
    <w:p>
      <w:pPr>
        <w:autoSpaceDN w:val="0"/>
        <w:autoSpaceDE w:val="0"/>
        <w:widowControl/>
        <w:spacing w:line="358" w:lineRule="exact" w:before="0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Weitere Innovationen umfassen intelligente Assistenzsysteme wie automatische Gang-</w:t>
      </w:r>
      <w:r>
        <w:rPr>
          <w:rFonts w:ascii="F38" w:hAnsi="F38" w:eastAsia="F38"/>
          <w:b w:val="0"/>
          <w:i w:val="0"/>
          <w:color w:val="000000"/>
          <w:sz w:val="24"/>
        </w:rPr>
        <w:t>schaltungen, die sich an Geschwindigkeit und Steigung anpassen, sowie integrierte Be-</w:t>
      </w:r>
      <w:r>
        <w:rPr>
          <w:rFonts w:ascii="F38" w:hAnsi="F38" w:eastAsia="F38"/>
          <w:b w:val="0"/>
          <w:i w:val="0"/>
          <w:color w:val="000000"/>
          <w:sz w:val="24"/>
        </w:rPr>
        <w:t>leuchtungssysteme, die mit der Batterie des E-Bikes betrieben werden. Anti-Blockier-</w:t>
      </w:r>
      <w:r>
        <w:rPr>
          <w:rFonts w:ascii="F38" w:hAnsi="F38" w:eastAsia="F38"/>
          <w:b w:val="0"/>
          <w:i w:val="0"/>
          <w:color w:val="000000"/>
          <w:sz w:val="24"/>
        </w:rPr>
        <w:t>Systeme (ABS) für E-Bikes erhöhen die Sicherheit, insbesondere bei höheren Geschwin-</w:t>
      </w:r>
      <w:r>
        <w:rPr>
          <w:rFonts w:ascii="F38" w:hAnsi="F38" w:eastAsia="F38"/>
          <w:b w:val="0"/>
          <w:i w:val="0"/>
          <w:color w:val="000000"/>
          <w:sz w:val="24"/>
        </w:rPr>
        <w:t>digkeiten von S-Pedelecs, die bis zu 45 Kilometer pro Stunde erreichen können [3].</w:t>
      </w:r>
    </w:p>
    <w:p>
      <w:pPr>
        <w:autoSpaceDN w:val="0"/>
        <w:autoSpaceDE w:val="0"/>
        <w:widowControl/>
        <w:spacing w:line="218" w:lineRule="exact" w:before="1064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2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28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1700"/>
        </w:trPr>
        <w:tc>
          <w:tcPr>
            <w:tcW w:type="dxa" w:w="4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184" w:after="0"/>
              <w:ind w:left="4" w:right="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 xml:space="preserve">3 </w:t>
            </w:r>
            <w:r>
              <w:br/>
            </w:r>
            <w:r>
              <w:rPr>
                <w:w w:val="98.93931027116447"/>
                <w:rFonts w:ascii="F54" w:hAnsi="F54" w:eastAsia="F54"/>
                <w:b w:val="0"/>
                <w:i w:val="0"/>
                <w:color w:val="000000"/>
                <w:sz w:val="29"/>
              </w:rPr>
              <w:t>3.1</w:t>
            </w:r>
          </w:p>
        </w:tc>
        <w:tc>
          <w:tcPr>
            <w:tcW w:type="dxa" w:w="86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726" w:lineRule="exact" w:before="184" w:after="0"/>
              <w:ind w:left="94" w:right="4176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 xml:space="preserve">Ökologische Analyse </w:t>
            </w:r>
            <w:r>
              <w:br/>
            </w:r>
            <w:r>
              <w:rPr>
                <w:w w:val="98.93931027116447"/>
                <w:rFonts w:ascii="F54" w:hAnsi="F54" w:eastAsia="F54"/>
                <w:b w:val="0"/>
                <w:i w:val="0"/>
                <w:color w:val="000000"/>
                <w:sz w:val="29"/>
              </w:rPr>
              <w:t>Betrachtung des Lebenszyklus</w:t>
            </w:r>
          </w:p>
        </w:tc>
      </w:tr>
    </w:tbl>
    <w:p>
      <w:pPr>
        <w:autoSpaceDN w:val="0"/>
        <w:autoSpaceDE w:val="0"/>
        <w:widowControl/>
        <w:spacing w:line="358" w:lineRule="exact" w:before="84" w:after="0"/>
        <w:ind w:left="4" w:right="32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Die ökologische Bewertung von E-Bikes erfordert eine ganzheitliche Lebenszyklusanalyse, </w:t>
      </w:r>
      <w:r>
        <w:rPr>
          <w:rFonts w:ascii="F38" w:hAnsi="F38" w:eastAsia="F38"/>
          <w:b w:val="0"/>
          <w:i w:val="0"/>
          <w:color w:val="000000"/>
          <w:sz w:val="24"/>
        </w:rPr>
        <w:t>die Herstellung, Nutzung und Entsorgung umfasst. Während der Nutzungsphase wei-</w:t>
      </w:r>
      <w:r>
        <w:rPr>
          <w:rFonts w:ascii="F38" w:hAnsi="F38" w:eastAsia="F38"/>
          <w:b w:val="0"/>
          <w:i w:val="0"/>
          <w:color w:val="000000"/>
          <w:sz w:val="24"/>
        </w:rPr>
        <w:t>sen E-Bikes deutliche Umweltvorteile gegenüber motorisierten Fahrzeugen auf: Der CO2-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Ausstoÿ pro Personenkilometer beträgt nur etwa 5 Gramm, verglichen mit 140 Gramm </w:t>
      </w:r>
      <w:r>
        <w:rPr>
          <w:rFonts w:ascii="F38" w:hAnsi="F38" w:eastAsia="F38"/>
          <w:b w:val="0"/>
          <w:i w:val="0"/>
          <w:color w:val="000000"/>
          <w:sz w:val="24"/>
        </w:rPr>
        <w:t>bei einem Pkw [8].</w:t>
      </w:r>
    </w:p>
    <w:p>
      <w:pPr>
        <w:autoSpaceDN w:val="0"/>
        <w:autoSpaceDE w:val="0"/>
        <w:widowControl/>
        <w:spacing w:line="358" w:lineRule="exact" w:before="2" w:after="0"/>
        <w:ind w:left="4" w:right="34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Kritischer zu betrachten ist die Herstellungsphase, insbesondere die Produktion der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Lithium-Ionen-Batterien. Der Abbau von Lithium, Kobalt und seltenen Erden ist mit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erheblichen Umweltbelastungen und sozialen Problemen in den Abbauregionen verbunden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[10]. Zudem ist die Batterieproduktion sehr energieintensiv und verursacht etwa 40 bis 50 </w:t>
      </w:r>
      <w:r>
        <w:rPr>
          <w:rFonts w:ascii="F38" w:hAnsi="F38" w:eastAsia="F38"/>
          <w:b w:val="0"/>
          <w:i w:val="0"/>
          <w:color w:val="000000"/>
          <w:sz w:val="24"/>
        </w:rPr>
        <w:t>Prozent der gesamten CO2-Emissionen eines E-Bikes über seinen Lebenszyklus [4].</w:t>
      </w:r>
    </w:p>
    <w:p>
      <w:pPr>
        <w:autoSpaceDN w:val="0"/>
        <w:tabs>
          <w:tab w:pos="722" w:val="left"/>
        </w:tabs>
        <w:autoSpaceDE w:val="0"/>
        <w:widowControl/>
        <w:spacing w:line="286" w:lineRule="exact" w:before="498" w:after="0"/>
        <w:ind w:left="4" w:right="0" w:firstLine="0"/>
        <w:jc w:val="left"/>
      </w:pP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 xml:space="preserve">3.2 </w:t>
      </w: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>Strategien zur Nachhaltigkeit</w:t>
      </w:r>
    </w:p>
    <w:p>
      <w:pPr>
        <w:autoSpaceDN w:val="0"/>
        <w:autoSpaceDE w:val="0"/>
        <w:widowControl/>
        <w:spacing w:line="358" w:lineRule="exact" w:before="150" w:after="0"/>
        <w:ind w:left="4" w:right="30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Um die ökologischen Auswirkungen zu minimieren, verfolgen Hersteller verschiedene Nach-</w:t>
      </w:r>
      <w:r>
        <w:rPr>
          <w:rFonts w:ascii="F38" w:hAnsi="F38" w:eastAsia="F38"/>
          <w:b w:val="0"/>
          <w:i w:val="0"/>
          <w:color w:val="000000"/>
          <w:sz w:val="24"/>
        </w:rPr>
        <w:t>haltigkeitsstrategien. Dazu gehören die Verwendung recycelter Materialien, die Optimie-</w:t>
      </w:r>
      <w:r>
        <w:rPr>
          <w:rFonts w:ascii="F38" w:hAnsi="F38" w:eastAsia="F38"/>
          <w:b w:val="0"/>
          <w:i w:val="0"/>
          <w:color w:val="000000"/>
          <w:sz w:val="24"/>
        </w:rPr>
        <w:t>rung der Lieferketten und die Entwicklung langlebigerer Komponenten. Die durchschnittli-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che Lebensdauer eines E-Bikes beträgt derzeit etwa acht bis zehn Jahre, wobei die Batterie </w:t>
      </w:r>
      <w:r>
        <w:rPr>
          <w:rFonts w:ascii="F38" w:hAnsi="F38" w:eastAsia="F38"/>
          <w:b w:val="0"/>
          <w:i w:val="0"/>
          <w:color w:val="000000"/>
          <w:sz w:val="24"/>
        </w:rPr>
        <w:t>nach etwa 1.000 Ladezyklen ausgetauscht werden muss [2].</w:t>
      </w:r>
    </w:p>
    <w:p>
      <w:pPr>
        <w:autoSpaceDN w:val="0"/>
        <w:autoSpaceDE w:val="0"/>
        <w:widowControl/>
        <w:spacing w:line="358" w:lineRule="exact" w:before="0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Ein wichtiger Aspekt ist die Kreislaufwirtschaft. Rücknahme- und Recyclingsysteme </w:t>
      </w:r>
      <w:r>
        <w:rPr>
          <w:rFonts w:ascii="F38" w:hAnsi="F38" w:eastAsia="F38"/>
          <w:b w:val="0"/>
          <w:i w:val="0"/>
          <w:color w:val="000000"/>
          <w:sz w:val="24"/>
        </w:rPr>
        <w:t>für Altbatterien sind gesetzlich vorgeschrieben, jedoch liegt die tatsächliche Recycling-</w:t>
      </w:r>
      <w:r>
        <w:rPr>
          <w:rFonts w:ascii="F38" w:hAnsi="F38" w:eastAsia="F38"/>
          <w:b w:val="0"/>
          <w:i w:val="0"/>
          <w:color w:val="000000"/>
          <w:sz w:val="24"/>
        </w:rPr>
        <w:t>quote in Deutschland bei nur etwa 50 Prozent [7]. Hier besteht erhebliches Verbesserungs-</w:t>
      </w:r>
      <w:r>
        <w:rPr>
          <w:rFonts w:ascii="F38" w:hAnsi="F38" w:eastAsia="F38"/>
          <w:b w:val="0"/>
          <w:i w:val="0"/>
          <w:color w:val="000000"/>
          <w:sz w:val="24"/>
        </w:rPr>
        <w:t>potenzial, um Rohstoe zurückzugewinnen und Umweltbelastungen zu reduzieren.</w:t>
      </w:r>
    </w:p>
    <w:p>
      <w:pPr>
        <w:autoSpaceDN w:val="0"/>
        <w:autoSpaceDE w:val="0"/>
        <w:widowControl/>
        <w:spacing w:line="358" w:lineRule="exact" w:before="0" w:after="0"/>
        <w:ind w:left="4" w:right="34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Die Substitution kritischer Rohstoe steht im Fokus der Forschung. Alternative Batte-</w:t>
      </w:r>
      <w:r>
        <w:rPr>
          <w:rFonts w:ascii="F38" w:hAnsi="F38" w:eastAsia="F38"/>
          <w:b w:val="0"/>
          <w:i w:val="0"/>
          <w:color w:val="000000"/>
          <w:sz w:val="24"/>
        </w:rPr>
        <w:t>rietechnologien wie Natrium-Ionen-Akkus könnten zukünftig die Abhängigkeit von Lithi-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um und Kobalt verringern. Zudem werden Konzepte für modulare Bauweisen entwickelt,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die eine einfachere Reparatur und längere Nutzungsdauern ermöglichen. Die Einführung </w:t>
      </w:r>
      <w:r>
        <w:rPr>
          <w:rFonts w:ascii="F38" w:hAnsi="F38" w:eastAsia="F38"/>
          <w:b w:val="0"/>
          <w:i w:val="0"/>
          <w:color w:val="000000"/>
          <w:sz w:val="24"/>
        </w:rPr>
        <w:t>von Batterie-Leasing-Modellen könnte dazu beitragen, dass mehr Batterien in kontrollier-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te Recyclingprozesse gelangen und die Hersteller ein Interesse an langlebigen Produkten </w:t>
      </w:r>
      <w:r>
        <w:rPr>
          <w:rFonts w:ascii="F38" w:hAnsi="F38" w:eastAsia="F38"/>
          <w:b w:val="0"/>
          <w:i w:val="0"/>
          <w:color w:val="000000"/>
          <w:sz w:val="24"/>
        </w:rPr>
        <w:t>haben [8].</w:t>
      </w:r>
    </w:p>
    <w:p>
      <w:pPr>
        <w:autoSpaceDN w:val="0"/>
        <w:autoSpaceDE w:val="0"/>
        <w:widowControl/>
        <w:spacing w:line="218" w:lineRule="exact" w:before="2856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28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1700"/>
        </w:trPr>
        <w:tc>
          <w:tcPr>
            <w:tcW w:type="dxa" w:w="4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184" w:after="0"/>
              <w:ind w:left="4" w:right="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 xml:space="preserve">4 </w:t>
            </w:r>
            <w:r>
              <w:br/>
            </w:r>
            <w:r>
              <w:rPr>
                <w:w w:val="98.93931027116447"/>
                <w:rFonts w:ascii="F54" w:hAnsi="F54" w:eastAsia="F54"/>
                <w:b w:val="0"/>
                <w:i w:val="0"/>
                <w:color w:val="000000"/>
                <w:sz w:val="29"/>
              </w:rPr>
              <w:t>4.1</w:t>
            </w:r>
          </w:p>
        </w:tc>
        <w:tc>
          <w:tcPr>
            <w:tcW w:type="dxa" w:w="86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</w:tabs>
              <w:autoSpaceDE w:val="0"/>
              <w:widowControl/>
              <w:spacing w:line="726" w:lineRule="exact" w:before="184" w:after="0"/>
              <w:ind w:left="94" w:right="144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 xml:space="preserve">Fallbeispiel: Diamant Fahrradwerke GmbH </w:t>
            </w:r>
            <w:r>
              <w:rPr>
                <w:w w:val="98.93931027116447"/>
                <w:rFonts w:ascii="F54" w:hAnsi="F54" w:eastAsia="F54"/>
                <w:b w:val="0"/>
                <w:i w:val="0"/>
                <w:color w:val="000000"/>
                <w:sz w:val="29"/>
              </w:rPr>
              <w:t>Unternehmensausrichtung</w:t>
            </w:r>
          </w:p>
        </w:tc>
      </w:tr>
    </w:tbl>
    <w:p>
      <w:pPr>
        <w:autoSpaceDN w:val="0"/>
        <w:autoSpaceDE w:val="0"/>
        <w:widowControl/>
        <w:spacing w:line="358" w:lineRule="exact" w:before="84" w:after="0"/>
        <w:ind w:left="4" w:right="34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Die Diamant Fahrradwerke GmbH haben sich als Teil der niederländischen Accell-Gruppe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zu einem der führenden E-Bike-Hersteller in Deutschland entwickelt. Das Unternehmen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beschäftigt am Standort Hartmannsdorf über 200 Mitarbeiter und produziert jährlich </w:t>
      </w:r>
      <w:r>
        <w:rPr>
          <w:rFonts w:ascii="F38" w:hAnsi="F38" w:eastAsia="F38"/>
          <w:b w:val="0"/>
          <w:i w:val="0"/>
          <w:color w:val="000000"/>
          <w:sz w:val="24"/>
        </w:rPr>
        <w:t>mehr als 100.000 Fahrräder, davon etwa 70 Prozent E-Bikes [5].</w:t>
      </w:r>
    </w:p>
    <w:p>
      <w:pPr>
        <w:autoSpaceDN w:val="0"/>
        <w:autoSpaceDE w:val="0"/>
        <w:widowControl/>
        <w:spacing w:line="358" w:lineRule="exact" w:before="0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Die Nachhaltigkeitsstrategie von Diamant basiert auf drei Säulen: ressourcenschonende </w:t>
      </w:r>
      <w:r>
        <w:rPr>
          <w:rFonts w:ascii="F38" w:hAnsi="F38" w:eastAsia="F38"/>
          <w:b w:val="0"/>
          <w:i w:val="0"/>
          <w:color w:val="000000"/>
          <w:sz w:val="24"/>
        </w:rPr>
        <w:t>Produktion, langlebige Produktqualität und verantwortungsvolle Lieferketten. Das Un-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ternehmen bezieht Energie am Produktionsstandort zu 100 Prozent aus regenerativen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Quellen und hat die CO2-Emissionen der Produktion seit 2019 um 30 Prozent reduziert </w:t>
      </w:r>
      <w:r>
        <w:rPr>
          <w:rFonts w:ascii="F38" w:hAnsi="F38" w:eastAsia="F38"/>
          <w:b w:val="0"/>
          <w:i w:val="0"/>
          <w:color w:val="000000"/>
          <w:sz w:val="24"/>
        </w:rPr>
        <w:t>[1].</w:t>
      </w:r>
    </w:p>
    <w:p>
      <w:pPr>
        <w:autoSpaceDN w:val="0"/>
        <w:tabs>
          <w:tab w:pos="722" w:val="left"/>
        </w:tabs>
        <w:autoSpaceDE w:val="0"/>
        <w:widowControl/>
        <w:spacing w:line="286" w:lineRule="exact" w:before="500" w:after="0"/>
        <w:ind w:left="4" w:right="0" w:firstLine="0"/>
        <w:jc w:val="left"/>
      </w:pP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 xml:space="preserve">4.2 </w:t>
      </w: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>Praktische Umsetzung</w:t>
      </w:r>
    </w:p>
    <w:p>
      <w:pPr>
        <w:autoSpaceDN w:val="0"/>
        <w:autoSpaceDE w:val="0"/>
        <w:widowControl/>
        <w:spacing w:line="358" w:lineRule="exact" w:before="150" w:after="0"/>
        <w:ind w:left="4" w:right="34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Konkret setzt Diamant auf Aluminiumrahmen aus Recyclingmaterial, die zu 85 Prozent </w:t>
      </w:r>
      <w:r>
        <w:rPr>
          <w:rFonts w:ascii="F38" w:hAnsi="F38" w:eastAsia="F38"/>
          <w:b w:val="0"/>
          <w:i w:val="0"/>
          <w:color w:val="000000"/>
          <w:sz w:val="24"/>
        </w:rPr>
        <w:t>aus wiederverwertetem Aluminium bestehen. Dies reduziert den Energieaufwand der Rah-</w:t>
      </w:r>
      <w:r>
        <w:rPr>
          <w:rFonts w:ascii="F38" w:hAnsi="F38" w:eastAsia="F38"/>
          <w:b w:val="0"/>
          <w:i w:val="0"/>
          <w:color w:val="000000"/>
          <w:sz w:val="24"/>
        </w:rPr>
        <w:t>menproduktion um etwa 95 Prozent gegenüber Primäraluminium [5]. Zudem werden Ver-</w:t>
      </w:r>
      <w:r>
        <w:rPr>
          <w:rFonts w:ascii="F38" w:hAnsi="F38" w:eastAsia="F38"/>
          <w:b w:val="0"/>
          <w:i w:val="0"/>
          <w:color w:val="000000"/>
          <w:sz w:val="24"/>
        </w:rPr>
        <w:t>packungen auf ein Minimum reduziert und ausschlieÿlich recycelbare Materialien verwen-</w:t>
      </w:r>
      <w:r>
        <w:rPr>
          <w:rFonts w:ascii="F38" w:hAnsi="F38" w:eastAsia="F38"/>
          <w:b w:val="0"/>
          <w:i w:val="0"/>
          <w:color w:val="000000"/>
          <w:sz w:val="24"/>
        </w:rPr>
        <w:t>det.</w:t>
      </w:r>
    </w:p>
    <w:p>
      <w:pPr>
        <w:autoSpaceDN w:val="0"/>
        <w:autoSpaceDE w:val="0"/>
        <w:widowControl/>
        <w:spacing w:line="358" w:lineRule="exact" w:before="0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Bei der Batteriewahl kooperiert Diamant mit zertizierten Lieferanten, die soziale und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ökologische Standards einhalten. Das Unternehmen bietet zudem ein Rücknahmesystem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für Altbatterien an und arbeitet mit spezialisierten Recyclingunternehmen zusammen. Die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modulare Bauweise der E-Bikes ermöglicht eine einfache Reparatur und den Austausch </w:t>
      </w:r>
      <w:r>
        <w:rPr>
          <w:rFonts w:ascii="F38" w:hAnsi="F38" w:eastAsia="F38"/>
          <w:b w:val="0"/>
          <w:i w:val="0"/>
          <w:color w:val="000000"/>
          <w:sz w:val="24"/>
        </w:rPr>
        <w:t>einzelner Komponenten, was die Lebensdauer verlängert [5].</w:t>
      </w:r>
    </w:p>
    <w:p>
      <w:pPr>
        <w:autoSpaceDN w:val="0"/>
        <w:autoSpaceDE w:val="0"/>
        <w:widowControl/>
        <w:spacing w:line="218" w:lineRule="exact" w:before="5366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4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28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974"/>
        </w:trPr>
        <w:tc>
          <w:tcPr>
            <w:tcW w:type="dxa" w:w="3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530" w:after="0"/>
              <w:ind w:left="4" w:right="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>5</w:t>
            </w:r>
          </w:p>
        </w:tc>
        <w:tc>
          <w:tcPr>
            <w:tcW w:type="dxa" w:w="87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530" w:after="0"/>
              <w:ind w:left="194" w:right="0" w:firstLine="0"/>
              <w:jc w:val="left"/>
            </w:pPr>
            <w:r>
              <w:rPr>
                <w:w w:val="101.26706291647518"/>
                <w:rFonts w:ascii="F40" w:hAnsi="F40" w:eastAsia="F40"/>
                <w:b w:val="0"/>
                <w:i w:val="0"/>
                <w:color w:val="000000"/>
                <w:sz w:val="34"/>
              </w:rPr>
              <w:t>Fazit und Ausblick</w:t>
            </w:r>
          </w:p>
        </w:tc>
      </w:tr>
    </w:tbl>
    <w:p>
      <w:pPr>
        <w:autoSpaceDN w:val="0"/>
        <w:autoSpaceDE w:val="0"/>
        <w:widowControl/>
        <w:spacing w:line="358" w:lineRule="exact" w:before="162" w:after="0"/>
        <w:ind w:left="4" w:right="32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Die technisch-ökologische Analyse zeigt, dass E-Bikes ein erhebliches Potenzial für nach-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haltige Mobilität bieten. Während die Nutzungsphase ökologisch vorteilhaft ist, bleiben </w:t>
      </w:r>
      <w:r>
        <w:rPr>
          <w:rFonts w:ascii="F38" w:hAnsi="F38" w:eastAsia="F38"/>
          <w:b w:val="0"/>
          <w:i w:val="0"/>
          <w:color w:val="000000"/>
          <w:sz w:val="24"/>
        </w:rPr>
        <w:t>Herausforderungen bei der Batterieproduktion und dem Recycling bestehen. Das Bei-</w:t>
      </w:r>
      <w:r>
        <w:rPr>
          <w:rFonts w:ascii="F38" w:hAnsi="F38" w:eastAsia="F38"/>
          <w:b w:val="0"/>
          <w:i w:val="0"/>
          <w:color w:val="000000"/>
          <w:sz w:val="24"/>
        </w:rPr>
        <w:t>spiel der Diamant Fahrradwerke GmbH demonstriert, dass durch konsequente Nachhal-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tigkeitsstrategien, ressourcenschonende Produktion und Kreislaufwirtschaftsansätze die </w:t>
      </w:r>
      <w:r>
        <w:rPr>
          <w:rFonts w:ascii="F38" w:hAnsi="F38" w:eastAsia="F38"/>
          <w:b w:val="0"/>
          <w:i w:val="0"/>
          <w:color w:val="000000"/>
          <w:sz w:val="24"/>
        </w:rPr>
        <w:t>Umweltbilanz von E-Bikes signikant verbessert werden kann.</w:t>
      </w:r>
    </w:p>
    <w:p>
      <w:pPr>
        <w:autoSpaceDN w:val="0"/>
        <w:autoSpaceDE w:val="0"/>
        <w:widowControl/>
        <w:spacing w:line="358" w:lineRule="exact" w:before="0" w:after="0"/>
        <w:ind w:left="4" w:right="34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Für die Zukunft ist eine Weiterentwicklung der Batterietechnologie essenziell, um Res-</w:t>
      </w:r>
      <w:r>
        <w:rPr>
          <w:rFonts w:ascii="F38" w:hAnsi="F38" w:eastAsia="F38"/>
          <w:b w:val="0"/>
          <w:i w:val="0"/>
          <w:color w:val="000000"/>
          <w:sz w:val="24"/>
        </w:rPr>
        <w:t>sourcenabhängigkeiten zu reduzieren und die Umweltbelastung zu minimieren. Gleich-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zeitig müssen Recyclingsysteme ausgebaut und optimiert werden. Die Integration von </w:t>
      </w:r>
      <w:r>
        <w:rPr>
          <w:rFonts w:ascii="F38" w:hAnsi="F38" w:eastAsia="F38"/>
          <w:b w:val="0"/>
          <w:i w:val="0"/>
          <w:color w:val="000000"/>
          <w:sz w:val="24"/>
        </w:rPr>
        <w:t>E-Bikes in multimodale Verkehrskonzepte und die Förderung durch politische Rahmen-</w:t>
      </w:r>
      <w:r>
        <w:rPr>
          <w:rFonts w:ascii="F38" w:hAnsi="F38" w:eastAsia="F38"/>
          <w:b w:val="0"/>
          <w:i w:val="0"/>
          <w:color w:val="000000"/>
          <w:sz w:val="24"/>
        </w:rPr>
        <w:t>bedingungen sind weitere wichtige Faktoren für eine erfolgreiche Verkehrswende.</w:t>
      </w:r>
    </w:p>
    <w:p>
      <w:pPr>
        <w:autoSpaceDN w:val="0"/>
        <w:autoSpaceDE w:val="0"/>
        <w:widowControl/>
        <w:spacing w:line="358" w:lineRule="exact" w:before="2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E-Bikes können einen wichtigen Beitrag zur Verkehrswende leisten, sofern die gesamte </w:t>
      </w:r>
      <w:r>
        <w:rPr>
          <w:rFonts w:ascii="F38" w:hAnsi="F38" w:eastAsia="F38"/>
          <w:b w:val="0"/>
          <w:i w:val="0"/>
          <w:color w:val="000000"/>
          <w:sz w:val="24"/>
        </w:rPr>
        <w:t>Wertschöpfungskette nachhaltig gestaltet wird. Die Kombination aus technologischer In-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novation und ökologischer Verantwortung, wie sie am Beispiel der Diamant Fahrradwerke </w:t>
      </w:r>
      <w:r>
        <w:rPr>
          <w:rFonts w:ascii="F38" w:hAnsi="F38" w:eastAsia="F38"/>
          <w:b w:val="0"/>
          <w:i w:val="0"/>
          <w:color w:val="000000"/>
          <w:sz w:val="24"/>
        </w:rPr>
        <w:t>sichtbar wird, weist den Weg für eine zukunftsfähige Mobilitätslösung.</w:t>
      </w:r>
    </w:p>
    <w:p>
      <w:pPr>
        <w:autoSpaceDN w:val="0"/>
        <w:autoSpaceDE w:val="0"/>
        <w:widowControl/>
        <w:spacing w:line="218" w:lineRule="exact" w:before="8382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5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p>
      <w:pPr>
        <w:autoSpaceDN w:val="0"/>
        <w:autoSpaceDE w:val="0"/>
        <w:widowControl/>
        <w:spacing w:line="380" w:lineRule="exact" w:before="566" w:after="0"/>
        <w:ind w:left="4" w:right="0" w:firstLine="0"/>
        <w:jc w:val="left"/>
      </w:pPr>
      <w:r>
        <w:rPr>
          <w:w w:val="101.26706291647518"/>
          <w:rFonts w:ascii="F40" w:hAnsi="F40" w:eastAsia="F40"/>
          <w:b w:val="0"/>
          <w:i w:val="0"/>
          <w:color w:val="000000"/>
          <w:sz w:val="34"/>
        </w:rPr>
        <w:t>Literaturverzeichnis</w:t>
      </w:r>
    </w:p>
    <w:p>
      <w:pPr>
        <w:autoSpaceDN w:val="0"/>
        <w:autoSpaceDE w:val="0"/>
        <w:widowControl/>
        <w:spacing w:line="378" w:lineRule="exact" w:before="402" w:after="250"/>
        <w:ind w:left="4" w:right="0" w:firstLine="0"/>
        <w:jc w:val="left"/>
      </w:pPr>
      <w:r>
        <w:rPr>
          <w:w w:val="101.26706291647518"/>
          <w:rFonts w:ascii="F40" w:hAnsi="F40" w:eastAsia="F40"/>
          <w:b w:val="0"/>
          <w:i w:val="0"/>
          <w:color w:val="000000"/>
          <w:sz w:val="34"/>
        </w:rPr>
        <w:t>Literatur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.99999999999994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38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[1] Accell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Group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(2024):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0" w:firstLine="0"/>
              <w:jc w:val="center"/>
            </w:pPr>
            <w:r>
              <w:rPr>
                <w:rFonts w:ascii="F55" w:hAnsi="F55" w:eastAsia="F55"/>
                <w:b w:val="0"/>
                <w:i w:val="0"/>
                <w:color w:val="000000"/>
                <w:sz w:val="24"/>
              </w:rPr>
              <w:t>Sustainability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0" w:right="0" w:firstLine="0"/>
              <w:jc w:val="center"/>
            </w:pPr>
            <w:r>
              <w:rPr>
                <w:rFonts w:ascii="F55" w:hAnsi="F55" w:eastAsia="F55"/>
                <w:b w:val="0"/>
                <w:i w:val="0"/>
                <w:color w:val="000000"/>
                <w:sz w:val="24"/>
              </w:rPr>
              <w:t>Report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0" w:firstLine="0"/>
              <w:jc w:val="center"/>
            </w:pPr>
            <w:r>
              <w:rPr>
                <w:rFonts w:ascii="F55" w:hAnsi="F55" w:eastAsia="F55"/>
                <w:b w:val="0"/>
                <w:i w:val="0"/>
                <w:color w:val="000000"/>
                <w:sz w:val="24"/>
              </w:rPr>
              <w:t>2023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URL: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10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https://www.accell-</w:t>
            </w:r>
          </w:p>
        </w:tc>
      </w:tr>
    </w:tbl>
    <w:p>
      <w:pPr>
        <w:autoSpaceDN w:val="0"/>
        <w:tabs>
          <w:tab w:pos="120" w:val="left"/>
          <w:tab w:pos="484" w:val="left"/>
        </w:tabs>
        <w:autoSpaceDE w:val="0"/>
        <w:widowControl/>
        <w:spacing w:line="448" w:lineRule="exact" w:before="0" w:after="0"/>
        <w:ind w:left="4" w:right="0" w:firstLine="0"/>
        <w:jc w:val="left"/>
      </w:pPr>
      <w:r>
        <w:tab/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group.com/sustainability (Zugri am: 15.01.2026)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[2] Allgemeiner Deutscher Fahrrad-Club e.V. (2024):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E-Bike-Ratgeber: Lebensdau-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er und Wartung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URL: https://www.adfc.de/artikel/e-bike-ratgeber (Zugri am: </w:t>
      </w:r>
      <w:r>
        <w:tab/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12.01.2026)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[3] Bosch eBike Systems (2023):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Technische Dokumentation: Antriebssysteme und Bat-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terien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Stuttgart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[4] CycleTest Magazin (2023):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Ökobilanz von E-Bikes: Eine Lebenszyklusanalyse</w:t>
      </w:r>
      <w:r>
        <w:rPr>
          <w:rFonts w:ascii="F38" w:hAnsi="F38" w:eastAsia="F38"/>
          <w:b w:val="0"/>
          <w:i w:val="0"/>
          <w:color w:val="000000"/>
          <w:sz w:val="24"/>
        </w:rPr>
        <w:t>, Aus-</w:t>
      </w:r>
      <w:r>
        <w:tab/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gabe 3/2023, S. 45-52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[5] Diamant Fahrradwerke GmbH (2024):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Unternehmensbroschüre und Nachhaltigkeits-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bericht 2023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Hartmannsdorf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[6] E-Bike Motion Technologies (2024):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Connected E-Mobility: Digitale Lösungen für E-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Bikes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URL: https://www.ebikemotion.com (Zugri am: 14.01.2026)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[7] Gemeinsames Rücknahmesystem Batterien (2023):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Jahresbericht 2022: Sammlung 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und Verwertung von Batterien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Hamburg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[8] Institut für Energie- und Umweltforschung Heidelberg (2022):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Ökologischer Vergleich 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von E-Bikes und konventionellen Verkehrsmitteln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Heidelberg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[9] Kalkho Werke GmbH (2023):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E-Bike-Technologie: Motoren und Antriebssysteme im 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Vergleich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Cloppenburg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[10] Öko-Institut e.V. (2023):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Rohstoe für die E-Mobilität: Herausforderungen und Lö-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sungsansätze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Freiburg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[11] StromVelo Fachmagazin (2023):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Rekuperation bei E-Bikes: Technologie und Ezienz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</w:t>
      </w:r>
      <w:r>
        <w:tab/>
      </w:r>
      <w:r>
        <w:tab/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Ausgabe 2/2023, S. 28-34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[12] Umweltbundesamt (2023):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E-Bikes und Umwelt: Chancen und Herausforderungen der 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Elektromobilität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, Dessau-Roÿlau </w:t>
      </w:r>
      <w:r>
        <w:br/>
      </w:r>
      <w:r>
        <w:rPr>
          <w:rFonts w:ascii="F38" w:hAnsi="F38" w:eastAsia="F38"/>
          <w:b w:val="0"/>
          <w:i w:val="0"/>
          <w:color w:val="000000"/>
          <w:sz w:val="24"/>
        </w:rPr>
        <w:t>[13] Zweirad-Industrie-Verband e.V. (2024):</w:t>
      </w:r>
      <w:r>
        <w:rPr>
          <w:rFonts w:ascii="F55" w:hAnsi="F55" w:eastAsia="F55"/>
          <w:b w:val="0"/>
          <w:i w:val="0"/>
          <w:color w:val="000000"/>
          <w:sz w:val="24"/>
        </w:rPr>
        <w:t xml:space="preserve"> Zahlen - Daten - Fakten zum Fahrradmarkt </w:t>
      </w:r>
      <w:r>
        <w:tab/>
      </w:r>
      <w:r>
        <w:tab/>
      </w:r>
      <w:r>
        <w:rPr>
          <w:rFonts w:ascii="F55" w:hAnsi="F55" w:eastAsia="F55"/>
          <w:b w:val="0"/>
          <w:i w:val="0"/>
          <w:color w:val="000000"/>
          <w:sz w:val="24"/>
        </w:rPr>
        <w:t>in Deutschland 2023</w:t>
      </w:r>
      <w:r>
        <w:rPr>
          <w:rFonts w:ascii="F38" w:hAnsi="F38" w:eastAsia="F38"/>
          <w:b w:val="0"/>
          <w:i w:val="0"/>
          <w:color w:val="000000"/>
          <w:sz w:val="24"/>
        </w:rPr>
        <w:t>, Bad Soden</w:t>
      </w:r>
    </w:p>
    <w:p>
      <w:pPr>
        <w:autoSpaceDN w:val="0"/>
        <w:autoSpaceDE w:val="0"/>
        <w:widowControl/>
        <w:spacing w:line="218" w:lineRule="exact" w:before="908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6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0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p>
      <w:pPr>
        <w:autoSpaceDN w:val="0"/>
        <w:autoSpaceDE w:val="0"/>
        <w:widowControl/>
        <w:spacing w:line="380" w:lineRule="exact" w:before="566" w:after="0"/>
        <w:ind w:left="4" w:right="0" w:firstLine="0"/>
        <w:jc w:val="left"/>
      </w:pPr>
      <w:r>
        <w:rPr>
          <w:w w:val="101.26706291647518"/>
          <w:rFonts w:ascii="F40" w:hAnsi="F40" w:eastAsia="F40"/>
          <w:b w:val="0"/>
          <w:i w:val="0"/>
          <w:color w:val="000000"/>
          <w:sz w:val="34"/>
        </w:rPr>
        <w:t>Eigenständigkeitserklärung</w:t>
      </w:r>
    </w:p>
    <w:p>
      <w:pPr>
        <w:autoSpaceDN w:val="0"/>
        <w:autoSpaceDE w:val="0"/>
        <w:widowControl/>
        <w:spacing w:line="288" w:lineRule="exact" w:before="438" w:after="0"/>
        <w:ind w:left="4" w:right="0" w:firstLine="0"/>
        <w:jc w:val="left"/>
      </w:pP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>Erklärung zur selbstständigen Anfertigung</w:t>
      </w:r>
    </w:p>
    <w:p>
      <w:pPr>
        <w:autoSpaceDN w:val="0"/>
        <w:autoSpaceDE w:val="0"/>
        <w:widowControl/>
        <w:spacing w:line="358" w:lineRule="exact" w:before="148" w:after="0"/>
        <w:ind w:left="4" w:right="34" w:firstLine="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>Hiermit versichere ich, dass ich die vorliegende Arbeit in allen Teilen selbstständig an-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gefertigt und keine anderen als die in der Arbeit angegebenen Quellen und Hilfsmittel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benutzt habe, und dass die Arbeit in gleicher oder ähnlicher Form in noch keiner anderen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Prüfung vorgelegen hat. Sämtliche wörtlichen oder sinngemäÿen Übernahmen und Zitate,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sowie alle Abschnitte, die mithilfe von KI-basierten Tools entworfen, verfasst und/oder </w:t>
      </w:r>
      <w:r>
        <w:rPr>
          <w:rFonts w:ascii="F38" w:hAnsi="F38" w:eastAsia="F38"/>
          <w:b w:val="0"/>
          <w:i w:val="0"/>
          <w:color w:val="000000"/>
          <w:sz w:val="24"/>
        </w:rPr>
        <w:t>bearbeitet wurden, sind kenntlich gemacht und nachgewiesen.</w:t>
      </w:r>
    </w:p>
    <w:p>
      <w:pPr>
        <w:autoSpaceDN w:val="0"/>
        <w:autoSpaceDE w:val="0"/>
        <w:widowControl/>
        <w:spacing w:line="286" w:lineRule="exact" w:before="498" w:after="0"/>
        <w:ind w:left="4" w:right="0" w:firstLine="0"/>
        <w:jc w:val="left"/>
      </w:pPr>
      <w:r>
        <w:rPr>
          <w:w w:val="98.93931027116447"/>
          <w:rFonts w:ascii="F54" w:hAnsi="F54" w:eastAsia="F54"/>
          <w:b w:val="0"/>
          <w:i w:val="0"/>
          <w:color w:val="000000"/>
          <w:sz w:val="29"/>
        </w:rPr>
        <w:t>Angaben zur Verwendung KI-basierter Hilfsmittel</w:t>
      </w:r>
    </w:p>
    <w:p>
      <w:pPr>
        <w:autoSpaceDN w:val="0"/>
        <w:autoSpaceDE w:val="0"/>
        <w:widowControl/>
        <w:spacing w:line="358" w:lineRule="exact" w:before="150" w:after="220"/>
        <w:ind w:left="4" w:right="0" w:firstLine="0"/>
        <w:jc w:val="left"/>
      </w:pPr>
      <w:r>
        <w:rPr>
          <w:rFonts w:ascii="F38" w:hAnsi="F38" w:eastAsia="F38"/>
          <w:b w:val="0"/>
          <w:i w:val="0"/>
          <w:color w:val="000000"/>
          <w:sz w:val="24"/>
        </w:rPr>
        <w:t>Im Rahmen der Erstellung dieser Belegarbeit habe ich folgende KI-basierte Tools verwen-</w:t>
      </w:r>
      <w:r>
        <w:rPr>
          <w:rFonts w:ascii="F38" w:hAnsi="F38" w:eastAsia="F38"/>
          <w:b w:val="0"/>
          <w:i w:val="0"/>
          <w:color w:val="000000"/>
          <w:sz w:val="24"/>
        </w:rPr>
        <w:t>det: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5.99999999999994" w:type="dxa"/>
      </w:tblPr>
      <w:tblGrid>
        <w:gridCol w:w="2274"/>
        <w:gridCol w:w="2274"/>
        <w:gridCol w:w="2274"/>
        <w:gridCol w:w="2274"/>
      </w:tblGrid>
      <w:tr>
        <w:trPr>
          <w:trHeight w:hRule="exact" w:val="296"/>
        </w:trPr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16" w:right="0" w:firstLine="0"/>
              <w:jc w:val="left"/>
            </w:pPr>
            <w:r>
              <w:rPr>
                <w:rFonts w:ascii="F52" w:hAnsi="F52" w:eastAsia="F52"/>
                <w:b w:val="0"/>
                <w:i w:val="0"/>
                <w:color w:val="000000"/>
                <w:sz w:val="24"/>
              </w:rPr>
              <w:t>KI-Tool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14" w:right="0" w:firstLine="0"/>
              <w:jc w:val="left"/>
            </w:pPr>
            <w:r>
              <w:rPr>
                <w:rFonts w:ascii="F52" w:hAnsi="F52" w:eastAsia="F52"/>
                <w:b w:val="0"/>
                <w:i w:val="0"/>
                <w:color w:val="000000"/>
                <w:sz w:val="24"/>
              </w:rPr>
              <w:t>Einsatzform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14" w:right="0" w:firstLine="0"/>
              <w:jc w:val="left"/>
            </w:pPr>
            <w:r>
              <w:rPr>
                <w:rFonts w:ascii="F52" w:hAnsi="F52" w:eastAsia="F52"/>
                <w:b w:val="0"/>
                <w:i w:val="0"/>
                <w:color w:val="000000"/>
                <w:sz w:val="24"/>
              </w:rPr>
              <w:t>Grund</w:t>
            </w:r>
          </w:p>
        </w:tc>
        <w:tc>
          <w:tcPr>
            <w:tcW w:type="dxa" w:w="250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14" w:right="0" w:firstLine="0"/>
              <w:jc w:val="left"/>
            </w:pPr>
            <w:r>
              <w:rPr>
                <w:rFonts w:ascii="F52" w:hAnsi="F52" w:eastAsia="F52"/>
                <w:b w:val="0"/>
                <w:i w:val="0"/>
                <w:color w:val="000000"/>
                <w:sz w:val="24"/>
              </w:rPr>
              <w:t>Betroene Teile</w:t>
            </w:r>
          </w:p>
        </w:tc>
      </w:tr>
      <w:tr>
        <w:trPr>
          <w:trHeight w:hRule="exact" w:val="1464"/>
        </w:trPr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16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DeepL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" w:after="0"/>
              <w:ind w:left="11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Übersetzung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4" w:val="left"/>
              </w:tabs>
              <w:autoSpaceDE w:val="0"/>
              <w:widowControl/>
              <w:spacing w:line="286" w:lineRule="exact" w:before="0" w:after="0"/>
              <w:ind w:left="11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Übersetzung </w:t>
            </w:r>
            <w:r>
              <w:br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englischer Fach-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begrie </w:t>
            </w:r>
            <w:r>
              <w:tab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und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Überprüfung der 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Formulierungen</w:t>
            </w:r>
          </w:p>
        </w:tc>
        <w:tc>
          <w:tcPr>
            <w:tcW w:type="dxa" w:w="250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1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Gesamter Text (Kor-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rekturlesen)</w:t>
            </w:r>
          </w:p>
        </w:tc>
      </w:tr>
      <w:tr>
        <w:trPr>
          <w:trHeight w:hRule="exact" w:val="1452"/>
        </w:trPr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6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ChatGPT 4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4" w:right="288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Recherche-</w:t>
            </w:r>
            <w:r>
              <w:br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unterstützung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80" w:val="left"/>
              </w:tabs>
              <w:autoSpaceDE w:val="0"/>
              <w:widowControl/>
              <w:spacing w:line="284" w:lineRule="exact" w:before="0" w:after="0"/>
              <w:ind w:left="11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Literaturhinweise 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und </w:t>
            </w:r>
            <w:r>
              <w:tab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Verständ-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nisfragen </w:t>
            </w:r>
            <w:r>
              <w:tab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zu 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technischen </w:t>
            </w:r>
            <w:r>
              <w:br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Konzepten</w:t>
            </w:r>
          </w:p>
        </w:tc>
        <w:tc>
          <w:tcPr>
            <w:tcW w:type="dxa" w:w="250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Abschnitt 2 (Techni-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sche Analyse)</w:t>
            </w:r>
          </w:p>
        </w:tc>
      </w:tr>
      <w:tr>
        <w:trPr>
          <w:trHeight w:hRule="exact" w:val="1164"/>
        </w:trPr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6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Grammarly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144" w:firstLine="0"/>
              <w:jc w:val="center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Rechtschreibung 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und Grammatik</w:t>
            </w:r>
          </w:p>
        </w:tc>
        <w:tc>
          <w:tcPr>
            <w:tcW w:type="dxa" w:w="194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8" w:val="left"/>
                <w:tab w:pos="1450" w:val="left"/>
              </w:tabs>
              <w:autoSpaceDE w:val="0"/>
              <w:widowControl/>
              <w:spacing w:line="284" w:lineRule="exact" w:before="0" w:after="0"/>
              <w:ind w:left="11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Korrektur </w:t>
            </w:r>
            <w:r>
              <w:tab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von 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Rechtschreib-</w:t>
            </w:r>
            <w:r>
              <w:br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 xml:space="preserve">und </w:t>
            </w:r>
            <w:r>
              <w:tab/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Gramma-</w:t>
            </w: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tikfehlern</w:t>
            </w:r>
          </w:p>
        </w:tc>
        <w:tc>
          <w:tcPr>
            <w:tcW w:type="dxa" w:w="250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1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Gesamter Text</w:t>
            </w:r>
          </w:p>
        </w:tc>
      </w:tr>
    </w:tbl>
    <w:p>
      <w:pPr>
        <w:autoSpaceDN w:val="0"/>
        <w:autoSpaceDE w:val="0"/>
        <w:widowControl/>
        <w:spacing w:line="358" w:lineRule="exact" w:before="340" w:after="0"/>
        <w:ind w:left="4" w:right="32" w:firstLine="350"/>
        <w:jc w:val="both"/>
      </w:pPr>
      <w:r>
        <w:rPr>
          <w:rFonts w:ascii="F38" w:hAnsi="F38" w:eastAsia="F38"/>
          <w:b w:val="0"/>
          <w:i w:val="0"/>
          <w:color w:val="000000"/>
          <w:sz w:val="24"/>
        </w:rPr>
        <w:t xml:space="preserve">Ich versichere, dass ich keine KI-basierten Tools verwendet habe, deren Nutzung der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Prüfer explizit schriftlich ausgeschlossen hat. Ich bin mir bewusst, dass die Verwendung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von Texten oder anderen Inhalten und Produkten, die durch KI-basierte Tools generiert </w:t>
      </w:r>
      <w:r>
        <w:rPr>
          <w:rFonts w:ascii="F38" w:hAnsi="F38" w:eastAsia="F38"/>
          <w:b w:val="0"/>
          <w:i w:val="0"/>
          <w:color w:val="000000"/>
          <w:sz w:val="24"/>
        </w:rPr>
        <w:t>wurden, keine Garantie für deren Qualität darstellt. Ich verantworte die Übernahme jegli-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cher von mir verwendeter maschinell generierter Passagen vollumfänglich selbst und trage </w:t>
      </w:r>
      <w:r>
        <w:rPr>
          <w:rFonts w:ascii="F38" w:hAnsi="F38" w:eastAsia="F38"/>
          <w:b w:val="0"/>
          <w:i w:val="0"/>
          <w:color w:val="000000"/>
          <w:sz w:val="24"/>
        </w:rPr>
        <w:t xml:space="preserve">die Verantwortung für eventuell durch die KI generierte fehlerhafte oder verzerrte Inhalte, </w:t>
      </w:r>
      <w:r>
        <w:rPr>
          <w:rFonts w:ascii="F38" w:hAnsi="F38" w:eastAsia="F38"/>
          <w:b w:val="0"/>
          <w:i w:val="0"/>
          <w:color w:val="000000"/>
          <w:sz w:val="24"/>
        </w:rPr>
        <w:t>fehlerhafte Referenzen, Verstöÿe gegen das Datenschutz- und Urheberrecht oder Plagia-</w:t>
      </w:r>
      <w:r>
        <w:rPr>
          <w:rFonts w:ascii="F38" w:hAnsi="F38" w:eastAsia="F38"/>
          <w:b w:val="0"/>
          <w:i w:val="0"/>
          <w:color w:val="000000"/>
          <w:sz w:val="24"/>
        </w:rPr>
        <w:t>te. Ich versichere zudem, dass in der vorliegenden Arbeit mein gestalterischer Einuss</w:t>
      </w:r>
      <w:r>
        <w:rPr>
          <w:rFonts w:ascii="F38" w:hAnsi="F38" w:eastAsia="F38"/>
          <w:b w:val="0"/>
          <w:i w:val="0"/>
          <w:color w:val="000000"/>
          <w:sz w:val="24"/>
        </w:rPr>
        <w:t>überwiegt.</w:t>
      </w:r>
    </w:p>
    <w:p>
      <w:pPr>
        <w:autoSpaceDN w:val="0"/>
        <w:autoSpaceDE w:val="0"/>
        <w:widowControl/>
        <w:spacing w:line="218" w:lineRule="exact" w:before="1140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7</w:t>
      </w:r>
    </w:p>
    <w:p>
      <w:pPr>
        <w:sectPr>
          <w:pgSz w:w="11906" w:h="16838"/>
          <w:pgMar w:top="352" w:right="1394" w:bottom="3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18" w:lineRule="exact" w:before="0" w:after="28"/>
        <w:ind w:left="4" w:right="0" w:firstLine="0"/>
        <w:jc w:val="left"/>
      </w:pPr>
      <w:r>
        <w:rPr>
          <w:rFonts w:ascii="F53" w:hAnsi="F53" w:eastAsia="F53"/>
          <w:b w:val="0"/>
          <w:i w:val="0"/>
          <w:color w:val="000000"/>
          <w:sz w:val="22"/>
        </w:rPr>
        <w:t>Kaan [Nachname]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1190"/>
        </w:trPr>
        <w:tc>
          <w:tcPr>
            <w:tcW w:type="dxa" w:w="284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0" w:after="0"/>
              <w:ind w:left="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Ort, Datum</w:t>
            </w:r>
          </w:p>
        </w:tc>
        <w:tc>
          <w:tcPr>
            <w:tcW w:type="dxa" w:w="62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0" w:after="0"/>
              <w:ind w:left="234" w:right="0" w:firstLine="0"/>
              <w:jc w:val="left"/>
            </w:pPr>
            <w:r>
              <w:rPr>
                <w:rFonts w:ascii="F38" w:hAnsi="F38" w:eastAsia="F38"/>
                <w:b w:val="0"/>
                <w:i w:val="0"/>
                <w:color w:val="000000"/>
                <w:sz w:val="24"/>
              </w:rPr>
              <w:t>Unterschrift</w:t>
            </w:r>
          </w:p>
        </w:tc>
      </w:tr>
    </w:tbl>
    <w:p>
      <w:pPr>
        <w:autoSpaceDN w:val="0"/>
        <w:autoSpaceDE w:val="0"/>
        <w:widowControl/>
        <w:spacing w:line="218" w:lineRule="exact" w:before="13706" w:after="0"/>
        <w:ind w:left="0" w:right="24" w:firstLine="0"/>
        <w:jc w:val="right"/>
      </w:pPr>
      <w:r>
        <w:rPr>
          <w:rFonts w:ascii="F53" w:hAnsi="F53" w:eastAsia="F53"/>
          <w:b w:val="0"/>
          <w:i w:val="0"/>
          <w:color w:val="000000"/>
          <w:sz w:val="22"/>
        </w:rPr>
        <w:t>8</w:t>
      </w:r>
    </w:p>
    <w:sectPr w:rsidR="00FC693F" w:rsidRPr="0006063C" w:rsidSect="00034616">
      <w:pgSz w:w="11906" w:h="16838"/>
      <w:pgMar w:top="352" w:right="1394" w:bottom="382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