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306"/>
      </w:tblGrid>
      <w:tr>
        <w:trPr>
          <w:cantSplit/>
        </w:trPr>
        <w:tc>
          <w:tcPr>
            <w:tcW w:type="dxa" w:w="11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1C2C" w:color="auto" w:val="clear"/>
            <w:tcMar>
              <w:top w:type="dxa" w:w="2400"/>
              <w:left w:type="dxa" w:w="1100"/>
              <w:bottom w:type="dxa" w:w="2400"/>
              <w:right w:type="dxa" w:w="1100"/>
            </w:tcMar>
            <w:vAlign w:val="center"/>
          </w:tcPr>
          <w:p>
            <w:pPr>
              <w:spacing w:after="18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73FF"/>
                <w:sz w:val="18"/>
                <w:szCs w:val="18"/>
              </w:rPr>
              <w:t xml:space="preserve">BRAND GUIDELINES</w:t>
            </w:r>
          </w:p>
          <w:p>
            <w:pPr>
              <w:pBdr>
                <w:bottom w:val="single" w:color="4F73FF" w:sz="4" w:space="1"/>
              </w:pBdr>
              <w:spacing w:after="480" w:before="0"/>
            </w:pPr>
          </w:p>
          <w:p>
            <w:pPr>
              <w:spacing w:after="60" w:before="0" w:line="320" w:lineRule="auto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C7D5E5"/>
                <w:sz w:val="56"/>
                <w:szCs w:val="56"/>
              </w:rPr>
              <w:t xml:space="preserve">Charte</w:t>
            </w:r>
          </w:p>
          <w:p>
            <w:pPr>
              <w:spacing w:after="480" w:before="0" w:line="26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5F1EB"/>
                <w:sz w:val="144"/>
                <w:szCs w:val="144"/>
              </w:rPr>
              <w:t xml:space="preserve">Graphique</w:t>
            </w:r>
          </w:p>
          <w:p>
            <w:pPr>
              <w:spacing w:after="20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4F73FF"/>
                <w:sz w:val="88"/>
                <w:szCs w:val="88"/>
              </w:rPr>
              <w:t xml:space="preserve">SKILLNAV</w:t>
            </w:r>
          </w:p>
          <w:p>
            <w:pPr>
              <w:spacing w:after="2400" w:before="0" w:line="320" w:lineRule="auto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C7D5E5"/>
                <w:sz w:val="28"/>
                <w:szCs w:val="28"/>
              </w:rPr>
              <w:t xml:space="preserve">Skills Navigator —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7D5E5"/>
                <w:sz w:val="24"/>
                <w:szCs w:val="24"/>
              </w:rPr>
              <w:t xml:space="preserve"> observatoire des compétences IA &amp; Data Science.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73FF"/>
                <w:sz w:val="18"/>
                <w:szCs w:val="18"/>
              </w:rPr>
              <w:t xml:space="preserve">M242 · ENSA-Tétouan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FA3B8"/>
                <w:sz w:val="18"/>
                <w:szCs w:val="18"/>
              </w:rPr>
              <w:t xml:space="preserve">Karamo Sylla &amp; Bachirou Konaté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FA3B8"/>
                <w:sz w:val="18"/>
                <w:szCs w:val="18"/>
              </w:rPr>
              <w:t xml:space="preserve">Mai 2026</w:t>
            </w:r>
          </w:p>
        </w:tc>
      </w:tr>
    </w:tbl>
    <w:p>
      <w:pPr>
        <w:spacing w:after="0" w:before="0" w:line="100" w:lineRule="auto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300" w:right="300" w:bottom="300" w:left="300" w:header="708" w:footer="708" w:gutter="0"/>
          <w:pgNumType/>
          <w:docGrid w:linePitch="360"/>
        </w:sectPr>
      </w:pPr>
    </w:p>
    <w:p>
      <w:pPr>
        <w:spacing w:after="80" w:before="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51FF"/>
          <w:sz w:val="16"/>
          <w:szCs w:val="16"/>
        </w:rPr>
        <w:t xml:space="preserve">SOMMAIRE</w:t>
      </w:r>
    </w:p>
    <w:p>
      <w:pPr>
        <w:pStyle w:val="Heading1"/>
        <w:spacing w:after="120" w:before="0" w:line="280" w:lineRule="auto"/>
      </w:pPr>
      <w:r>
        <w:rPr>
          <w:rFonts w:ascii="Georgia" w:cs="Georgia" w:eastAsia="Georgia" w:hAnsi="Georgia"/>
          <w:b/>
          <w:bCs/>
          <w:color w:val="051C2C"/>
          <w:sz w:val="64"/>
          <w:szCs w:val="64"/>
        </w:rPr>
        <w:t xml:space="preserve">Table des matières</w:t>
      </w:r>
    </w:p>
    <w:p>
      <w:pPr>
        <w:pBdr>
          <w:bottom w:val="single" w:color="2251FF" w:sz="8" w:space="1"/>
        </w:pBdr>
        <w:spacing w:after="480" w:before="0"/>
      </w:pP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7304"/>
      </w:tblGrid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01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Direction artistique</w:t>
            </w:r>
          </w:p>
        </w:tc>
      </w:tr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02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Palette principale — Navy &amp; Royal Blue</w:t>
            </w:r>
          </w:p>
        </w:tc>
      </w:tr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03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Palette neutres &amp; sémantiques</w:t>
            </w:r>
          </w:p>
        </w:tc>
      </w:tr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04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Familles IA / Data Science</w:t>
            </w:r>
          </w:p>
        </w:tc>
      </w:tr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05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Typographie</w:t>
            </w:r>
          </w:p>
        </w:tc>
      </w:tr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06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Iconographie &amp; espacements</w:t>
            </w:r>
          </w:p>
        </w:tc>
      </w:tr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07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Composants UI</w:t>
            </w:r>
          </w:p>
        </w:tc>
      </w:tr>
      <w:tr>
        <w:trPr>
          <w:cantSplit/>
          <w:trHeight w:val="60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51FF"/>
                <w:sz w:val="36"/>
                <w:szCs w:val="36"/>
              </w:rPr>
              <w:t xml:space="preserve">08</w:t>
            </w:r>
          </w:p>
        </w:tc>
        <w:tc>
          <w:tcPr>
            <w:tcW w:type="dxa" w:w="7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Variables CSS</w:t>
            </w:r>
          </w:p>
        </w:tc>
      </w:tr>
    </w:tbl>
    <w:p>
      <w:pPr>
        <w:pBdr>
          <w:bottom w:val="single" w:color="E5E7EB" w:sz="4" w:space="1"/>
        </w:pBdr>
        <w:spacing w:after="0" w:before="240"/>
      </w:pPr>
    </w:p>
    <w:p>
      <w:r>
        <w:br w:type="page"/>
      </w:r>
    </w:p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01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DIRECTION ARTISTIQUE</w:t>
      </w:r>
    </w:p>
    <w:p>
      <w:pPr>
        <w:pBdr>
          <w:bottom w:val="single" w:color="2251FF" w:sz="8" w:space="1"/>
        </w:pBdr>
        <w:spacing w:after="360" w:before="240"/>
      </w:pPr>
    </w:p>
    <w:p>
      <w:pPr>
        <w:spacing w:after="240" w:before="0" w:line="360" w:lineRule="auto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133553"/>
          <w:sz w:val="24"/>
          <w:szCs w:val="24"/>
        </w:rPr>
        <w:t xml:space="preserve">« Cartographier les compétences IA, sans dramatiser. SKILLNAV mesure l'évolution du marché de l'expertise data avec la rigueur d'un institut de recherche et la sobriété d'une publication scientifique. »</w:t>
      </w:r>
    </w:p>
    <w:p>
      <w:pPr>
        <w:spacing w:after="3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L'identité visuelle de SKILLNAV reproduit fidèlement les codes de McKinsey &amp; Company : navy profond, royal blue électrique, serif éditorial, grotesque institutionnelle. Aucun ornement décoratif — le contenu porte le sens.</w:t>
      </w: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Quatre principes directeurs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rPr>
          <w:cantSplit/>
        </w:trPr>
        <w:tc>
          <w:tcPr>
            <w:tcW w:type="dxa" w:w="4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3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6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01</w:t>
            </w:r>
          </w:p>
          <w:p>
            <w:pPr>
              <w:spacing w:after="100" w:before="0" w:line="28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51C2C"/>
                <w:sz w:val="26"/>
                <w:szCs w:val="26"/>
              </w:rPr>
              <w:t xml:space="preserve">Autorité éditoriale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Hiérarchie typographique forte. Serif Display pour les titres. Chaque écran se lit comme une publication de référence.</w:t>
            </w:r>
          </w:p>
        </w:tc>
        <w:tc>
          <w:tcPr>
            <w:tcW w:type="dxa" w:w="4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3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6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02</w:t>
            </w:r>
          </w:p>
          <w:p>
            <w:pPr>
              <w:spacing w:after="100" w:before="0" w:line="28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51C2C"/>
                <w:sz w:val="26"/>
                <w:szCs w:val="26"/>
              </w:rPr>
              <w:t xml:space="preserve">Sobriété radicale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Aucune ombre, aucun gradient, aucune illustration décorative. Le design s'efface devant la donnée.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3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6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03</w:t>
            </w:r>
          </w:p>
          <w:p>
            <w:pPr>
              <w:spacing w:after="100" w:before="0" w:line="28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51C2C"/>
                <w:sz w:val="26"/>
                <w:szCs w:val="26"/>
              </w:rPr>
              <w:t xml:space="preserve">Densité assumée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Le dashboard analytique est dense : c'est un outil pour chercheur. Les pages méthode aèrent le rythme.</w:t>
            </w:r>
          </w:p>
        </w:tc>
        <w:tc>
          <w:tcPr>
            <w:tcW w:type="dxa" w:w="4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3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6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04</w:t>
            </w:r>
          </w:p>
          <w:p>
            <w:pPr>
              <w:spacing w:after="100" w:before="0" w:line="28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51C2C"/>
                <w:sz w:val="26"/>
                <w:szCs w:val="26"/>
              </w:rPr>
              <w:t xml:space="preserve">Honnêteté méthodologique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Disclaimers automatiques, badges de confiance visibles, intervalles de confiance affichés. La transparence est un élément graphique.</w:t>
            </w:r>
          </w:p>
        </w:tc>
      </w:tr>
    </w:tbl>
    <w:p>
      <w:pPr>
        <w:spacing w:after="360" w:before="0" w:line="320" w:lineRule="auto"/>
        <w:jc w:val="left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Attributs de marque</w:t>
      </w:r>
    </w:p>
    <w:p>
      <w:pPr>
        <w:spacing w:after="120" w:before="0" w:line="320" w:lineRule="auto"/>
        <w:jc w:val="left"/>
      </w:pPr>
      <w:r>
        <w:rPr>
          <w:rFonts w:ascii="Consolas" w:cs="Consolas" w:eastAsia="Consolas" w:hAnsi="Consolas"/>
          <w:b/>
          <w:bCs/>
          <w:i w:val="false"/>
          <w:iCs w:val="false"/>
          <w:color w:val="2251FF"/>
          <w:sz w:val="16"/>
          <w:szCs w:val="16"/>
        </w:rPr>
        <w:t xml:space="preserve">INSTITUTIONNEL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5E7EB"/>
          <w:sz w:val="16"/>
          <w:szCs w:val="16"/>
        </w:rPr>
        <w:t xml:space="preserve">   ·   </w:t>
      </w:r>
      <w:r>
        <w:rPr>
          <w:rFonts w:ascii="Consolas" w:cs="Consolas" w:eastAsia="Consolas" w:hAnsi="Consolas"/>
          <w:b/>
          <w:bCs/>
          <w:i w:val="false"/>
          <w:iCs w:val="false"/>
          <w:color w:val="2251FF"/>
          <w:sz w:val="16"/>
          <w:szCs w:val="16"/>
        </w:rPr>
        <w:t xml:space="preserve">ÉDITORIAL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5E7EB"/>
          <w:sz w:val="16"/>
          <w:szCs w:val="16"/>
        </w:rPr>
        <w:t xml:space="preserve">   ·   </w:t>
      </w:r>
      <w:r>
        <w:rPr>
          <w:rFonts w:ascii="Consolas" w:cs="Consolas" w:eastAsia="Consolas" w:hAnsi="Consolas"/>
          <w:b/>
          <w:bCs/>
          <w:i w:val="false"/>
          <w:iCs w:val="false"/>
          <w:color w:val="2251FF"/>
          <w:sz w:val="16"/>
          <w:szCs w:val="16"/>
        </w:rPr>
        <w:t xml:space="preserve">SOBRE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5E7EB"/>
          <w:sz w:val="16"/>
          <w:szCs w:val="16"/>
        </w:rPr>
        <w:t xml:space="preserve">   ·   </w:t>
      </w:r>
      <w:r>
        <w:rPr>
          <w:rFonts w:ascii="Consolas" w:cs="Consolas" w:eastAsia="Consolas" w:hAnsi="Consolas"/>
          <w:b/>
          <w:bCs/>
          <w:i w:val="false"/>
          <w:iCs w:val="false"/>
          <w:color w:val="2251FF"/>
          <w:sz w:val="16"/>
          <w:szCs w:val="16"/>
        </w:rPr>
        <w:t xml:space="preserve">RIGOUREUX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5E7EB"/>
          <w:sz w:val="16"/>
          <w:szCs w:val="16"/>
        </w:rPr>
        <w:t xml:space="preserve">   ·   </w:t>
      </w:r>
      <w:r>
        <w:rPr>
          <w:rFonts w:ascii="Consolas" w:cs="Consolas" w:eastAsia="Consolas" w:hAnsi="Consolas"/>
          <w:b/>
          <w:bCs/>
          <w:i w:val="false"/>
          <w:iCs w:val="false"/>
          <w:color w:val="2251FF"/>
          <w:sz w:val="16"/>
          <w:szCs w:val="16"/>
        </w:rPr>
        <w:t xml:space="preserve">SCIENTIFIQUE</w:t>
      </w:r>
    </w:p>
    <w:p>
      <w:r>
        <w:br w:type="page"/>
      </w:r>
    </w:p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02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PALETTE PRINCIPALE</w:t>
      </w:r>
    </w:p>
    <w:p>
      <w:pPr>
        <w:pBdr>
          <w:bottom w:val="single" w:color="2251FF" w:sz="8" w:space="1"/>
        </w:pBdr>
        <w:spacing w:after="360" w:before="240"/>
      </w:pPr>
    </w:p>
    <w:p>
      <w:pPr>
        <w:spacing w:after="24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couple Navy + Royal Blue signe l'identité McKinsey. Mode dark dominant pour le dashboard analytique ; mode light pour les exports impression.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 w:color="FFFFFF" w:sz="0"/>
              <w:left w:val="single" w:color="2251FF" w:sz="24" w:space="1"/>
              <w:bottom w:val="none" w:color="FFFFFF" w:sz="0"/>
              <w:right w:val="none" w:color="FFFFFF" w:sz="0"/>
            </w:tcBorders>
            <w:shd w:fill="E5EB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RÈGLE DE RÉPARTITION 60 / 30 / 10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60 % Navy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— fonds, panels, surfaces dominantes.   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30 % Cream / White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— surfaces light, rapports imprimés.   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10 % Royal Blue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— CTA, accents, focus, valeurs hero.</w:t>
            </w:r>
          </w:p>
        </w:tc>
      </w:tr>
    </w:tbl>
    <w:p>
      <w:pPr>
        <w:spacing w:after="360" w:before="0" w:line="320" w:lineRule="auto"/>
        <w:jc w:val="left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Primary — Navy McKinsey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51C2C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#051C2C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Navy 1000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Background dominant dark mode.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2540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#0A2540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Navy 900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Sidebar, header, panels secondaires.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33553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#133553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Navy 800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Cards, modals, blocs de données.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868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#1F4868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Navy 700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Bordures, séparateurs, hover dark.</w:t>
            </w:r>
          </w:p>
        </w:tc>
      </w:tr>
    </w:tbl>
    <w:p>
      <w:pPr>
        <w:spacing w:after="360" w:before="0" w:line="320" w:lineRule="auto"/>
        <w:jc w:val="left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Accent — Royal Blue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251FF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#2251FF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Royal Blue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CTA, liens, valeurs hero, focus.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F73FF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#4F73FF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Royal Blue 400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Hover, badges actifs, highlight.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3FCC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#1A3FCC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Royal Blue 700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Pressed state, charts comparatifs.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BFF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#E5EBFF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Royal Soft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Backgrounds informatifs, callouts.</w:t>
            </w:r>
          </w:p>
        </w:tc>
      </w:tr>
    </w:tbl>
    <w:p>
      <w:r>
        <w:br w:type="page"/>
      </w:r>
    </w:p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03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NEUTRES &amp; SÉMANTIQUES</w:t>
      </w:r>
    </w:p>
    <w:p>
      <w:pPr>
        <w:pBdr>
          <w:bottom w:val="single" w:color="2251FF" w:sz="8" w:space="1"/>
        </w:pBdr>
        <w:spacing w:after="360" w:before="240"/>
      </w:pPr>
    </w:p>
    <w:p>
      <w:pPr>
        <w:spacing w:after="3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Surfaces, neutres et couleurs sémantiques pour les états de l'interface (succès, alerte, erreur, information).</w:t>
      </w: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Surfaces et neutres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#FFFFFF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White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Surface card mode light.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8F3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#FAF8F3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Cream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Background light alternatif.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1EB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#F5F1EB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Bone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Texte sur fond Navy, deck PPTX.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single" w:color="E5E7EB" w:sz="4"/>
                <w:left w:val="single" w:color="E5E7EB" w:sz="4"/>
                <w:bottom w:val="single" w:color="E5E7EB" w:sz="4"/>
                <w:right w:val="single" w:color="E5E7EB" w:sz="4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7EB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#E5E7EB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Border 100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Bordures légères mode light.</w:t>
            </w:r>
          </w:p>
        </w:tc>
      </w:tr>
    </w:tbl>
    <w:p>
      <w:pPr>
        <w:spacing w:after="240" w:before="0" w:line="320" w:lineRule="auto"/>
        <w:jc w:val="left"/>
      </w:pP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#1A1A1A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Ink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Texte principal mode light.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4A4A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#4A4A4A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Ink Soft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Sous-titres, paragraphes secondaires.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7280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#6B7280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Muted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Légendes, captions, labels.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868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#1F4868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Navy 700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Séparateurs sur fond dark.</w:t>
            </w:r>
          </w:p>
        </w:tc>
      </w:tr>
    </w:tbl>
    <w:p>
      <w:pPr>
        <w:spacing w:after="360" w:before="0" w:line="320" w:lineRule="auto"/>
        <w:jc w:val="left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Couleurs sémantiques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8F65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#0F8F65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Success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Tendances positives, score confirmé.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7700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#C77700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Warning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Faible échantillon, à confirmer.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2318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#B42318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Error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Inadéquation grave, erreur système.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251FF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#2251FF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Info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Tooltips, callouts méthodologiques.</w:t>
            </w:r>
          </w:p>
        </w:tc>
      </w:tr>
    </w:tbl>
    <w:p>
      <w:r>
        <w:br w:type="page"/>
      </w:r>
    </w:p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04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FAMILLES IA / DATA SCIENCE</w:t>
      </w:r>
    </w:p>
    <w:p>
      <w:pPr>
        <w:pBdr>
          <w:bottom w:val="single" w:color="2251FF" w:sz="8" w:space="1"/>
        </w:pBdr>
        <w:spacing w:after="360" w:before="240"/>
      </w:pPr>
    </w:p>
    <w:p>
      <w:pPr>
        <w:spacing w:after="3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Chaque famille de compétences SKILLNAV dispose d'un code couleur réservé : badges, nœuds Neo4j, segments de treemap, filtres. Calibrées pour rester lisibles sur Navy comme sur fond clair.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251FF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#2251FF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ML Classique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scikit-learn, XGBoost, régression.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3AED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#7C3AED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Deep Learning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PyTorch, Transformers, fine-tuning.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891B2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#0891B2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NLP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BERT, CamemBERT, RAG, spaCy.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7700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#C77700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Computer Vision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OpenCV, YOLO, ViT, OCR.</w:t>
            </w:r>
          </w:p>
        </w:tc>
      </w:tr>
    </w:tbl>
    <w:p>
      <w:pPr>
        <w:spacing w:after="240" w:before="0" w:line="320" w:lineRule="auto"/>
        <w:jc w:val="left"/>
      </w:pP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868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#1F4868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Data Engineering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Spark, Airflow, Kafka, ETL.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8F65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#0F8F65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MLOps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MLflow, Docker, CI/CD ML.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3FCC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#1A3FCC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Cloud &amp; Big Data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AWS, GCP, BigQuery, Snowflake.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1D6E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#4A1D6E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AI Ethics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Bias, SHAP, RGPD, AI Act.</w:t>
            </w:r>
          </w:p>
        </w:tc>
      </w:tr>
    </w:tbl>
    <w:p>
      <w:pPr>
        <w:spacing w:after="240" w:before="0" w:line="320" w:lineRule="auto"/>
        <w:jc w:val="left"/>
      </w:pP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</w:trPr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C7E2A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#5C7E2A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Statistiques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A/B testing, économétrie, SQL.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tbl>
            <w:tblPr>
              <w:tblW w:type="dxa" w:w="20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006"/>
            </w:tblGrid>
            <w:tr>
              <w:trPr>
                <w:trHeight w:val="1100" w:hRule="atLeast"/>
              </w:trPr>
              <w:tc>
                <w:tcPr>
                  <w:tcW w:type="dxa" w:w="2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7280" w:color="auto" w:val="clear"/>
                  <w:tcMar>
                    <w:top w:type="dxa" w:w="200"/>
                    <w:left w:type="dxa" w:w="220"/>
                    <w:bottom w:type="dxa" w:w="200"/>
                    <w:right w:type="dxa" w:w="220"/>
                  </w:tcMar>
                  <w:vAlign w:val="bottom"/>
                </w:tcPr>
                <w:p>
                  <w:pPr>
                    <w:spacing w:after="0" w:before="0" w:line="240" w:lineRule="auto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#6B7280</w:t>
                  </w:r>
                </w:p>
              </w:tc>
            </w:tr>
          </w:tbl>
          <w:p>
            <w:pPr>
              <w:spacing w:after="40" w:before="12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0"/>
                <w:szCs w:val="20"/>
              </w:rPr>
              <w:t xml:space="preserve">Outils &amp; Soft Skills</w:t>
            </w:r>
          </w:p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Python, Git, vulgarisation.</w:t>
            </w: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20" w:lineRule="auto"/>
              <w:jc w:val="left"/>
            </w:pPr>
          </w:p>
        </w:tc>
        <w:tc>
          <w:tcPr>
            <w:tcW w:type="dxa" w:w="2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20" w:lineRule="auto"/>
              <w:jc w:val="left"/>
            </w:pPr>
          </w:p>
        </w:tc>
      </w:tr>
    </w:tbl>
    <w:p>
      <w:r>
        <w:br w:type="page"/>
      </w:r>
    </w:p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05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TYPOGRAPHIE</w:t>
      </w:r>
    </w:p>
    <w:p>
      <w:pPr>
        <w:pBdr>
          <w:bottom w:val="single" w:color="2251FF" w:sz="8" w:space="1"/>
        </w:pBdr>
        <w:spacing w:after="360" w:before="240"/>
      </w:pP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 w:color="FFFFFF" w:sz="0"/>
              <w:left w:val="single" w:color="2251FF" w:sz="24" w:space="1"/>
              <w:bottom w:val="none" w:color="FFFFFF" w:sz="0"/>
              <w:right w:val="none" w:color="FFFFFF" w:sz="0"/>
            </w:tcBorders>
            <w:shd w:fill="E5EB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SYSTÈME TYPOGRAPHIQUE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Display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— Fraunces (serif éditorial). Titres et chiffres hero.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Body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— Inter (grotesque institutionnelle). Texte courant.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Mono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— JetBrains Mono. Tabular figures, hex, identifiants.</w:t>
            </w:r>
          </w:p>
        </w:tc>
      </w:tr>
    </w:tbl>
    <w:p>
      <w:pPr>
        <w:spacing w:after="360" w:before="0" w:line="320" w:lineRule="auto"/>
        <w:jc w:val="left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Aperçu typographique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6704"/>
      </w:tblGrid>
      <w:tr>
        <w:trPr>
          <w:cantSplit/>
          <w:trHeight w:val="110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6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DISPLAY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2"/>
                <w:szCs w:val="22"/>
              </w:rPr>
              <w:t xml:space="preserve">Fraunces</w:t>
            </w:r>
          </w:p>
        </w:tc>
        <w:tc>
          <w:tcPr>
            <w:tcW w:type="dxa" w:w="6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Georgia" w:cs="Georgia" w:eastAsia="Georgia" w:hAnsi="Georgia"/>
                <w:color w:val="051C2C"/>
                <w:sz w:val="56"/>
                <w:szCs w:val="56"/>
              </w:rPr>
              <w:t xml:space="preserve">Compétences IA — Mai 2026</w:t>
            </w:r>
          </w:p>
        </w:tc>
      </w:tr>
      <w:tr>
        <w:trPr>
          <w:cantSplit/>
          <w:trHeight w:val="110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6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BODY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2"/>
                <w:szCs w:val="22"/>
              </w:rPr>
              <w:t xml:space="preserve">Inter</w:t>
            </w:r>
          </w:p>
        </w:tc>
        <w:tc>
          <w:tcPr>
            <w:tcW w:type="dxa" w:w="6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Calibri" w:cs="Calibri" w:eastAsia="Calibri" w:hAnsi="Calibri"/>
                <w:color w:val="051C2C"/>
                <w:sz w:val="28"/>
                <w:szCs w:val="28"/>
              </w:rPr>
              <w:t xml:space="preserve">L'observatoire mesure l'évolution.</w:t>
            </w:r>
          </w:p>
        </w:tc>
      </w:tr>
      <w:tr>
        <w:trPr>
          <w:cantSplit/>
          <w:trHeight w:val="110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6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51FF"/>
                <w:sz w:val="16"/>
                <w:szCs w:val="16"/>
              </w:rPr>
              <w:t xml:space="preserve">MONO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1C2C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6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Consolas" w:cs="Consolas" w:eastAsia="Consolas" w:hAnsi="Consolas"/>
                <w:color w:val="051C2C"/>
                <w:sz w:val="24"/>
                <w:szCs w:val="24"/>
              </w:rPr>
              <w:t xml:space="preserve">F1 = 0.84   ·   MAPE 11.8 %</w:t>
            </w:r>
          </w:p>
        </w:tc>
      </w:tr>
    </w:tbl>
    <w:p>
      <w:pPr>
        <w:spacing w:after="360" w:before="0" w:line="320" w:lineRule="auto"/>
        <w:jc w:val="left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Hiérarchie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2200"/>
        <w:gridCol w:w="1500"/>
        <w:gridCol w:w="1300"/>
        <w:gridCol w:w="1804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51C2C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5"/>
                <w:szCs w:val="15"/>
              </w:rPr>
              <w:t xml:space="preserve">STYLE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51C2C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5"/>
                <w:szCs w:val="15"/>
              </w:rPr>
              <w:t xml:space="preserve">FONT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51C2C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5"/>
                <w:szCs w:val="15"/>
              </w:rPr>
              <w:t xml:space="preserve">TAILLE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51C2C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5"/>
                <w:szCs w:val="15"/>
              </w:rPr>
              <w:t xml:space="preserve">POIDS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051C2C" w:sz="8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5"/>
                <w:szCs w:val="15"/>
              </w:rPr>
              <w:t xml:space="preserve">USAGE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Fraunces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64 / 1.2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Light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KPI hero, couverture rapport.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Fraunces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40 / 1.3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Regular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Titre de section.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Fraunces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28 / 1.3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Regular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Sous-section, card dashboard.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20 / 1.4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Semibold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Titre de bloc, label de groupe.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14 / 1.6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Regular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Paragraphe, tooltip, table.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Caption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12 / 1.5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Regular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Légendes, footers, disclaimers.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Eyebrow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11 / 1.4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Bold UPPER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Étiquette de section.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Mono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JetBrains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33553"/>
                <w:sz w:val="19"/>
                <w:szCs w:val="19"/>
              </w:rPr>
              <w:t xml:space="preserve">13 / 1.5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Regular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Tabular figures, hex, ids.</w:t>
            </w:r>
          </w:p>
        </w:tc>
      </w:tr>
    </w:tbl>
    <w:p>
      <w:r>
        <w:br w:type="page"/>
      </w:r>
    </w:p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06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ICONOGRAPHIE &amp; ESPACEMENTS</w:t>
      </w:r>
    </w:p>
    <w:p>
      <w:pPr>
        <w:pBdr>
          <w:bottom w:val="single" w:color="2251FF" w:sz="8" w:space="1"/>
        </w:pBdr>
        <w:spacing w:after="360" w:before="240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Iconographie</w:t>
      </w:r>
    </w:p>
    <w:p>
      <w:pPr>
        <w:spacing w:after="24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Bibliothèque exclusive : Lucide Icons. Style outline uniquement. Stroke 1.5 px. Couleur héritée du parent. Pas de glyphes pleins, pas d'icônes colorées, pas d'emoji dans l'interface.</w:t>
      </w:r>
    </w:p>
    <w:p>
      <w:pPr>
        <w:spacing w:after="280" w:before="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16"/>
          <w:szCs w:val="16"/>
        </w:rPr>
        <w:t xml:space="preserve">Tailles standards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51C2C"/>
          <w:sz w:val="20"/>
          <w:szCs w:val="20"/>
        </w:rPr>
        <w:t xml:space="preserve">XS 14   ·   S 16   ·   M 20   ·   L 24   ·   XL 32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B7280"/>
          <w:sz w:val="16"/>
          <w:szCs w:val="16"/>
        </w:rPr>
        <w:t xml:space="preserve">px</w:t>
      </w:r>
    </w:p>
    <w:p>
      <w:pPr>
        <w:spacing w:after="100" w:before="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16"/>
          <w:szCs w:val="16"/>
        </w:rPr>
        <w:t xml:space="preserve">Icônes clés du projet</w:t>
      </w:r>
    </w:p>
    <w:p>
      <w:pPr>
        <w:spacing w:after="60" w:before="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51C2C"/>
          <w:sz w:val="19"/>
          <w:szCs w:val="19"/>
        </w:rPr>
        <w:t xml:space="preserve">Cpu · Brain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famille IA   </w:t>
      </w:r>
      <w:r>
        <w:rPr>
          <w:rFonts w:ascii="Calibri" w:cs="Calibri" w:eastAsia="Calibri" w:hAnsi="Calibri"/>
          <w:b/>
          <w:bCs/>
          <w:i w:val="false"/>
          <w:iCs w:val="false"/>
          <w:color w:val="051C2C"/>
          <w:sz w:val="19"/>
          <w:szCs w:val="19"/>
        </w:rPr>
        <w:t xml:space="preserve">Sparkles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émergence</w:t>
      </w:r>
    </w:p>
    <w:p>
      <w:pPr>
        <w:spacing w:after="60" w:before="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51C2C"/>
          <w:sz w:val="19"/>
          <w:szCs w:val="19"/>
        </w:rPr>
        <w:t xml:space="preserve">Network · GitGraph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graphe Neo4j   </w:t>
      </w:r>
      <w:r>
        <w:rPr>
          <w:rFonts w:ascii="Calibri" w:cs="Calibri" w:eastAsia="Calibri" w:hAnsi="Calibri"/>
          <w:b/>
          <w:bCs/>
          <w:i w:val="false"/>
          <w:iCs w:val="false"/>
          <w:color w:val="051C2C"/>
          <w:sz w:val="19"/>
          <w:szCs w:val="19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communauté Louvain</w:t>
      </w:r>
    </w:p>
    <w:p>
      <w:pPr>
        <w:spacing w:after="360" w:before="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51C2C"/>
          <w:sz w:val="19"/>
          <w:szCs w:val="19"/>
        </w:rPr>
        <w:t xml:space="preserve">LineChart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forecasting   </w:t>
      </w:r>
      <w:r>
        <w:rPr>
          <w:rFonts w:ascii="Calibri" w:cs="Calibri" w:eastAsia="Calibri" w:hAnsi="Calibri"/>
          <w:b/>
          <w:bCs/>
          <w:i w:val="false"/>
          <w:iCs w:val="false"/>
          <w:color w:val="051C2C"/>
          <w:sz w:val="19"/>
          <w:szCs w:val="19"/>
        </w:rPr>
        <w:t xml:space="preserve">Highlighter · Tag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NER   </w:t>
      </w:r>
      <w:r>
        <w:rPr>
          <w:rFonts w:ascii="Calibri" w:cs="Calibri" w:eastAsia="Calibri" w:hAnsi="Calibri"/>
          <w:b/>
          <w:bCs/>
          <w:i w:val="false"/>
          <w:iCs w:val="false"/>
          <w:color w:val="051C2C"/>
          <w:sz w:val="19"/>
          <w:szCs w:val="19"/>
        </w:rPr>
        <w:t xml:space="preserve">Award · Crown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PageRank</w:t>
      </w: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Espacements — base 4</w:t>
      </w:r>
    </w:p>
    <w:p>
      <w:pPr>
        <w:spacing w:after="24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Chaque token est un multiple de 4 px. Cette règle garantit un rythme vertical cohérent entre dashboard, rapports PDF et templates PPTX.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1800"/>
        <w:gridCol w:w="4904"/>
      </w:tblGrid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Espace inline minimal — icône / label.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Padding interne badge, gap entre boutons.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Padding ligne de table, gap liste filtres.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Padding standard input et button.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Padding interne card.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Marge entre sections d'une page.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48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Espace au-dessus d'un H2.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9"/>
                <w:szCs w:val="19"/>
              </w:rPr>
              <w:t xml:space="preserve">space-8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64 px</w:t>
            </w:r>
          </w:p>
        </w:tc>
        <w:tc>
          <w:tcPr>
            <w:tcW w:type="dxa" w:w="49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Marge entre blocs majeurs.</w:t>
            </w:r>
          </w:p>
        </w:tc>
      </w:tr>
    </w:tbl>
    <w:p>
      <w:r>
        <w:br w:type="page"/>
      </w:r>
    </w:p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07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COMPOSANTS UI</w:t>
      </w:r>
    </w:p>
    <w:p>
      <w:pPr>
        <w:pBdr>
          <w:bottom w:val="single" w:color="2251FF" w:sz="8" w:space="1"/>
        </w:pBdr>
        <w:spacing w:after="360" w:before="240"/>
      </w:pPr>
    </w:p>
    <w:p>
      <w:pPr>
        <w:spacing w:after="3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Composants construits sur Shadcn UI avec les tokens SKILLNAV. Border-radius 6 px, hauteurs alignées 40 px, padding card 24 px (space-5). Aucune ombre — bordure colorée pour les hover states.</w:t>
      </w: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Bibliothèque essentielle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5704"/>
      </w:tblGrid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&lt;KPICard&gt;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KPI hero — chiffre Display 64, delta sémantique, sparkline 12 mois.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&lt;SkillBadge&gt;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Badge skill — 10 variantes couleurs familles IA, pill radius.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&lt;EmergingScore&gt;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Barre score émergence — seuils 0.7 / 0.85, sémantique vert / ambre / rouge.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&lt;ConfidenceBadge&gt;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Score 0-1 Pydantic AI / Transformers, échelle Royal Soft → Error.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&lt;NERHighlight&gt;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Texte annoté — spans entités colorées par type (SKILL, MODEL, FRAMEWORK…).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&lt;SkillGraph&gt;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Graphe force-directed Neo4j — taille = PageRank, halo = communauté.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&lt;TimeSeriesChart&gt;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Ligne historique solide, forecast dashed, bande confiance 95 %.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&lt;ForecastComparisonChart&gt;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ARIMA + Prophet + LSTM superposés, MAPE en légende mono.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51FF"/>
                <w:sz w:val="18"/>
                <w:szCs w:val="18"/>
              </w:rPr>
              <w:t xml:space="preserve">&lt;ComparativeTable&gt;</w:t>
            </w:r>
          </w:p>
        </w:tc>
        <w:tc>
          <w:tcPr>
            <w:tcW w:type="dxa" w:w="5704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Tableau étude comparative — protocole, métriques chiffrées, choix.</w:t>
            </w:r>
          </w:p>
        </w:tc>
      </w:tr>
    </w:tbl>
    <w:p>
      <w:pPr>
        <w:spacing w:after="360" w:before="0" w:line="320" w:lineRule="auto"/>
        <w:jc w:val="left"/>
      </w:pPr>
    </w:p>
    <w:p>
      <w:pPr>
        <w:pStyle w:val="Heading2"/>
        <w:spacing w:after="180" w:before="360" w:line="280" w:lineRule="auto"/>
      </w:pPr>
      <w:r>
        <w:rPr>
          <w:rFonts w:ascii="Calibri" w:cs="Calibri" w:eastAsia="Calibri" w:hAnsi="Calibri"/>
          <w:b/>
          <w:bCs/>
          <w:color w:val="051C2C"/>
          <w:sz w:val="26"/>
          <w:szCs w:val="26"/>
        </w:rPr>
        <w:t xml:space="preserve">Exemple — card compétence IA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1C2C" w:color="auto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120" w:before="0" w:line="3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73FF"/>
                <w:sz w:val="16"/>
                <w:szCs w:val="16"/>
              </w:rPr>
              <w:t xml:space="preserve">DEEP LEARNING  ·  MAROC  ·  MAI 2026</w:t>
            </w:r>
          </w:p>
          <w:p>
            <w:pPr>
              <w:spacing w:after="80" w:before="0" w:line="320" w:lineRule="auto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5F1EB"/>
                <w:sz w:val="36"/>
                <w:szCs w:val="36"/>
              </w:rPr>
              <w:t xml:space="preserve">Transformers (BERT, GPT, LLaMA)</w:t>
            </w:r>
          </w:p>
          <w:p>
            <w:pPr>
              <w:spacing w:after="24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FA3B8"/>
                <w:sz w:val="20"/>
                <w:szCs w:val="20"/>
              </w:rPr>
              <w:t xml:space="preserve">187 offres analysées sur la période</w:t>
            </w:r>
          </w:p>
          <w:p>
            <w:pPr>
              <w:spacing w:after="6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FA3B8"/>
                <w:sz w:val="18"/>
                <w:szCs w:val="18"/>
              </w:rPr>
              <w:t xml:space="preserve">Score émergence — fine-tuning LLM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4F73FF"/>
                <w:sz w:val="22"/>
                <w:szCs w:val="22"/>
              </w:rPr>
              <w:t xml:space="preserve">0.87</w:t>
            </w:r>
          </w:p>
          <w:p>
            <w:pPr>
              <w:spacing w:after="6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FA3B8"/>
                <w:sz w:val="18"/>
                <w:szCs w:val="18"/>
              </w:rPr>
              <w:t xml:space="preserve">Croissance demande 3 mois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F8F65"/>
                <w:sz w:val="22"/>
                <w:szCs w:val="22"/>
              </w:rPr>
              <w:t xml:space="preserve">+24 %</w:t>
            </w:r>
          </w:p>
          <w:p>
            <w:pPr>
              <w:spacing w:after="0" w:before="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FA3B8"/>
                <w:sz w:val="18"/>
                <w:szCs w:val="18"/>
              </w:rPr>
              <w:t xml:space="preserve">Couverture cursus ingénieur IA Maroc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77700"/>
                <w:sz w:val="22"/>
                <w:szCs w:val="22"/>
              </w:rPr>
              <w:t xml:space="preserve">2 / 15</w:t>
            </w:r>
          </w:p>
        </w:tc>
      </w:tr>
    </w:tbl>
    <w:p>
      <w:pPr>
        <w:spacing w:after="60" w:before="0" w:line="240" w:lineRule="auto"/>
      </w:pPr>
      <w:r>
        <w:rPr>
          <w:rFonts w:ascii="Georgia" w:cs="Georgia" w:eastAsia="Georgia" w:hAnsi="Georgia"/>
          <w:b w:val="false"/>
          <w:bCs w:val="false"/>
          <w:color w:val="2251FF"/>
          <w:sz w:val="96"/>
          <w:szCs w:val="96"/>
        </w:rPr>
        <w:t xml:space="preserve">08</w:t>
      </w:r>
    </w:p>
    <w:p>
      <w:pPr>
        <w:pStyle w:val="Heading1"/>
        <w:spacing w:after="0" w:before="0" w:line="240" w:lineRule="auto"/>
      </w:pPr>
      <w:r>
        <w:rPr>
          <w:rFonts w:ascii="Calibri" w:cs="Calibri" w:eastAsia="Calibri" w:hAnsi="Calibri"/>
          <w:b/>
          <w:bCs/>
          <w:color w:val="051C2C"/>
          <w:sz w:val="30"/>
          <w:szCs w:val="30"/>
        </w:rPr>
        <w:t xml:space="preserve">VARIABLES CSS</w:t>
      </w:r>
    </w:p>
    <w:p>
      <w:pPr>
        <w:pBdr>
          <w:bottom w:val="single" w:color="2251FF" w:sz="8" w:space="1"/>
        </w:pBdr>
        <w:spacing w:after="360" w:before="240"/>
      </w:pPr>
    </w:p>
    <w:p>
      <w:pPr>
        <w:spacing w:after="360" w:before="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Bloc :root prêt à coller dans un projet Next.js 15 avec Tailwind v4. Mode dark dominant par défaut ; basculement automatique en light via attribut data-theme.</w:t>
      </w:r>
    </w:p>
    <w:tbl>
      <w:tblPr>
        <w:tblW w:type="dxa" w:w="85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1C2C" w:color="auto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:root {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Primary — Navy McKinsey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--skn-navy:        #051C2C;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--skn-navy-900:    #0A2540;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--skn-navy-800:    #133553;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--skn-navy-700:    #1F4868;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Accent — Royal Blue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--skn-royal:       #2251FF;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--skn-royal-light: #4F73FF;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--skn-royal-dark:  #1A3FCC;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--skn-royal-soft:  #E5EBFF;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Surfaces et neutres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--skn-white:  #FFFFFF;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--skn-cream:  #FAF8F3;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--skn-bone:   #F5F1EB;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--skn-border: #E5E7EB;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--skn-ink:    #1A1A1A;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--skn-muted:  #6B7280;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Sémantiques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--skn-success: #0F8F65;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--skn-warning: #C77700;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--skn-error:   #B42318;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Familles IA / DS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--skn-fam-ml-classique:   #2251FF;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--skn-fam-deep-learning:  #7C3AED;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--skn-fam-nlp:            #0891B2;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--skn-fam-cv:             #C77700;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--skn-fam-data-eng:       #1F4868;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--skn-fam-mlops:          #0F8F65;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--skn-fam-cloud-bigdata:  #1A3FCC;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--skn-fam-ai-ethics:      #4A1D6E;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--skn-fam-stats:          #5C7E2A;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--skn-fam-tools:          #6B7280;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Typographie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--font-display: "Fraunces", Georgia, serif;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--font-body:    "Inter", -apple-system, "Segoe UI", sans-serif;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--font-mono:    "JetBrains Mono", Consolas, monospace;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Spacing — base 4 px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--space-1: 0.25rem;  --space-5: 1.5rem;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--space-2: 0.5rem;   --space-6: 2rem;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--space-3: 0.75rem;  --space-7: 3rem;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--space-4: 1rem;     --space-8: 4rem;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8FA3B8"/>
                <w:sz w:val="13"/>
                <w:szCs w:val="13"/>
              </w:rPr>
              <w:t xml:space="preserve">  /* Radius &amp; layout */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--radius:        6px;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--radius-pill:   9999px;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--sidebar-width: 264px;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--header-height: 64px;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  --content-max:   1440px;</w:t>
            </w:r>
          </w:p>
          <w:p>
            <w:pPr>
              <w:spacing w:after="0" w:before="0" w:line="220" w:lineRule="auto"/>
            </w:pPr>
            <w:r>
              <w:rPr>
                <w:rFonts w:ascii="Consolas" w:cs="Consolas" w:eastAsia="Consolas" w:hAnsi="Consolas"/>
                <w:color w:val="F5F1EB"/>
                <w:sz w:val="13"/>
                <w:szCs w:val="13"/>
              </w:rPr>
              <w:t xml:space="preserve">}</w:t>
            </w:r>
          </w:p>
        </w:tc>
      </w:tr>
    </w:tbl>
    <w:p>
      <w:pPr>
        <w:spacing w:after="360" w:before="0" w:line="320" w:lineRule="auto"/>
        <w:jc w:val="left"/>
      </w:pPr>
    </w:p>
    <w:p>
      <w:pPr>
        <w:spacing w:after="120" w:before="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51FF"/>
          <w:sz w:val="16"/>
          <w:szCs w:val="16"/>
        </w:rPr>
        <w:t xml:space="preserve">Référence design officielle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18"/>
          <w:szCs w:val="18"/>
        </w:rPr>
        <w:t xml:space="preserve">SKILLNAV · Karamo Sylla &amp; Bachirou Konaté · Mai 2026</w:t>
      </w:r>
    </w:p>
    <w:sectPr>
      <w:headerReference w:type="default" r:id="rId9"/>
      <w:footerReference w:type="default" r:id="rId10"/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skillnav · Mai 2026</w:t>
    </w:r>
    <w:r>
      <w:t xml:space="preserve">	</w:t>
    </w:r>
    <w:r>
      <w:rPr>
        <w:rFonts w:ascii="Calibri" w:cs="Calibri" w:eastAsia="Calibri" w:hAnsi="Calibri"/>
        <w:b/>
        <w:bCs/>
        <w:color w:val="051C2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60" w:before="0"/>
    </w:pPr>
    <w:r>
      <w:rPr>
        <w:rFonts w:ascii="Calibri" w:cs="Calibri" w:eastAsia="Calibri" w:hAnsi="Calibri"/>
        <w:b/>
        <w:bCs/>
        <w:color w:val="2251FF"/>
        <w:sz w:val="16"/>
        <w:szCs w:val="16"/>
      </w:rPr>
      <w:t xml:space="preserve">SKILLNAV</w:t>
    </w:r>
    <w: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Brand Guidelines</w:t>
    </w:r>
  </w:p>
  <w:p>
    <w:pPr>
      <w:pBdr>
        <w:bottom w:val="single" w:color="E5E7EB" w:sz="4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051C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051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graphique SKILLNAV</dc:title>
  <dc:creator>SKILLNAV — Karamo Sylla &amp; Bachirou Konaté</dc:creator>
  <dc:description>Direction artistique McKinsey-inspired</dc:description>
  <cp:lastModifiedBy>Un-named</cp:lastModifiedBy>
  <cp:revision>1</cp:revision>
  <dcterms:created xsi:type="dcterms:W3CDTF">2026-05-14T01:53:21.248Z</dcterms:created>
  <dcterms:modified xsi:type="dcterms:W3CDTF">2026-05-14T01:53:21.248Z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