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4F136" w14:textId="77777777" w:rsidR="00410999" w:rsidRPr="00410999" w:rsidRDefault="00410999" w:rsidP="00410999">
      <w:pPr>
        <w:pStyle w:val="Titre2"/>
      </w:pPr>
      <w:r w:rsidRPr="00410999">
        <w:t>Qu’est-ce que le pécule de vacances</w:t>
      </w:r>
      <w:r w:rsidRPr="00410999">
        <w:rPr>
          <w:rFonts w:ascii="Arial" w:hAnsi="Arial" w:cs="Arial"/>
        </w:rPr>
        <w:t> </w:t>
      </w:r>
      <w:r w:rsidRPr="00410999">
        <w:t>?</w:t>
      </w:r>
      <w:r w:rsidRPr="00410999">
        <w:rPr>
          <w:rFonts w:ascii="Aptos" w:hAnsi="Aptos" w:cs="Aptos"/>
        </w:rPr>
        <w:t> </w:t>
      </w:r>
    </w:p>
    <w:p w14:paraId="0B4672EC" w14:textId="77777777" w:rsidR="00410999" w:rsidRPr="00410999" w:rsidRDefault="00410999" w:rsidP="00410999">
      <w:r w:rsidRPr="00410999">
        <w:t>Il existe 2 types de pécules : </w:t>
      </w:r>
    </w:p>
    <w:p w14:paraId="28B37418" w14:textId="77777777" w:rsidR="00410999" w:rsidRPr="00410999" w:rsidRDefault="00410999" w:rsidP="00410999">
      <w:pPr>
        <w:numPr>
          <w:ilvl w:val="0"/>
          <w:numId w:val="1"/>
        </w:numPr>
      </w:pPr>
      <w:r w:rsidRPr="00410999">
        <w:t>Le pécule dit ‘simple’</w:t>
      </w:r>
      <w:r w:rsidRPr="00410999">
        <w:rPr>
          <w:rFonts w:ascii="Arial" w:hAnsi="Arial" w:cs="Arial"/>
        </w:rPr>
        <w:t> </w:t>
      </w:r>
      <w:r w:rsidRPr="00410999">
        <w:t>qui est le salaire correspondant aux jours de vacances dont vous avez droit (cong</w:t>
      </w:r>
      <w:r w:rsidRPr="00410999">
        <w:rPr>
          <w:rFonts w:ascii="Aptos" w:hAnsi="Aptos" w:cs="Aptos"/>
        </w:rPr>
        <w:t>é</w:t>
      </w:r>
      <w:r w:rsidRPr="00410999">
        <w:t>s pay</w:t>
      </w:r>
      <w:r w:rsidRPr="00410999">
        <w:rPr>
          <w:rFonts w:ascii="Aptos" w:hAnsi="Aptos" w:cs="Aptos"/>
        </w:rPr>
        <w:t>é</w:t>
      </w:r>
      <w:r w:rsidRPr="00410999">
        <w:t>s).</w:t>
      </w:r>
      <w:r w:rsidRPr="00410999">
        <w:rPr>
          <w:rFonts w:ascii="Aptos" w:hAnsi="Aptos" w:cs="Aptos"/>
        </w:rPr>
        <w:t> </w:t>
      </w:r>
    </w:p>
    <w:p w14:paraId="07798494" w14:textId="77777777" w:rsidR="00410999" w:rsidRPr="00410999" w:rsidRDefault="00410999" w:rsidP="00410999">
      <w:pPr>
        <w:numPr>
          <w:ilvl w:val="0"/>
          <w:numId w:val="1"/>
        </w:numPr>
      </w:pPr>
      <w:r w:rsidRPr="00410999">
        <w:t>Le ‘double pécule’ qui est le pécule de vacances proprement dit (prime) dont vous bénéficiez pour vos vacances. </w:t>
      </w:r>
    </w:p>
    <w:p w14:paraId="5BDFDCA8" w14:textId="77777777" w:rsidR="00410999" w:rsidRPr="00410999" w:rsidRDefault="00410999" w:rsidP="00410999">
      <w:r w:rsidRPr="00410999">
        <w:t>Seuls les employés et fonctionnaires, reçoivent leurs pécules directement de leurs employeurs. </w:t>
      </w:r>
    </w:p>
    <w:p w14:paraId="36211065" w14:textId="77777777" w:rsidR="00410999" w:rsidRPr="00410999" w:rsidRDefault="00410999" w:rsidP="00410999">
      <w:r w:rsidRPr="00410999">
        <w:rPr>
          <w:b/>
          <w:bCs/>
        </w:rPr>
        <w:t>Pour les ouvriers et artistes non-indépendants</w:t>
      </w:r>
      <w:r w:rsidRPr="00410999">
        <w:t>, le simple et le double pécule sont payés entre mai et juin par la caisse de vacances auprès de laquelle son employeur est affilié. </w:t>
      </w:r>
      <w:r w:rsidRPr="00410999">
        <w:br/>
        <w:t>La gestion du pécule de vacances est effectuée par l’Office National des vacances annuelles (ONVA) qui reçoit les cotisations des employeurs et les répartit aux caisses de vacances de Belgique. Des caisses spéciales de vacances ont été créées pour certains secteurs d’activité. Les employeurs qui ne dépendent pas de ces secteurs d’activité sont affiliés à l’ONVA-Caisse. </w:t>
      </w:r>
    </w:p>
    <w:p w14:paraId="2D7EB3BB" w14:textId="77777777" w:rsidR="00410999" w:rsidRPr="00410999" w:rsidRDefault="00410999" w:rsidP="00410999">
      <w:r w:rsidRPr="00410999">
        <w:rPr>
          <w:b/>
          <w:bCs/>
        </w:rPr>
        <w:t>Pour recevoir son pécule, l’ouvrier doit communiquer son numéro de compte bancaire via le service en ligne</w:t>
      </w:r>
      <w:r w:rsidRPr="00410999">
        <w:t> </w:t>
      </w:r>
      <w:r w:rsidRPr="00410999">
        <w:rPr>
          <w:u w:val="single"/>
        </w:rPr>
        <w:t>Mon compte de vacances</w:t>
      </w:r>
      <w:r w:rsidRPr="00410999">
        <w:t>. </w:t>
      </w:r>
    </w:p>
    <w:p w14:paraId="70C1D9E2" w14:textId="77777777" w:rsidR="00410999" w:rsidRPr="00410999" w:rsidRDefault="00410999" w:rsidP="00410999">
      <w:r w:rsidRPr="00410999">
        <w:t>Ce que les ouvriers, artistes non-indépendants ou employés font de leur pécule de vacances, c’est leur choix</w:t>
      </w:r>
      <w:r w:rsidRPr="00410999">
        <w:rPr>
          <w:rFonts w:ascii="Arial" w:hAnsi="Arial" w:cs="Arial"/>
        </w:rPr>
        <w:t> </w:t>
      </w:r>
      <w:r w:rsidRPr="00410999">
        <w:t>!</w:t>
      </w:r>
      <w:r w:rsidRPr="00410999">
        <w:rPr>
          <w:rFonts w:ascii="Aptos" w:hAnsi="Aptos" w:cs="Aptos"/>
        </w:rPr>
        <w:t> </w:t>
      </w:r>
    </w:p>
    <w:p w14:paraId="57D0A1D8" w14:textId="77777777" w:rsidR="00410999" w:rsidRPr="00410999" w:rsidRDefault="00410999" w:rsidP="00410999">
      <w:pPr>
        <w:rPr>
          <w:b/>
          <w:bCs/>
        </w:rPr>
      </w:pPr>
      <w:r w:rsidRPr="00410999">
        <w:rPr>
          <w:b/>
          <w:bCs/>
        </w:rPr>
        <w:t>Qui a droit à un pécule de vacances</w:t>
      </w:r>
      <w:r w:rsidRPr="00410999">
        <w:rPr>
          <w:rFonts w:ascii="Arial" w:hAnsi="Arial" w:cs="Arial"/>
          <w:b/>
          <w:bCs/>
        </w:rPr>
        <w:t> </w:t>
      </w:r>
      <w:r w:rsidRPr="00410999">
        <w:rPr>
          <w:b/>
          <w:bCs/>
        </w:rPr>
        <w:t>?</w:t>
      </w:r>
      <w:r w:rsidRPr="00410999">
        <w:rPr>
          <w:rFonts w:ascii="Aptos" w:hAnsi="Aptos" w:cs="Aptos"/>
          <w:b/>
          <w:bCs/>
        </w:rPr>
        <w:t> </w:t>
      </w:r>
    </w:p>
    <w:p w14:paraId="79DDC74A" w14:textId="77777777" w:rsidR="00410999" w:rsidRPr="00410999" w:rsidRDefault="00410999" w:rsidP="00410999">
      <w:r w:rsidRPr="00410999">
        <w:t>Les ouvriers et artistes non indépendants qui ont travaillé l’année précédente ont droit à un pécule de vacances versé par une caisse de vacances. </w:t>
      </w:r>
      <w:r w:rsidRPr="00410999">
        <w:br/>
        <w:t>S’ils n’ont pas travaillé l’année précédente, ils peuvent bénéficier de vacances supplémentaires (européennes) sous certaines conditions. </w:t>
      </w:r>
    </w:p>
    <w:p w14:paraId="1EFED989" w14:textId="77777777" w:rsidR="00410999" w:rsidRPr="00410999" w:rsidRDefault="00410999" w:rsidP="00410999">
      <w:r w:rsidRPr="00410999">
        <w:t>Les employés, qui ont travaillé l’année précédente ont droit à un pécule de vacances versé par leur employeur. </w:t>
      </w:r>
    </w:p>
    <w:p w14:paraId="31EC2D18" w14:textId="77777777" w:rsidR="00410999" w:rsidRPr="00410999" w:rsidRDefault="00410999" w:rsidP="00410999">
      <w:r w:rsidRPr="00410999">
        <w:t xml:space="preserve">Pour les jeunes diplômés de moins de 25 ans qui n'ont pas encore accumulé de congés, il existe l’allocation </w:t>
      </w:r>
      <w:proofErr w:type="gramStart"/>
      <w:r w:rsidRPr="00410999">
        <w:t>«</w:t>
      </w:r>
      <w:r w:rsidRPr="00410999">
        <w:rPr>
          <w:rFonts w:ascii="Arial" w:hAnsi="Arial" w:cs="Arial"/>
        </w:rPr>
        <w:t> </w:t>
      </w:r>
      <w:r w:rsidRPr="00410999">
        <w:t xml:space="preserve"> vacances</w:t>
      </w:r>
      <w:proofErr w:type="gramEnd"/>
      <w:r w:rsidRPr="00410999">
        <w:t xml:space="preserve"> </w:t>
      </w:r>
      <w:r w:rsidRPr="00410999">
        <w:rPr>
          <w:rFonts w:ascii="Aptos" w:hAnsi="Aptos" w:cs="Aptos"/>
        </w:rPr>
        <w:t>–</w:t>
      </w:r>
      <w:r w:rsidRPr="00410999">
        <w:t xml:space="preserve"> jeunes</w:t>
      </w:r>
      <w:r w:rsidRPr="00410999">
        <w:rPr>
          <w:rFonts w:ascii="Arial" w:hAnsi="Arial" w:cs="Arial"/>
        </w:rPr>
        <w:t> </w:t>
      </w:r>
      <w:r w:rsidRPr="00410999">
        <w:rPr>
          <w:rFonts w:ascii="Aptos" w:hAnsi="Aptos" w:cs="Aptos"/>
        </w:rPr>
        <w:t>»</w:t>
      </w:r>
      <w:r w:rsidRPr="00410999">
        <w:t>. Plus d</w:t>
      </w:r>
      <w:r w:rsidRPr="00410999">
        <w:rPr>
          <w:rFonts w:ascii="Aptos" w:hAnsi="Aptos" w:cs="Aptos"/>
        </w:rPr>
        <w:t>’</w:t>
      </w:r>
      <w:r w:rsidRPr="00410999">
        <w:t>information sur le site de l</w:t>
      </w:r>
      <w:r w:rsidRPr="00410999">
        <w:rPr>
          <w:rFonts w:ascii="Aptos" w:hAnsi="Aptos" w:cs="Aptos"/>
        </w:rPr>
        <w:t>’</w:t>
      </w:r>
      <w:r w:rsidRPr="00410999">
        <w:t>ONEM. </w:t>
      </w:r>
    </w:p>
    <w:p w14:paraId="2C1F1E14" w14:textId="77777777" w:rsidR="001B7A60" w:rsidRDefault="001B7A60"/>
    <w:p w14:paraId="2E0C6661" w14:textId="77777777" w:rsidR="00410999" w:rsidRDefault="00410999"/>
    <w:p w14:paraId="68E515CE" w14:textId="77777777" w:rsidR="00410999" w:rsidRDefault="00410999"/>
    <w:p w14:paraId="068D9409" w14:textId="77777777" w:rsidR="00410999" w:rsidRPr="00410999" w:rsidRDefault="00410999" w:rsidP="00410999">
      <w:pPr>
        <w:pStyle w:val="Titre2"/>
      </w:pPr>
      <w:r w:rsidRPr="00410999">
        <w:lastRenderedPageBreak/>
        <w:t>Explication au sujet des règles d'octroi des jours de vacances</w:t>
      </w:r>
    </w:p>
    <w:p w14:paraId="0074D7F1" w14:textId="77777777" w:rsidR="00410999" w:rsidRPr="00410999" w:rsidRDefault="00410999" w:rsidP="00410999">
      <w:r w:rsidRPr="00410999">
        <w:t>Le nombre de </w:t>
      </w:r>
      <w:r w:rsidRPr="00410999">
        <w:rPr>
          <w:b/>
          <w:bCs/>
        </w:rPr>
        <w:t>jours de vacances</w:t>
      </w:r>
      <w:r w:rsidRPr="00410999">
        <w:t> (</w:t>
      </w:r>
      <w:r w:rsidRPr="00410999">
        <w:rPr>
          <w:b/>
          <w:bCs/>
        </w:rPr>
        <w:t>durée de vacances</w:t>
      </w:r>
      <w:r w:rsidRPr="00410999">
        <w:t>) est déterminé en fonction des prestations de l'exercice de vacances (l'année avant le paiement du pécule de vacances). Certains jours d'inactivité sont assimilés aux jours de travail effectifs.</w:t>
      </w:r>
    </w:p>
    <w:p w14:paraId="1D8CF4A5" w14:textId="77777777" w:rsidR="00410999" w:rsidRPr="00410999" w:rsidRDefault="00410999" w:rsidP="00410999">
      <w:pPr>
        <w:numPr>
          <w:ilvl w:val="0"/>
          <w:numId w:val="3"/>
        </w:numPr>
      </w:pPr>
      <w:proofErr w:type="gramStart"/>
      <w:r w:rsidRPr="00410999">
        <w:t>les</w:t>
      </w:r>
      <w:proofErr w:type="gramEnd"/>
      <w:r w:rsidRPr="00410999">
        <w:t xml:space="preserve"> jours d'absence couverts par une </w:t>
      </w:r>
      <w:proofErr w:type="gramStart"/>
      <w:r w:rsidRPr="00410999">
        <w:t>rémunération;</w:t>
      </w:r>
      <w:proofErr w:type="gramEnd"/>
    </w:p>
    <w:p w14:paraId="43922B58" w14:textId="77777777" w:rsidR="00410999" w:rsidRPr="00410999" w:rsidRDefault="00410999" w:rsidP="00410999">
      <w:pPr>
        <w:numPr>
          <w:ilvl w:val="0"/>
          <w:numId w:val="3"/>
        </w:numPr>
      </w:pPr>
      <w:r w:rsidRPr="00410999">
        <w:t>Les jours d’absence non rémunérés mais pris en compte pour le calcul du pécule de vacances ;</w:t>
      </w:r>
    </w:p>
    <w:p w14:paraId="5995A64C" w14:textId="77777777" w:rsidR="00410999" w:rsidRPr="00410999" w:rsidRDefault="00410999" w:rsidP="00410999">
      <w:pPr>
        <w:numPr>
          <w:ilvl w:val="0"/>
          <w:numId w:val="3"/>
        </w:numPr>
      </w:pPr>
      <w:proofErr w:type="gramStart"/>
      <w:r w:rsidRPr="00410999">
        <w:t>les</w:t>
      </w:r>
      <w:proofErr w:type="gramEnd"/>
      <w:r w:rsidRPr="00410999">
        <w:t xml:space="preserve"> jours de vacances </w:t>
      </w:r>
      <w:proofErr w:type="gramStart"/>
      <w:r w:rsidRPr="00410999">
        <w:t>légales;</w:t>
      </w:r>
      <w:proofErr w:type="gramEnd"/>
    </w:p>
    <w:p w14:paraId="5D19932A" w14:textId="77777777" w:rsidR="00410999" w:rsidRPr="00410999" w:rsidRDefault="00410999" w:rsidP="00410999">
      <w:pPr>
        <w:numPr>
          <w:ilvl w:val="0"/>
          <w:numId w:val="3"/>
        </w:numPr>
      </w:pPr>
      <w:proofErr w:type="gramStart"/>
      <w:r w:rsidRPr="00410999">
        <w:t>les</w:t>
      </w:r>
      <w:proofErr w:type="gramEnd"/>
      <w:r w:rsidRPr="00410999">
        <w:t xml:space="preserve"> vacances en vertu d’une convention collective de travail rendue </w:t>
      </w:r>
      <w:proofErr w:type="gramStart"/>
      <w:r w:rsidRPr="00410999">
        <w:t>obligatoire;</w:t>
      </w:r>
      <w:proofErr w:type="gramEnd"/>
    </w:p>
    <w:p w14:paraId="392F9F21" w14:textId="77777777" w:rsidR="00410999" w:rsidRPr="00410999" w:rsidRDefault="00410999" w:rsidP="00410999">
      <w:pPr>
        <w:numPr>
          <w:ilvl w:val="0"/>
          <w:numId w:val="3"/>
        </w:numPr>
      </w:pPr>
      <w:proofErr w:type="gramStart"/>
      <w:r w:rsidRPr="00410999">
        <w:t>les</w:t>
      </w:r>
      <w:proofErr w:type="gramEnd"/>
      <w:r w:rsidRPr="00410999">
        <w:t xml:space="preserve"> vacances </w:t>
      </w:r>
      <w:proofErr w:type="gramStart"/>
      <w:r w:rsidRPr="00410999">
        <w:t>supplémentaires;</w:t>
      </w:r>
      <w:proofErr w:type="gramEnd"/>
    </w:p>
    <w:p w14:paraId="72F88BE7" w14:textId="77777777" w:rsidR="00410999" w:rsidRPr="00410999" w:rsidRDefault="00410999" w:rsidP="00410999">
      <w:pPr>
        <w:numPr>
          <w:ilvl w:val="0"/>
          <w:numId w:val="3"/>
        </w:numPr>
      </w:pPr>
      <w:proofErr w:type="gramStart"/>
      <w:r w:rsidRPr="00410999">
        <w:t>les</w:t>
      </w:r>
      <w:proofErr w:type="gramEnd"/>
      <w:r w:rsidRPr="00410999">
        <w:t xml:space="preserve"> jours de repos compensatoire dans le secteur de la </w:t>
      </w:r>
      <w:proofErr w:type="gramStart"/>
      <w:r w:rsidRPr="00410999">
        <w:t>construction;</w:t>
      </w:r>
      <w:proofErr w:type="gramEnd"/>
    </w:p>
    <w:p w14:paraId="441C11BB" w14:textId="77777777" w:rsidR="00410999" w:rsidRPr="00410999" w:rsidRDefault="00410999" w:rsidP="00410999">
      <w:pPr>
        <w:numPr>
          <w:ilvl w:val="0"/>
          <w:numId w:val="3"/>
        </w:numPr>
      </w:pPr>
      <w:proofErr w:type="gramStart"/>
      <w:r w:rsidRPr="00410999">
        <w:t>les</w:t>
      </w:r>
      <w:proofErr w:type="gramEnd"/>
      <w:r w:rsidRPr="00410999">
        <w:t xml:space="preserve"> jours de repos compensatoire dans le cadre d’une réduction du temps de travail.</w:t>
      </w:r>
    </w:p>
    <w:p w14:paraId="03E113AC" w14:textId="77777777" w:rsidR="00410999" w:rsidRPr="00410999" w:rsidRDefault="00410999" w:rsidP="00410999">
      <w:proofErr w:type="gramStart"/>
      <w:r w:rsidRPr="00410999">
        <w:rPr>
          <w:u w:val="single"/>
        </w:rPr>
        <w:t>Attention:</w:t>
      </w:r>
      <w:proofErr w:type="gramEnd"/>
      <w:r w:rsidRPr="00410999">
        <w:t> les jours d’interruption de travail assimilés pour le calcul de la durée des vacances ne sont pas tous assimilés pour le calcul du montant du pécule de vacances.</w:t>
      </w:r>
    </w:p>
    <w:p w14:paraId="6CBC4DB3" w14:textId="77777777" w:rsidR="00410999" w:rsidRPr="00410999" w:rsidRDefault="00410999" w:rsidP="00410999">
      <w:pPr>
        <w:rPr>
          <w:b/>
          <w:bCs/>
        </w:rPr>
      </w:pPr>
      <w:r w:rsidRPr="00410999">
        <w:rPr>
          <w:b/>
          <w:bCs/>
        </w:rPr>
        <w:t>Attestation de vacances globalisée</w:t>
      </w:r>
    </w:p>
    <w:p w14:paraId="0EFDD047" w14:textId="77777777" w:rsidR="00410999" w:rsidRPr="00410999" w:rsidRDefault="00410999" w:rsidP="00410999">
      <w:r w:rsidRPr="00410999">
        <w:t>A partir de l’année de vacances 2020, la durée de vacances est calculée en tenant compte de toutes les caisses de vacances.</w:t>
      </w:r>
      <w:r w:rsidRPr="00410999">
        <w:br/>
        <w:t>Lorsque vous êtes affilié(e) à plusieurs caisses, vous recevez une attestation de vacances globalisée sur laquelle figure la durée de vacances globalisée. </w:t>
      </w:r>
    </w:p>
    <w:p w14:paraId="3A2BFE33" w14:textId="77777777" w:rsidR="00410999" w:rsidRPr="00410999" w:rsidRDefault="00410999" w:rsidP="00410999">
      <w:r w:rsidRPr="00410999">
        <w:rPr>
          <w:b/>
          <w:bCs/>
          <w:u w:val="single"/>
        </w:rPr>
        <w:t>Quelle conséquence pour moi ?</w:t>
      </w:r>
      <w:r w:rsidRPr="00410999">
        <w:br/>
        <w:t>Vous recevez la durée de vacances sur un seul document : l’attestation de vacances globalisée. Vous ne devez plus additionner les durées de vacances calculées pour chaque caisse.</w:t>
      </w:r>
    </w:p>
    <w:p w14:paraId="44C3AC2A" w14:textId="77777777" w:rsidR="00410999" w:rsidRPr="00410999" w:rsidRDefault="00410999" w:rsidP="00410999">
      <w:r w:rsidRPr="00410999">
        <w:rPr>
          <w:b/>
          <w:bCs/>
          <w:u w:val="single"/>
        </w:rPr>
        <w:t>Que se passe-t-il si mon droit de vacances auprès d’une caisse est modifié ?</w:t>
      </w:r>
      <w:r w:rsidRPr="00410999">
        <w:br/>
        <w:t>Si votre droit de vacances est modifié après le premier paiement, la caisse de vacances vous informera toujours de votre nouvelle durée de vacances globalisée.</w:t>
      </w:r>
    </w:p>
    <w:p w14:paraId="21B0A598" w14:textId="77777777" w:rsidR="00410999" w:rsidRPr="00410999" w:rsidRDefault="00410999" w:rsidP="00410999">
      <w:r w:rsidRPr="00410999">
        <w:rPr>
          <w:b/>
          <w:bCs/>
          <w:u w:val="single"/>
        </w:rPr>
        <w:t>Il y a-t-il un impact sur le montant de mon pécule de vacances ?</w:t>
      </w:r>
      <w:r w:rsidRPr="00410999">
        <w:br/>
        <w:t>Cette mise à jour n’a aucun impact sur le paiement de votre pécule de vacances.</w:t>
      </w:r>
    </w:p>
    <w:p w14:paraId="2CC040F7" w14:textId="4B24E9F1" w:rsidR="00410999" w:rsidRDefault="00410999" w:rsidP="00410999">
      <w:pPr>
        <w:rPr>
          <w:b/>
          <w:bCs/>
        </w:rPr>
      </w:pPr>
      <w:r w:rsidRPr="00410999">
        <w:rPr>
          <w:b/>
          <w:bCs/>
        </w:rPr>
        <w:t> </w:t>
      </w:r>
    </w:p>
    <w:p w14:paraId="332C73A3" w14:textId="77777777" w:rsidR="00410999" w:rsidRDefault="00410999" w:rsidP="00410999">
      <w:pPr>
        <w:rPr>
          <w:b/>
          <w:bCs/>
        </w:rPr>
      </w:pPr>
    </w:p>
    <w:p w14:paraId="10CD85FF" w14:textId="4B5D08BC" w:rsidR="00410999" w:rsidRPr="00410999" w:rsidRDefault="00410999" w:rsidP="00410999">
      <w:pPr>
        <w:rPr>
          <w:b/>
          <w:bCs/>
        </w:rPr>
      </w:pPr>
      <w:r>
        <w:rPr>
          <w:b/>
          <w:bCs/>
        </w:rPr>
        <w:lastRenderedPageBreak/>
        <w:t>L</w:t>
      </w:r>
      <w:r w:rsidRPr="00410999">
        <w:rPr>
          <w:b/>
          <w:bCs/>
        </w:rPr>
        <w:t>égislation</w:t>
      </w:r>
    </w:p>
    <w:p w14:paraId="379A4FF2" w14:textId="77777777" w:rsidR="00410999" w:rsidRPr="00410999" w:rsidRDefault="00410999" w:rsidP="00410999">
      <w:r w:rsidRPr="00410999">
        <w:t>Pour les ouvriers, les apprentis-ouvriers et les artistes sous contrat, la durée des vacances annuelles est fixée au moyen de la formule et du tableau figurant à l'article 35 de l'arrêté royal du 30 mars 1967 déterminant les modalités générales d'exécution des lois relatives aux vacances annuelles des travailleurs salariés.</w:t>
      </w:r>
    </w:p>
    <w:p w14:paraId="20FBB966" w14:textId="77777777" w:rsidR="00410999" w:rsidRDefault="00410999"/>
    <w:p w14:paraId="5559337A" w14:textId="77777777" w:rsidR="00410999" w:rsidRDefault="00410999"/>
    <w:p w14:paraId="7FFBB19B" w14:textId="77777777" w:rsidR="00410999" w:rsidRDefault="00410999"/>
    <w:p w14:paraId="338FB12A" w14:textId="77777777" w:rsidR="00410999" w:rsidRDefault="00410999"/>
    <w:p w14:paraId="689A7F68" w14:textId="77777777" w:rsidR="00410999" w:rsidRDefault="00410999"/>
    <w:p w14:paraId="23EEB6CA" w14:textId="77777777" w:rsidR="00410999" w:rsidRDefault="00410999"/>
    <w:p w14:paraId="1CC88985" w14:textId="77777777" w:rsidR="00410999" w:rsidRDefault="00410999"/>
    <w:p w14:paraId="2DF6EF3A" w14:textId="77777777" w:rsidR="00410999" w:rsidRDefault="00410999"/>
    <w:p w14:paraId="585B21C4" w14:textId="77777777" w:rsidR="00410999" w:rsidRDefault="00410999"/>
    <w:p w14:paraId="075CEC4A" w14:textId="77777777" w:rsidR="00410999" w:rsidRDefault="00410999"/>
    <w:p w14:paraId="6EB322B3" w14:textId="77777777" w:rsidR="00410999" w:rsidRDefault="00410999"/>
    <w:p w14:paraId="665AB352" w14:textId="77777777" w:rsidR="00410999" w:rsidRDefault="00410999"/>
    <w:p w14:paraId="14879298" w14:textId="77777777" w:rsidR="00410999" w:rsidRDefault="00410999"/>
    <w:p w14:paraId="6167AF8C" w14:textId="77777777" w:rsidR="00410999" w:rsidRDefault="00410999"/>
    <w:p w14:paraId="140C29A0" w14:textId="77777777" w:rsidR="00410999" w:rsidRDefault="00410999"/>
    <w:p w14:paraId="379CD3A1" w14:textId="77777777" w:rsidR="00410999" w:rsidRDefault="00410999"/>
    <w:p w14:paraId="4FA1B252" w14:textId="77777777" w:rsidR="00410999" w:rsidRDefault="00410999"/>
    <w:p w14:paraId="6597AB79" w14:textId="77777777" w:rsidR="00410999" w:rsidRDefault="00410999"/>
    <w:p w14:paraId="64DCC96C" w14:textId="77777777" w:rsidR="00410999" w:rsidRDefault="00410999"/>
    <w:p w14:paraId="6D829722" w14:textId="77777777" w:rsidR="00410999" w:rsidRDefault="00410999"/>
    <w:p w14:paraId="296038ED" w14:textId="77777777" w:rsidR="00410999" w:rsidRDefault="00410999"/>
    <w:p w14:paraId="0C946B22" w14:textId="77777777" w:rsidR="00410999" w:rsidRDefault="00410999"/>
    <w:p w14:paraId="2692877B" w14:textId="6F58778D" w:rsidR="00410999" w:rsidRPr="00410999" w:rsidRDefault="00410999" w:rsidP="00410999">
      <w:pPr>
        <w:pStyle w:val="Titre2"/>
      </w:pPr>
      <w:r>
        <w:lastRenderedPageBreak/>
        <w:t>C</w:t>
      </w:r>
      <w:r w:rsidRPr="00410999">
        <w:t>alcul du pécule de vacances (congés payés)</w:t>
      </w:r>
    </w:p>
    <w:p w14:paraId="5E643EFE" w14:textId="4433553E" w:rsidR="00410999" w:rsidRPr="00410999" w:rsidRDefault="00410999" w:rsidP="00410999">
      <w:r>
        <w:rPr>
          <w:b/>
          <w:bCs/>
        </w:rPr>
        <w:t>Exemple de p</w:t>
      </w:r>
      <w:r w:rsidRPr="00410999">
        <w:rPr>
          <w:b/>
          <w:bCs/>
        </w:rPr>
        <w:t>écule de vacances brut soumis à un précompte professionnel de 17,16% (arrondi)</w:t>
      </w:r>
    </w:p>
    <w:tbl>
      <w:tblPr>
        <w:tblW w:w="9498" w:type="dxa"/>
        <w:tblCellMar>
          <w:left w:w="70" w:type="dxa"/>
          <w:right w:w="70" w:type="dxa"/>
        </w:tblCellMar>
        <w:tblLook w:val="04A0" w:firstRow="1" w:lastRow="0" w:firstColumn="1" w:lastColumn="0" w:noHBand="0" w:noVBand="1"/>
      </w:tblPr>
      <w:tblGrid>
        <w:gridCol w:w="6357"/>
        <w:gridCol w:w="1440"/>
        <w:gridCol w:w="1701"/>
      </w:tblGrid>
      <w:tr w:rsidR="00410999" w:rsidRPr="00410999" w14:paraId="6347E041" w14:textId="77777777" w:rsidTr="00410999">
        <w:trPr>
          <w:trHeight w:val="288"/>
        </w:trPr>
        <w:tc>
          <w:tcPr>
            <w:tcW w:w="6357" w:type="dxa"/>
            <w:tcBorders>
              <w:top w:val="nil"/>
              <w:left w:val="nil"/>
              <w:bottom w:val="nil"/>
              <w:right w:val="nil"/>
            </w:tcBorders>
            <w:shd w:val="clear" w:color="000000" w:fill="FFFFFF"/>
            <w:vAlign w:val="center"/>
            <w:hideMark/>
          </w:tcPr>
          <w:p w14:paraId="52CACDD7" w14:textId="77777777" w:rsidR="00410999" w:rsidRPr="00410999" w:rsidRDefault="00410999" w:rsidP="00410999">
            <w:pPr>
              <w:spacing w:after="0" w:line="240" w:lineRule="auto"/>
              <w:jc w:val="center"/>
              <w:rPr>
                <w:rFonts w:ascii="Lucida Sans Unicode" w:eastAsia="Times New Roman" w:hAnsi="Lucida Sans Unicode" w:cs="Lucida Sans Unicode"/>
                <w:b/>
                <w:bCs/>
                <w:color w:val="5E5E5E"/>
                <w:kern w:val="0"/>
                <w:sz w:val="18"/>
                <w:szCs w:val="18"/>
                <w:lang w:eastAsia="fr-BE"/>
                <w14:ligatures w14:val="none"/>
              </w:rPr>
            </w:pPr>
            <w:r w:rsidRPr="00410999">
              <w:rPr>
                <w:rFonts w:ascii="Lucida Sans Unicode" w:eastAsia="Times New Roman" w:hAnsi="Lucida Sans Unicode" w:cs="Lucida Sans Unicode"/>
                <w:b/>
                <w:bCs/>
                <w:color w:val="5E5E5E"/>
                <w:kern w:val="0"/>
                <w:sz w:val="18"/>
                <w:szCs w:val="18"/>
                <w:lang w:eastAsia="fr-BE"/>
                <w14:ligatures w14:val="none"/>
              </w:rPr>
              <w:t>Données</w:t>
            </w:r>
          </w:p>
        </w:tc>
        <w:tc>
          <w:tcPr>
            <w:tcW w:w="1440" w:type="dxa"/>
            <w:tcBorders>
              <w:top w:val="nil"/>
              <w:left w:val="nil"/>
              <w:bottom w:val="nil"/>
              <w:right w:val="nil"/>
            </w:tcBorders>
            <w:shd w:val="clear" w:color="000000" w:fill="FFFFFF"/>
            <w:vAlign w:val="center"/>
            <w:hideMark/>
          </w:tcPr>
          <w:p w14:paraId="4947A40C" w14:textId="77777777" w:rsidR="00410999" w:rsidRPr="00410999" w:rsidRDefault="00410999" w:rsidP="00410999">
            <w:pPr>
              <w:spacing w:after="0" w:line="240" w:lineRule="auto"/>
              <w:jc w:val="center"/>
              <w:rPr>
                <w:rFonts w:ascii="Lucida Sans Unicode" w:eastAsia="Times New Roman" w:hAnsi="Lucida Sans Unicode" w:cs="Lucida Sans Unicode"/>
                <w:b/>
                <w:bCs/>
                <w:color w:val="5E5E5E"/>
                <w:kern w:val="0"/>
                <w:sz w:val="18"/>
                <w:szCs w:val="18"/>
                <w:lang w:eastAsia="fr-BE"/>
                <w14:ligatures w14:val="none"/>
              </w:rPr>
            </w:pPr>
            <w:r w:rsidRPr="00410999">
              <w:rPr>
                <w:rFonts w:ascii="Lucida Sans Unicode" w:eastAsia="Times New Roman" w:hAnsi="Lucida Sans Unicode" w:cs="Lucida Sans Unicode"/>
                <w:b/>
                <w:bCs/>
                <w:color w:val="5E5E5E"/>
                <w:kern w:val="0"/>
                <w:sz w:val="18"/>
                <w:szCs w:val="18"/>
                <w:lang w:eastAsia="fr-BE"/>
                <w14:ligatures w14:val="none"/>
              </w:rPr>
              <w:t>Calcul</w:t>
            </w:r>
          </w:p>
        </w:tc>
        <w:tc>
          <w:tcPr>
            <w:tcW w:w="1701" w:type="dxa"/>
            <w:tcBorders>
              <w:top w:val="nil"/>
              <w:left w:val="nil"/>
              <w:bottom w:val="nil"/>
              <w:right w:val="nil"/>
            </w:tcBorders>
            <w:shd w:val="clear" w:color="000000" w:fill="FFFFFF"/>
            <w:vAlign w:val="center"/>
            <w:hideMark/>
          </w:tcPr>
          <w:p w14:paraId="5C6D2C43" w14:textId="77777777" w:rsidR="00410999" w:rsidRPr="00410999" w:rsidRDefault="00410999" w:rsidP="00410999">
            <w:pPr>
              <w:spacing w:after="0" w:line="240" w:lineRule="auto"/>
              <w:jc w:val="right"/>
              <w:rPr>
                <w:rFonts w:ascii="Lucida Sans Unicode" w:eastAsia="Times New Roman" w:hAnsi="Lucida Sans Unicode" w:cs="Lucida Sans Unicode"/>
                <w:b/>
                <w:bCs/>
                <w:color w:val="5E5E5E"/>
                <w:kern w:val="0"/>
                <w:sz w:val="18"/>
                <w:szCs w:val="18"/>
                <w:lang w:eastAsia="fr-BE"/>
                <w14:ligatures w14:val="none"/>
              </w:rPr>
            </w:pPr>
            <w:r w:rsidRPr="00410999">
              <w:rPr>
                <w:rFonts w:ascii="Lucida Sans Unicode" w:eastAsia="Times New Roman" w:hAnsi="Lucida Sans Unicode" w:cs="Lucida Sans Unicode"/>
                <w:b/>
                <w:bCs/>
                <w:color w:val="5E5E5E"/>
                <w:kern w:val="0"/>
                <w:sz w:val="18"/>
                <w:szCs w:val="18"/>
                <w:lang w:eastAsia="fr-BE"/>
                <w14:ligatures w14:val="none"/>
              </w:rPr>
              <w:t>Montant</w:t>
            </w:r>
          </w:p>
        </w:tc>
      </w:tr>
      <w:tr w:rsidR="00410999" w:rsidRPr="00410999" w14:paraId="0C95ADB3" w14:textId="77777777" w:rsidTr="00410999">
        <w:trPr>
          <w:trHeight w:val="288"/>
        </w:trPr>
        <w:tc>
          <w:tcPr>
            <w:tcW w:w="6357" w:type="dxa"/>
            <w:tcBorders>
              <w:top w:val="nil"/>
              <w:left w:val="nil"/>
              <w:bottom w:val="nil"/>
              <w:right w:val="nil"/>
            </w:tcBorders>
            <w:noWrap/>
            <w:vAlign w:val="bottom"/>
            <w:hideMark/>
          </w:tcPr>
          <w:p w14:paraId="5772F641"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(1) Rémunération annuelle à 100%</w:t>
            </w:r>
          </w:p>
        </w:tc>
        <w:tc>
          <w:tcPr>
            <w:tcW w:w="1440" w:type="dxa"/>
            <w:tcBorders>
              <w:top w:val="nil"/>
              <w:left w:val="nil"/>
              <w:bottom w:val="nil"/>
              <w:right w:val="nil"/>
            </w:tcBorders>
            <w:shd w:val="clear" w:color="000000" w:fill="FFFFFF"/>
            <w:vAlign w:val="center"/>
            <w:hideMark/>
          </w:tcPr>
          <w:p w14:paraId="705DF0E1"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w:t>
            </w:r>
          </w:p>
        </w:tc>
        <w:tc>
          <w:tcPr>
            <w:tcW w:w="1701" w:type="dxa"/>
            <w:tcBorders>
              <w:top w:val="nil"/>
              <w:left w:val="nil"/>
              <w:bottom w:val="nil"/>
              <w:right w:val="nil"/>
            </w:tcBorders>
            <w:shd w:val="clear" w:color="000000" w:fill="FFFFFF"/>
            <w:vAlign w:val="center"/>
            <w:hideMark/>
          </w:tcPr>
          <w:p w14:paraId="5EEEDCB3"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€ 5 400,00</w:t>
            </w:r>
          </w:p>
        </w:tc>
      </w:tr>
      <w:tr w:rsidR="00410999" w:rsidRPr="00410999" w14:paraId="24614E86" w14:textId="77777777" w:rsidTr="00410999">
        <w:trPr>
          <w:trHeight w:val="288"/>
        </w:trPr>
        <w:tc>
          <w:tcPr>
            <w:tcW w:w="6357" w:type="dxa"/>
            <w:tcBorders>
              <w:top w:val="nil"/>
              <w:left w:val="nil"/>
              <w:bottom w:val="nil"/>
              <w:right w:val="nil"/>
            </w:tcBorders>
            <w:noWrap/>
            <w:vAlign w:val="bottom"/>
            <w:hideMark/>
          </w:tcPr>
          <w:p w14:paraId="65356A5E"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(2) Rémunération annuelle à 108%</w:t>
            </w:r>
          </w:p>
        </w:tc>
        <w:tc>
          <w:tcPr>
            <w:tcW w:w="1440" w:type="dxa"/>
            <w:tcBorders>
              <w:top w:val="nil"/>
              <w:left w:val="nil"/>
              <w:bottom w:val="nil"/>
              <w:right w:val="nil"/>
            </w:tcBorders>
            <w:shd w:val="clear" w:color="000000" w:fill="FFFFFF"/>
            <w:vAlign w:val="center"/>
            <w:hideMark/>
          </w:tcPr>
          <w:p w14:paraId="4D3E76C8"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(1) x 1,08</w:t>
            </w:r>
          </w:p>
        </w:tc>
        <w:tc>
          <w:tcPr>
            <w:tcW w:w="1701" w:type="dxa"/>
            <w:tcBorders>
              <w:top w:val="nil"/>
              <w:left w:val="nil"/>
              <w:bottom w:val="nil"/>
              <w:right w:val="nil"/>
            </w:tcBorders>
            <w:shd w:val="clear" w:color="000000" w:fill="FFFFFF"/>
            <w:vAlign w:val="center"/>
            <w:hideMark/>
          </w:tcPr>
          <w:p w14:paraId="705FC04D"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€ 5 832,00</w:t>
            </w:r>
          </w:p>
        </w:tc>
      </w:tr>
      <w:tr w:rsidR="00410999" w:rsidRPr="00410999" w14:paraId="1077141E" w14:textId="77777777" w:rsidTr="00410999">
        <w:trPr>
          <w:trHeight w:val="288"/>
        </w:trPr>
        <w:tc>
          <w:tcPr>
            <w:tcW w:w="6357" w:type="dxa"/>
            <w:tcBorders>
              <w:top w:val="nil"/>
              <w:left w:val="nil"/>
              <w:bottom w:val="nil"/>
              <w:right w:val="nil"/>
            </w:tcBorders>
            <w:noWrap/>
            <w:vAlign w:val="bottom"/>
            <w:hideMark/>
          </w:tcPr>
          <w:p w14:paraId="440E2A98"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(3) Salaire fictif</w:t>
            </w:r>
          </w:p>
        </w:tc>
        <w:tc>
          <w:tcPr>
            <w:tcW w:w="1440" w:type="dxa"/>
            <w:tcBorders>
              <w:top w:val="nil"/>
              <w:left w:val="nil"/>
              <w:bottom w:val="nil"/>
              <w:right w:val="nil"/>
            </w:tcBorders>
            <w:shd w:val="clear" w:color="000000" w:fill="FFFFFF"/>
            <w:vAlign w:val="center"/>
            <w:hideMark/>
          </w:tcPr>
          <w:p w14:paraId="6E84E0BC"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w:t>
            </w:r>
          </w:p>
        </w:tc>
        <w:tc>
          <w:tcPr>
            <w:tcW w:w="1701" w:type="dxa"/>
            <w:tcBorders>
              <w:top w:val="nil"/>
              <w:left w:val="nil"/>
              <w:bottom w:val="nil"/>
              <w:right w:val="nil"/>
            </w:tcBorders>
            <w:shd w:val="clear" w:color="000000" w:fill="FFFFFF"/>
            <w:vAlign w:val="center"/>
            <w:hideMark/>
          </w:tcPr>
          <w:p w14:paraId="7AAE6C20"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€ 0,00</w:t>
            </w:r>
          </w:p>
        </w:tc>
      </w:tr>
      <w:tr w:rsidR="00410999" w:rsidRPr="00410999" w14:paraId="7C7E477E" w14:textId="77777777" w:rsidTr="00410999">
        <w:trPr>
          <w:trHeight w:val="288"/>
        </w:trPr>
        <w:tc>
          <w:tcPr>
            <w:tcW w:w="6357" w:type="dxa"/>
            <w:tcBorders>
              <w:top w:val="nil"/>
              <w:left w:val="nil"/>
              <w:bottom w:val="nil"/>
              <w:right w:val="nil"/>
            </w:tcBorders>
            <w:noWrap/>
            <w:vAlign w:val="bottom"/>
            <w:hideMark/>
          </w:tcPr>
          <w:p w14:paraId="434B8C8E"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(4) Rémunération annuelle de base pour le calcul du pécule de vacances</w:t>
            </w:r>
          </w:p>
        </w:tc>
        <w:tc>
          <w:tcPr>
            <w:tcW w:w="1440" w:type="dxa"/>
            <w:tcBorders>
              <w:top w:val="nil"/>
              <w:left w:val="nil"/>
              <w:bottom w:val="nil"/>
              <w:right w:val="nil"/>
            </w:tcBorders>
            <w:shd w:val="clear" w:color="000000" w:fill="FFFFFF"/>
            <w:vAlign w:val="center"/>
            <w:hideMark/>
          </w:tcPr>
          <w:p w14:paraId="445BEC44"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(2) + (3)</w:t>
            </w:r>
          </w:p>
        </w:tc>
        <w:tc>
          <w:tcPr>
            <w:tcW w:w="1701" w:type="dxa"/>
            <w:tcBorders>
              <w:top w:val="nil"/>
              <w:left w:val="nil"/>
              <w:bottom w:val="nil"/>
              <w:right w:val="nil"/>
            </w:tcBorders>
            <w:shd w:val="clear" w:color="000000" w:fill="FFFFFF"/>
            <w:vAlign w:val="center"/>
            <w:hideMark/>
          </w:tcPr>
          <w:p w14:paraId="1583CDE3"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€ 5 832,00</w:t>
            </w:r>
          </w:p>
        </w:tc>
      </w:tr>
      <w:tr w:rsidR="00410999" w:rsidRPr="00410999" w14:paraId="710EDE68" w14:textId="77777777" w:rsidTr="00410999">
        <w:trPr>
          <w:trHeight w:val="288"/>
        </w:trPr>
        <w:tc>
          <w:tcPr>
            <w:tcW w:w="6357" w:type="dxa"/>
            <w:tcBorders>
              <w:top w:val="nil"/>
              <w:left w:val="nil"/>
              <w:bottom w:val="nil"/>
              <w:right w:val="nil"/>
            </w:tcBorders>
            <w:noWrap/>
            <w:vAlign w:val="bottom"/>
            <w:hideMark/>
          </w:tcPr>
          <w:p w14:paraId="1389984C"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(5) Pécule de vacances brut (15,38%)</w:t>
            </w:r>
          </w:p>
        </w:tc>
        <w:tc>
          <w:tcPr>
            <w:tcW w:w="1440" w:type="dxa"/>
            <w:tcBorders>
              <w:top w:val="nil"/>
              <w:left w:val="nil"/>
              <w:bottom w:val="nil"/>
              <w:right w:val="nil"/>
            </w:tcBorders>
            <w:shd w:val="clear" w:color="000000" w:fill="FFFFFF"/>
            <w:vAlign w:val="center"/>
            <w:hideMark/>
          </w:tcPr>
          <w:p w14:paraId="20A46843"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(4) x 0,1538</w:t>
            </w:r>
          </w:p>
        </w:tc>
        <w:tc>
          <w:tcPr>
            <w:tcW w:w="1701" w:type="dxa"/>
            <w:tcBorders>
              <w:top w:val="nil"/>
              <w:left w:val="nil"/>
              <w:bottom w:val="nil"/>
              <w:right w:val="nil"/>
            </w:tcBorders>
            <w:shd w:val="clear" w:color="000000" w:fill="FFFFFF"/>
            <w:vAlign w:val="center"/>
            <w:hideMark/>
          </w:tcPr>
          <w:p w14:paraId="5E40A536"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€ 896,96</w:t>
            </w:r>
          </w:p>
        </w:tc>
      </w:tr>
      <w:tr w:rsidR="00410999" w:rsidRPr="00410999" w14:paraId="05CAD54C" w14:textId="77777777" w:rsidTr="00410999">
        <w:trPr>
          <w:trHeight w:val="456"/>
        </w:trPr>
        <w:tc>
          <w:tcPr>
            <w:tcW w:w="6357" w:type="dxa"/>
            <w:tcBorders>
              <w:top w:val="nil"/>
              <w:left w:val="nil"/>
              <w:bottom w:val="nil"/>
              <w:right w:val="nil"/>
            </w:tcBorders>
            <w:noWrap/>
            <w:vAlign w:val="bottom"/>
            <w:hideMark/>
          </w:tcPr>
          <w:p w14:paraId="62773B28"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(6) Retenue sur le double pécule de vacances</w:t>
            </w:r>
          </w:p>
        </w:tc>
        <w:tc>
          <w:tcPr>
            <w:tcW w:w="1440" w:type="dxa"/>
            <w:tcBorders>
              <w:top w:val="nil"/>
              <w:left w:val="nil"/>
              <w:bottom w:val="nil"/>
              <w:right w:val="nil"/>
            </w:tcBorders>
            <w:shd w:val="clear" w:color="000000" w:fill="FFFFFF"/>
            <w:vAlign w:val="center"/>
            <w:hideMark/>
          </w:tcPr>
          <w:p w14:paraId="132565A5"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(4) x 0,068 x 0,1307</w:t>
            </w:r>
          </w:p>
        </w:tc>
        <w:tc>
          <w:tcPr>
            <w:tcW w:w="1701" w:type="dxa"/>
            <w:tcBorders>
              <w:top w:val="nil"/>
              <w:left w:val="nil"/>
              <w:bottom w:val="nil"/>
              <w:right w:val="nil"/>
            </w:tcBorders>
            <w:shd w:val="clear" w:color="000000" w:fill="FFFFFF"/>
            <w:vAlign w:val="center"/>
            <w:hideMark/>
          </w:tcPr>
          <w:p w14:paraId="1CB924F0"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€ 51,83</w:t>
            </w:r>
          </w:p>
        </w:tc>
      </w:tr>
      <w:tr w:rsidR="00410999" w:rsidRPr="00410999" w14:paraId="598E6EEC" w14:textId="77777777" w:rsidTr="00410999">
        <w:trPr>
          <w:trHeight w:val="288"/>
        </w:trPr>
        <w:tc>
          <w:tcPr>
            <w:tcW w:w="6357" w:type="dxa"/>
            <w:tcBorders>
              <w:top w:val="nil"/>
              <w:left w:val="nil"/>
              <w:bottom w:val="nil"/>
              <w:right w:val="nil"/>
            </w:tcBorders>
            <w:noWrap/>
            <w:vAlign w:val="bottom"/>
            <w:hideMark/>
          </w:tcPr>
          <w:p w14:paraId="51656A5F"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(7) Retenue de solidarité</w:t>
            </w:r>
          </w:p>
        </w:tc>
        <w:tc>
          <w:tcPr>
            <w:tcW w:w="1440" w:type="dxa"/>
            <w:tcBorders>
              <w:top w:val="nil"/>
              <w:left w:val="nil"/>
              <w:bottom w:val="nil"/>
              <w:right w:val="nil"/>
            </w:tcBorders>
            <w:shd w:val="clear" w:color="000000" w:fill="FFFFFF"/>
            <w:vAlign w:val="center"/>
            <w:hideMark/>
          </w:tcPr>
          <w:p w14:paraId="3AAEAD55"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(5) x 0,01</w:t>
            </w:r>
          </w:p>
        </w:tc>
        <w:tc>
          <w:tcPr>
            <w:tcW w:w="1701" w:type="dxa"/>
            <w:tcBorders>
              <w:top w:val="nil"/>
              <w:left w:val="nil"/>
              <w:bottom w:val="nil"/>
              <w:right w:val="nil"/>
            </w:tcBorders>
            <w:shd w:val="clear" w:color="000000" w:fill="FFFFFF"/>
            <w:vAlign w:val="center"/>
            <w:hideMark/>
          </w:tcPr>
          <w:p w14:paraId="5A3C6228"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€ 8,97</w:t>
            </w:r>
          </w:p>
        </w:tc>
      </w:tr>
      <w:tr w:rsidR="00410999" w:rsidRPr="00410999" w14:paraId="401D3448" w14:textId="77777777" w:rsidTr="00410999">
        <w:trPr>
          <w:trHeight w:val="288"/>
        </w:trPr>
        <w:tc>
          <w:tcPr>
            <w:tcW w:w="6357" w:type="dxa"/>
            <w:tcBorders>
              <w:top w:val="nil"/>
              <w:left w:val="nil"/>
              <w:bottom w:val="nil"/>
              <w:right w:val="nil"/>
            </w:tcBorders>
            <w:noWrap/>
            <w:vAlign w:val="bottom"/>
            <w:hideMark/>
          </w:tcPr>
          <w:p w14:paraId="48423E22"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(8) Pécule de vacances imposable</w:t>
            </w:r>
          </w:p>
        </w:tc>
        <w:tc>
          <w:tcPr>
            <w:tcW w:w="1440" w:type="dxa"/>
            <w:tcBorders>
              <w:top w:val="nil"/>
              <w:left w:val="nil"/>
              <w:bottom w:val="nil"/>
              <w:right w:val="nil"/>
            </w:tcBorders>
            <w:shd w:val="clear" w:color="000000" w:fill="FFFFFF"/>
            <w:vAlign w:val="center"/>
            <w:hideMark/>
          </w:tcPr>
          <w:p w14:paraId="3056757F"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(5) - (6) - (7)</w:t>
            </w:r>
          </w:p>
        </w:tc>
        <w:tc>
          <w:tcPr>
            <w:tcW w:w="1701" w:type="dxa"/>
            <w:tcBorders>
              <w:top w:val="nil"/>
              <w:left w:val="nil"/>
              <w:bottom w:val="nil"/>
              <w:right w:val="nil"/>
            </w:tcBorders>
            <w:shd w:val="clear" w:color="000000" w:fill="FFFFFF"/>
            <w:vAlign w:val="center"/>
            <w:hideMark/>
          </w:tcPr>
          <w:p w14:paraId="7FE64620"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€ 836,16</w:t>
            </w:r>
          </w:p>
        </w:tc>
      </w:tr>
      <w:tr w:rsidR="00410999" w:rsidRPr="00410999" w14:paraId="57C2DFAC" w14:textId="77777777" w:rsidTr="00410999">
        <w:trPr>
          <w:trHeight w:val="288"/>
        </w:trPr>
        <w:tc>
          <w:tcPr>
            <w:tcW w:w="6357" w:type="dxa"/>
            <w:tcBorders>
              <w:top w:val="nil"/>
              <w:left w:val="nil"/>
              <w:bottom w:val="nil"/>
              <w:right w:val="nil"/>
            </w:tcBorders>
            <w:noWrap/>
            <w:vAlign w:val="bottom"/>
            <w:hideMark/>
          </w:tcPr>
          <w:p w14:paraId="3B6B9555"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 xml:space="preserve">(9) Précompte professionnel inférieur ou égal </w:t>
            </w:r>
            <w:proofErr w:type="gramStart"/>
            <w:r w:rsidRPr="00410999">
              <w:rPr>
                <w:rFonts w:ascii="Aptos Narrow" w:eastAsia="Times New Roman" w:hAnsi="Aptos Narrow" w:cs="Times New Roman"/>
                <w:color w:val="000000"/>
                <w:kern w:val="0"/>
                <w:sz w:val="22"/>
                <w:szCs w:val="22"/>
                <w:lang w:eastAsia="fr-BE"/>
                <w14:ligatures w14:val="none"/>
              </w:rPr>
              <w:t>à  €</w:t>
            </w:r>
            <w:proofErr w:type="gramEnd"/>
            <w:r w:rsidRPr="00410999">
              <w:rPr>
                <w:rFonts w:ascii="Aptos Narrow" w:eastAsia="Times New Roman" w:hAnsi="Aptos Narrow" w:cs="Times New Roman"/>
                <w:color w:val="000000"/>
                <w:kern w:val="0"/>
                <w:sz w:val="22"/>
                <w:szCs w:val="22"/>
                <w:lang w:eastAsia="fr-BE"/>
                <w14:ligatures w14:val="none"/>
              </w:rPr>
              <w:t xml:space="preserve"> 1 700 (17,16%)</w:t>
            </w:r>
          </w:p>
        </w:tc>
        <w:tc>
          <w:tcPr>
            <w:tcW w:w="1440" w:type="dxa"/>
            <w:tcBorders>
              <w:top w:val="nil"/>
              <w:left w:val="nil"/>
              <w:bottom w:val="nil"/>
              <w:right w:val="nil"/>
            </w:tcBorders>
            <w:shd w:val="clear" w:color="000000" w:fill="FFFFFF"/>
            <w:vAlign w:val="center"/>
            <w:hideMark/>
          </w:tcPr>
          <w:p w14:paraId="294CBC4A"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(8) x 0,1716</w:t>
            </w:r>
          </w:p>
        </w:tc>
        <w:tc>
          <w:tcPr>
            <w:tcW w:w="1701" w:type="dxa"/>
            <w:tcBorders>
              <w:top w:val="nil"/>
              <w:left w:val="nil"/>
              <w:bottom w:val="nil"/>
              <w:right w:val="nil"/>
            </w:tcBorders>
            <w:shd w:val="clear" w:color="000000" w:fill="FFFFFF"/>
            <w:vAlign w:val="center"/>
            <w:hideMark/>
          </w:tcPr>
          <w:p w14:paraId="7FE037A0"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€ 143,48</w:t>
            </w:r>
          </w:p>
        </w:tc>
      </w:tr>
      <w:tr w:rsidR="00410999" w:rsidRPr="00410999" w14:paraId="76B8E30A" w14:textId="77777777" w:rsidTr="00410999">
        <w:trPr>
          <w:trHeight w:val="288"/>
        </w:trPr>
        <w:tc>
          <w:tcPr>
            <w:tcW w:w="6357" w:type="dxa"/>
            <w:tcBorders>
              <w:top w:val="nil"/>
              <w:left w:val="nil"/>
              <w:bottom w:val="nil"/>
              <w:right w:val="nil"/>
            </w:tcBorders>
            <w:noWrap/>
            <w:vAlign w:val="bottom"/>
            <w:hideMark/>
          </w:tcPr>
          <w:p w14:paraId="6A0BAEB6" w14:textId="77777777" w:rsidR="00410999" w:rsidRPr="00410999" w:rsidRDefault="00410999" w:rsidP="00410999">
            <w:pPr>
              <w:spacing w:after="0" w:line="240" w:lineRule="auto"/>
              <w:rPr>
                <w:rFonts w:ascii="Aptos Narrow" w:eastAsia="Times New Roman" w:hAnsi="Aptos Narrow" w:cs="Times New Roman"/>
                <w:color w:val="000000"/>
                <w:kern w:val="0"/>
                <w:sz w:val="22"/>
                <w:szCs w:val="22"/>
                <w:lang w:eastAsia="fr-BE"/>
                <w14:ligatures w14:val="none"/>
              </w:rPr>
            </w:pPr>
            <w:r w:rsidRPr="00410999">
              <w:rPr>
                <w:rFonts w:ascii="Aptos Narrow" w:eastAsia="Times New Roman" w:hAnsi="Aptos Narrow" w:cs="Times New Roman"/>
                <w:color w:val="000000"/>
                <w:kern w:val="0"/>
                <w:sz w:val="22"/>
                <w:szCs w:val="22"/>
                <w:lang w:eastAsia="fr-BE"/>
                <w14:ligatures w14:val="none"/>
              </w:rPr>
              <w:t>(10) PECULE DE VACANCES NET</w:t>
            </w:r>
          </w:p>
        </w:tc>
        <w:tc>
          <w:tcPr>
            <w:tcW w:w="1440" w:type="dxa"/>
            <w:tcBorders>
              <w:top w:val="nil"/>
              <w:left w:val="nil"/>
              <w:bottom w:val="nil"/>
              <w:right w:val="nil"/>
            </w:tcBorders>
            <w:shd w:val="clear" w:color="000000" w:fill="FFFFFF"/>
            <w:vAlign w:val="center"/>
            <w:hideMark/>
          </w:tcPr>
          <w:p w14:paraId="5D3A652A" w14:textId="77777777" w:rsidR="00410999" w:rsidRPr="00410999" w:rsidRDefault="00410999" w:rsidP="00410999">
            <w:pPr>
              <w:spacing w:after="0" w:line="240" w:lineRule="auto"/>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(8) - (9)</w:t>
            </w:r>
          </w:p>
        </w:tc>
        <w:tc>
          <w:tcPr>
            <w:tcW w:w="1701" w:type="dxa"/>
            <w:tcBorders>
              <w:top w:val="nil"/>
              <w:left w:val="nil"/>
              <w:bottom w:val="nil"/>
              <w:right w:val="nil"/>
            </w:tcBorders>
            <w:shd w:val="clear" w:color="000000" w:fill="FFFFFF"/>
            <w:vAlign w:val="center"/>
            <w:hideMark/>
          </w:tcPr>
          <w:p w14:paraId="2447EF6D" w14:textId="77777777" w:rsidR="00410999" w:rsidRPr="00410999" w:rsidRDefault="00410999" w:rsidP="00410999">
            <w:pPr>
              <w:spacing w:after="0" w:line="240" w:lineRule="auto"/>
              <w:jc w:val="right"/>
              <w:rPr>
                <w:rFonts w:ascii="Lucida Sans Unicode" w:eastAsia="Times New Roman" w:hAnsi="Lucida Sans Unicode" w:cs="Lucida Sans Unicode"/>
                <w:color w:val="767676"/>
                <w:kern w:val="0"/>
                <w:sz w:val="18"/>
                <w:szCs w:val="18"/>
                <w:lang w:eastAsia="fr-BE"/>
                <w14:ligatures w14:val="none"/>
              </w:rPr>
            </w:pPr>
            <w:r w:rsidRPr="00410999">
              <w:rPr>
                <w:rFonts w:ascii="Lucida Sans Unicode" w:eastAsia="Times New Roman" w:hAnsi="Lucida Sans Unicode" w:cs="Lucida Sans Unicode"/>
                <w:color w:val="767676"/>
                <w:kern w:val="0"/>
                <w:sz w:val="18"/>
                <w:szCs w:val="18"/>
                <w:lang w:eastAsia="fr-BE"/>
                <w14:ligatures w14:val="none"/>
              </w:rPr>
              <w:t>€ 692,67</w:t>
            </w:r>
          </w:p>
        </w:tc>
      </w:tr>
    </w:tbl>
    <w:p w14:paraId="72656B1D" w14:textId="77777777" w:rsidR="00410999" w:rsidRDefault="00410999" w:rsidP="00410999">
      <w:pPr>
        <w:rPr>
          <w:b/>
          <w:bCs/>
        </w:rPr>
      </w:pPr>
    </w:p>
    <w:p w14:paraId="51428D53" w14:textId="25A62851" w:rsidR="00410999" w:rsidRPr="00410999" w:rsidRDefault="00410999" w:rsidP="00410999">
      <w:pPr>
        <w:rPr>
          <w:b/>
          <w:bCs/>
        </w:rPr>
      </w:pPr>
      <w:r w:rsidRPr="00410999">
        <w:rPr>
          <w:b/>
          <w:bCs/>
        </w:rPr>
        <w:t>(1) à (4) Rémunération annuelle et salaire fictif</w:t>
      </w:r>
    </w:p>
    <w:p w14:paraId="01348698" w14:textId="77777777" w:rsidR="00410999" w:rsidRPr="00410999" w:rsidRDefault="00410999" w:rsidP="00410999">
      <w:r w:rsidRPr="00410999">
        <w:t>Afin de calculer votre pécule de vacances, l’ensemble de vos salaires bruts annuels (1) </w:t>
      </w:r>
      <w:proofErr w:type="gramStart"/>
      <w:r w:rsidRPr="00410999">
        <w:t>est  porté</w:t>
      </w:r>
      <w:proofErr w:type="gramEnd"/>
      <w:r w:rsidRPr="00410999">
        <w:t xml:space="preserve"> à 108% (2). Sous certaines conditions, certaines journées d’absences (telles que les journées de maladie par exemple) sont prises en compte pour ce calcul (3). Dans ce cas, un salaire fictif est attribué à ces journées d’absence. Il correspond par jour, à 100 % du salaire journalier moyen déclaré à l'ONSS.</w:t>
      </w:r>
    </w:p>
    <w:p w14:paraId="6B7AC70E" w14:textId="77777777" w:rsidR="00410999" w:rsidRPr="00410999" w:rsidRDefault="00410999" w:rsidP="00410999">
      <w:pPr>
        <w:rPr>
          <w:b/>
          <w:bCs/>
        </w:rPr>
      </w:pPr>
      <w:r w:rsidRPr="00410999">
        <w:rPr>
          <w:b/>
          <w:bCs/>
        </w:rPr>
        <w:t>(5) Pécule de vacances brut</w:t>
      </w:r>
    </w:p>
    <w:p w14:paraId="60334FC2" w14:textId="77777777" w:rsidR="00410999" w:rsidRPr="00410999" w:rsidRDefault="00410999" w:rsidP="00410999">
      <w:r w:rsidRPr="00410999">
        <w:t xml:space="preserve">Le pécule de vacances brut correspond à 15,38 % (5) </w:t>
      </w:r>
      <w:proofErr w:type="gramStart"/>
      <w:r w:rsidRPr="00410999">
        <w:t>des rémunération</w:t>
      </w:r>
      <w:proofErr w:type="gramEnd"/>
      <w:r w:rsidRPr="00410999">
        <w:t xml:space="preserve"> de base (2+3) de l’année précédant l’année de vacances chez les différents employeurs où vous avez travaillé en tant qu’ouvrier (1).  </w:t>
      </w:r>
    </w:p>
    <w:p w14:paraId="2B87A011" w14:textId="77777777" w:rsidR="00410999" w:rsidRPr="00410999" w:rsidRDefault="00410999" w:rsidP="00410999">
      <w:r w:rsidRPr="00410999">
        <w:t xml:space="preserve">Le pécule des vacances brut (5) se compose </w:t>
      </w:r>
      <w:proofErr w:type="gramStart"/>
      <w:r w:rsidRPr="00410999">
        <w:t>du:</w:t>
      </w:r>
      <w:proofErr w:type="gramEnd"/>
    </w:p>
    <w:p w14:paraId="0D1476CF" w14:textId="77777777" w:rsidR="00410999" w:rsidRPr="00410999" w:rsidRDefault="00410999" w:rsidP="00410999">
      <w:pPr>
        <w:numPr>
          <w:ilvl w:val="0"/>
          <w:numId w:val="4"/>
        </w:numPr>
      </w:pPr>
      <w:proofErr w:type="gramStart"/>
      <w:r w:rsidRPr="00410999">
        <w:t>simple</w:t>
      </w:r>
      <w:proofErr w:type="gramEnd"/>
      <w:r w:rsidRPr="00410999">
        <w:t xml:space="preserve"> pécule de vacances = 8% des rémunérations de base (4</w:t>
      </w:r>
      <w:proofErr w:type="gramStart"/>
      <w:r w:rsidRPr="00410999">
        <w:t>);</w:t>
      </w:r>
      <w:proofErr w:type="gramEnd"/>
    </w:p>
    <w:p w14:paraId="651E9360" w14:textId="77777777" w:rsidR="00410999" w:rsidRPr="00410999" w:rsidRDefault="00410999" w:rsidP="00410999">
      <w:pPr>
        <w:numPr>
          <w:ilvl w:val="0"/>
          <w:numId w:val="4"/>
        </w:numPr>
      </w:pPr>
      <w:proofErr w:type="gramStart"/>
      <w:r w:rsidRPr="00410999">
        <w:t>double</w:t>
      </w:r>
      <w:proofErr w:type="gramEnd"/>
      <w:r w:rsidRPr="00410999">
        <w:t xml:space="preserve"> pécule de vacances (5a) = 7,38% des rémunérations de base (4).</w:t>
      </w:r>
    </w:p>
    <w:p w14:paraId="280F6085" w14:textId="77777777" w:rsidR="00410999" w:rsidRPr="00410999" w:rsidRDefault="00410999" w:rsidP="00410999">
      <w:pPr>
        <w:rPr>
          <w:b/>
          <w:bCs/>
        </w:rPr>
      </w:pPr>
      <w:r w:rsidRPr="00410999">
        <w:rPr>
          <w:b/>
          <w:bCs/>
        </w:rPr>
        <w:t>(6) Retenue sur le double pécule de vacances</w:t>
      </w:r>
    </w:p>
    <w:p w14:paraId="70F68C0E" w14:textId="77777777" w:rsidR="00410999" w:rsidRPr="00410999" w:rsidRDefault="00410999" w:rsidP="00410999">
      <w:r w:rsidRPr="00410999">
        <w:t>Une retenue légale sur le double pécule de vacances (5a) de 13,07 % est versée à l’ONSS.</w:t>
      </w:r>
    </w:p>
    <w:p w14:paraId="5656FF5B" w14:textId="77777777" w:rsidR="00410999" w:rsidRPr="00410999" w:rsidRDefault="00410999" w:rsidP="00410999">
      <w:pPr>
        <w:rPr>
          <w:b/>
          <w:bCs/>
        </w:rPr>
      </w:pPr>
      <w:r w:rsidRPr="00410999">
        <w:rPr>
          <w:b/>
          <w:bCs/>
        </w:rPr>
        <w:t>(7) Retenue de solidarité</w:t>
      </w:r>
    </w:p>
    <w:p w14:paraId="628F2836" w14:textId="77777777" w:rsidR="00410999" w:rsidRPr="00410999" w:rsidRDefault="00410999" w:rsidP="00410999">
      <w:r w:rsidRPr="00410999">
        <w:t>La retenue de solidarité équivaut à 1 % du pécule de vacances brut.</w:t>
      </w:r>
    </w:p>
    <w:p w14:paraId="7DE35052" w14:textId="77777777" w:rsidR="00410999" w:rsidRPr="00410999" w:rsidRDefault="00410999" w:rsidP="00410999">
      <w:pPr>
        <w:rPr>
          <w:b/>
          <w:bCs/>
        </w:rPr>
      </w:pPr>
      <w:r w:rsidRPr="00410999">
        <w:rPr>
          <w:b/>
          <w:bCs/>
        </w:rPr>
        <w:lastRenderedPageBreak/>
        <w:t>(8) Pécule de vacances imposable</w:t>
      </w:r>
    </w:p>
    <w:p w14:paraId="148D519A" w14:textId="77777777" w:rsidR="00410999" w:rsidRPr="00410999" w:rsidRDefault="00410999" w:rsidP="00410999">
      <w:r w:rsidRPr="00410999">
        <w:t xml:space="preserve">Pour calculer le pécule </w:t>
      </w:r>
      <w:proofErr w:type="gramStart"/>
      <w:r w:rsidRPr="00410999">
        <w:t>imposable:</w:t>
      </w:r>
      <w:proofErr w:type="gramEnd"/>
      <w:r w:rsidRPr="00410999">
        <w:t xml:space="preserve"> retirez du pécule brut (5) la retenue sur le double pécule de vacances (6) et la retenue de solidarité (7).</w:t>
      </w:r>
    </w:p>
    <w:p w14:paraId="2FF7476C" w14:textId="77777777" w:rsidR="00410999" w:rsidRPr="00410999" w:rsidRDefault="00410999" w:rsidP="00410999">
      <w:pPr>
        <w:rPr>
          <w:b/>
          <w:bCs/>
        </w:rPr>
      </w:pPr>
      <w:r w:rsidRPr="00410999">
        <w:rPr>
          <w:b/>
          <w:bCs/>
        </w:rPr>
        <w:t>(9) Précompte professionnel</w:t>
      </w:r>
    </w:p>
    <w:p w14:paraId="3C7BC0BE" w14:textId="77777777" w:rsidR="00410999" w:rsidRPr="00410999" w:rsidRDefault="00410999" w:rsidP="00410999">
      <w:r w:rsidRPr="00410999">
        <w:t xml:space="preserve">En 2025, ce précompte professionnel est </w:t>
      </w:r>
      <w:proofErr w:type="gramStart"/>
      <w:r w:rsidRPr="00410999">
        <w:t>fixé:</w:t>
      </w:r>
      <w:proofErr w:type="gramEnd"/>
    </w:p>
    <w:p w14:paraId="729E0FF0" w14:textId="77777777" w:rsidR="00410999" w:rsidRPr="00410999" w:rsidRDefault="00410999" w:rsidP="00410999">
      <w:pPr>
        <w:numPr>
          <w:ilvl w:val="0"/>
          <w:numId w:val="5"/>
        </w:numPr>
      </w:pPr>
      <w:proofErr w:type="gramStart"/>
      <w:r w:rsidRPr="00410999">
        <w:t>pour</w:t>
      </w:r>
      <w:proofErr w:type="gramEnd"/>
      <w:r w:rsidRPr="00410999">
        <w:t xml:space="preserve"> les pécules imposables ≤ 1 700</w:t>
      </w:r>
      <w:proofErr w:type="gramStart"/>
      <w:r w:rsidRPr="00410999">
        <w:t>€:</w:t>
      </w:r>
      <w:proofErr w:type="gramEnd"/>
      <w:r w:rsidRPr="00410999">
        <w:t xml:space="preserve">  à 17,16 % du pécule </w:t>
      </w:r>
      <w:proofErr w:type="gramStart"/>
      <w:r w:rsidRPr="00410999">
        <w:t>imposable;</w:t>
      </w:r>
      <w:proofErr w:type="gramEnd"/>
    </w:p>
    <w:p w14:paraId="34D65F00" w14:textId="77777777" w:rsidR="00410999" w:rsidRPr="00410999" w:rsidRDefault="00410999" w:rsidP="00410999">
      <w:pPr>
        <w:numPr>
          <w:ilvl w:val="0"/>
          <w:numId w:val="5"/>
        </w:numPr>
      </w:pPr>
      <w:proofErr w:type="gramStart"/>
      <w:r w:rsidRPr="00410999">
        <w:t>pour</w:t>
      </w:r>
      <w:proofErr w:type="gramEnd"/>
      <w:r w:rsidRPr="00410999">
        <w:t xml:space="preserve"> les pécules imposables &gt; 1 700</w:t>
      </w:r>
      <w:proofErr w:type="gramStart"/>
      <w:r w:rsidRPr="00410999">
        <w:t>€:</w:t>
      </w:r>
      <w:proofErr w:type="gramEnd"/>
      <w:r w:rsidRPr="00410999">
        <w:t xml:space="preserve">  à 23,22 % du pécule imposable.</w:t>
      </w:r>
    </w:p>
    <w:p w14:paraId="3ADE3AA0" w14:textId="058BF37B" w:rsidR="00410999" w:rsidRPr="00410999" w:rsidRDefault="00410999" w:rsidP="00410999">
      <w:r w:rsidRPr="00410999">
        <w:t> </w:t>
      </w:r>
      <w:r w:rsidRPr="00410999">
        <w:rPr>
          <w:b/>
          <w:bCs/>
        </w:rPr>
        <w:t>(10) Pécule de vacances net</w:t>
      </w:r>
    </w:p>
    <w:p w14:paraId="7A7BD687" w14:textId="77777777" w:rsidR="00410999" w:rsidRPr="00410999" w:rsidRDefault="00410999" w:rsidP="00410999">
      <w:r w:rsidRPr="00410999">
        <w:t>Pour obtenir le pécule de vacances net (10), il faut enlever du montant du pécule imposable (8) le montant du précompte professionnel (9).</w:t>
      </w:r>
      <w:r w:rsidRPr="00410999">
        <w:br/>
        <w:t>Le pécule de vacances net représente environ 12 % des rémunérations de base.</w:t>
      </w:r>
    </w:p>
    <w:p w14:paraId="5E5A8C88" w14:textId="77777777" w:rsidR="00410999" w:rsidRDefault="00410999"/>
    <w:p w14:paraId="776A65B6" w14:textId="4A4ED899" w:rsidR="007E06EB" w:rsidRPr="007E06EB" w:rsidRDefault="007E06EB" w:rsidP="007E06EB">
      <w:pPr>
        <w:pStyle w:val="Titre2"/>
      </w:pPr>
      <w:r w:rsidRPr="007E06EB">
        <w:t>Simulation</w:t>
      </w:r>
      <w:r>
        <w:t xml:space="preserve"> du salaire </w:t>
      </w:r>
    </w:p>
    <w:p w14:paraId="47CCF5E5" w14:textId="77777777" w:rsidR="007E06EB" w:rsidRPr="007E06EB" w:rsidRDefault="007E06EB" w:rsidP="007E06EB">
      <w:r w:rsidRPr="007E06EB">
        <w:t>Pour effectuer une simulation du montant de votre pécule de vacances, accédez à votre compte via </w:t>
      </w:r>
      <w:hyperlink r:id="rId5" w:tooltip="Mon compte de vacances" w:history="1">
        <w:r w:rsidRPr="007E06EB">
          <w:rPr>
            <w:rStyle w:val="Lienhypertexte"/>
          </w:rPr>
          <w:t>« Mon compte de vacances </w:t>
        </w:r>
      </w:hyperlink>
      <w:r w:rsidRPr="007E06EB">
        <w:t>».</w:t>
      </w:r>
    </w:p>
    <w:p w14:paraId="2E213CDA" w14:textId="77777777" w:rsidR="007E06EB" w:rsidRDefault="007E06EB"/>
    <w:p w14:paraId="79FD9B50" w14:textId="77777777" w:rsidR="007E06EB" w:rsidRDefault="007E06EB"/>
    <w:p w14:paraId="4E022402" w14:textId="77777777" w:rsidR="007E06EB" w:rsidRDefault="007E06EB"/>
    <w:p w14:paraId="143CADED" w14:textId="77777777" w:rsidR="007E06EB" w:rsidRDefault="007E06EB"/>
    <w:p w14:paraId="682A722E" w14:textId="77777777" w:rsidR="007E06EB" w:rsidRDefault="007E06EB"/>
    <w:p w14:paraId="129CBA3C" w14:textId="77777777" w:rsidR="007E06EB" w:rsidRDefault="007E06EB"/>
    <w:p w14:paraId="4436D3BD" w14:textId="77777777" w:rsidR="007E06EB" w:rsidRDefault="007E06EB"/>
    <w:p w14:paraId="09E8B8C4" w14:textId="77777777" w:rsidR="007E06EB" w:rsidRDefault="007E06EB"/>
    <w:p w14:paraId="155BC187" w14:textId="77777777" w:rsidR="007E06EB" w:rsidRDefault="007E06EB"/>
    <w:p w14:paraId="5B9F373A" w14:textId="77777777" w:rsidR="007E06EB" w:rsidRDefault="007E06EB"/>
    <w:p w14:paraId="2C40E91B" w14:textId="77777777" w:rsidR="007E06EB" w:rsidRDefault="007E06EB"/>
    <w:p w14:paraId="6B2E06F1" w14:textId="77777777" w:rsidR="007E06EB" w:rsidRDefault="007E06EB"/>
    <w:p w14:paraId="2D791348" w14:textId="77777777" w:rsidR="007E06EB" w:rsidRPr="007E06EB" w:rsidRDefault="007E06EB" w:rsidP="007E06EB">
      <w:pPr>
        <w:pStyle w:val="Titre3"/>
      </w:pPr>
      <w:r w:rsidRPr="007E06EB">
        <w:lastRenderedPageBreak/>
        <w:t>Détermination de la durée de vacances</w:t>
      </w:r>
    </w:p>
    <w:p w14:paraId="18E5805C" w14:textId="77777777" w:rsidR="007E06EB" w:rsidRPr="007E06EB" w:rsidRDefault="007E06EB" w:rsidP="007E06EB">
      <w:r w:rsidRPr="007E06EB">
        <w:t>Le nombre de jours de vacances légaux est fixé en fonction du nombre de jours de travail prestés et de jours d’inactivité assimilés. Le tableau ci-dessous reflète le résultat. Les jours de travail sont tous les jours durant lesquels vous avez travaillé ou auriez normalement dû travailler, y compris les jours de vacances et les jours assimilés tels que les jours de maladie. Tous les jours sont exprimés dans un régime de cinq jours à temps plein.</w:t>
      </w:r>
    </w:p>
    <w:tbl>
      <w:tblPr>
        <w:tblW w:w="6120" w:type="dxa"/>
        <w:tblCellMar>
          <w:left w:w="70" w:type="dxa"/>
          <w:right w:w="70" w:type="dxa"/>
        </w:tblCellMar>
        <w:tblLook w:val="04A0" w:firstRow="1" w:lastRow="0" w:firstColumn="1" w:lastColumn="0" w:noHBand="0" w:noVBand="1"/>
      </w:tblPr>
      <w:tblGrid>
        <w:gridCol w:w="4200"/>
        <w:gridCol w:w="1920"/>
      </w:tblGrid>
      <w:tr w:rsidR="007E06EB" w:rsidRPr="007E06EB" w14:paraId="0F864AEB" w14:textId="77777777" w:rsidTr="007E06EB">
        <w:trPr>
          <w:trHeight w:val="552"/>
        </w:trPr>
        <w:tc>
          <w:tcPr>
            <w:tcW w:w="4200" w:type="dxa"/>
            <w:tcBorders>
              <w:top w:val="nil"/>
              <w:left w:val="nil"/>
              <w:bottom w:val="nil"/>
              <w:right w:val="nil"/>
            </w:tcBorders>
            <w:shd w:val="clear" w:color="000000" w:fill="FFFFFF"/>
            <w:noWrap/>
            <w:vAlign w:val="center"/>
            <w:hideMark/>
          </w:tcPr>
          <w:p w14:paraId="087F2C7F" w14:textId="77777777" w:rsidR="007E06EB" w:rsidRPr="007E06EB" w:rsidRDefault="007E06EB" w:rsidP="007E06EB">
            <w:pPr>
              <w:spacing w:after="0" w:line="240" w:lineRule="auto"/>
              <w:jc w:val="center"/>
              <w:rPr>
                <w:rFonts w:ascii="Lucida Sans Unicode" w:eastAsia="Times New Roman" w:hAnsi="Lucida Sans Unicode" w:cs="Lucida Sans Unicode"/>
                <w:b/>
                <w:bCs/>
                <w:color w:val="5E5E5E"/>
                <w:kern w:val="0"/>
                <w:sz w:val="22"/>
                <w:szCs w:val="22"/>
                <w:lang w:eastAsia="fr-BE"/>
                <w14:ligatures w14:val="none"/>
              </w:rPr>
            </w:pPr>
            <w:r w:rsidRPr="007E06EB">
              <w:rPr>
                <w:rFonts w:ascii="Lucida Sans Unicode" w:eastAsia="Times New Roman" w:hAnsi="Lucida Sans Unicode" w:cs="Lucida Sans Unicode"/>
                <w:b/>
                <w:bCs/>
                <w:color w:val="5E5E5E"/>
                <w:kern w:val="0"/>
                <w:sz w:val="22"/>
                <w:szCs w:val="22"/>
                <w:lang w:eastAsia="fr-BE"/>
                <w14:ligatures w14:val="none"/>
              </w:rPr>
              <w:t>Jours de travail</w:t>
            </w:r>
          </w:p>
        </w:tc>
        <w:tc>
          <w:tcPr>
            <w:tcW w:w="1920" w:type="dxa"/>
            <w:tcBorders>
              <w:top w:val="nil"/>
              <w:left w:val="nil"/>
              <w:bottom w:val="nil"/>
              <w:right w:val="nil"/>
            </w:tcBorders>
            <w:shd w:val="clear" w:color="000000" w:fill="FFFFFF"/>
            <w:vAlign w:val="center"/>
            <w:hideMark/>
          </w:tcPr>
          <w:p w14:paraId="11DABCB6" w14:textId="77777777" w:rsidR="007E06EB" w:rsidRPr="007E06EB" w:rsidRDefault="007E06EB" w:rsidP="007E06EB">
            <w:pPr>
              <w:spacing w:after="0" w:line="240" w:lineRule="auto"/>
              <w:jc w:val="center"/>
              <w:rPr>
                <w:rFonts w:ascii="Lucida Sans Unicode" w:eastAsia="Times New Roman" w:hAnsi="Lucida Sans Unicode" w:cs="Lucida Sans Unicode"/>
                <w:b/>
                <w:bCs/>
                <w:color w:val="5E5E5E"/>
                <w:kern w:val="0"/>
                <w:sz w:val="22"/>
                <w:szCs w:val="22"/>
                <w:lang w:eastAsia="fr-BE"/>
                <w14:ligatures w14:val="none"/>
              </w:rPr>
            </w:pPr>
            <w:r w:rsidRPr="007E06EB">
              <w:rPr>
                <w:rFonts w:ascii="Lucida Sans Unicode" w:eastAsia="Times New Roman" w:hAnsi="Lucida Sans Unicode" w:cs="Lucida Sans Unicode"/>
                <w:b/>
                <w:bCs/>
                <w:color w:val="5E5E5E"/>
                <w:kern w:val="0"/>
                <w:sz w:val="22"/>
                <w:szCs w:val="22"/>
                <w:lang w:eastAsia="fr-BE"/>
                <w14:ligatures w14:val="none"/>
              </w:rPr>
              <w:t>Jours de vacances</w:t>
            </w:r>
          </w:p>
        </w:tc>
      </w:tr>
      <w:tr w:rsidR="007E06EB" w:rsidRPr="007E06EB" w14:paraId="709D95F6" w14:textId="77777777" w:rsidTr="007E06EB">
        <w:trPr>
          <w:trHeight w:val="288"/>
        </w:trPr>
        <w:tc>
          <w:tcPr>
            <w:tcW w:w="4200" w:type="dxa"/>
            <w:tcBorders>
              <w:top w:val="nil"/>
              <w:left w:val="nil"/>
              <w:bottom w:val="nil"/>
              <w:right w:val="nil"/>
            </w:tcBorders>
            <w:shd w:val="clear" w:color="000000" w:fill="FFFFFF"/>
            <w:noWrap/>
            <w:vAlign w:val="center"/>
            <w:hideMark/>
          </w:tcPr>
          <w:p w14:paraId="2DF4C0B6"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231 et plus</w:t>
            </w:r>
          </w:p>
        </w:tc>
        <w:tc>
          <w:tcPr>
            <w:tcW w:w="1920" w:type="dxa"/>
            <w:tcBorders>
              <w:top w:val="nil"/>
              <w:left w:val="nil"/>
              <w:bottom w:val="nil"/>
              <w:right w:val="nil"/>
            </w:tcBorders>
            <w:shd w:val="clear" w:color="000000" w:fill="FFFFFF"/>
            <w:noWrap/>
            <w:vAlign w:val="center"/>
            <w:hideMark/>
          </w:tcPr>
          <w:p w14:paraId="2191C775"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20</w:t>
            </w:r>
          </w:p>
        </w:tc>
      </w:tr>
      <w:tr w:rsidR="007E06EB" w:rsidRPr="007E06EB" w14:paraId="333A5ECC" w14:textId="77777777" w:rsidTr="007E06EB">
        <w:trPr>
          <w:trHeight w:val="288"/>
        </w:trPr>
        <w:tc>
          <w:tcPr>
            <w:tcW w:w="4200" w:type="dxa"/>
            <w:tcBorders>
              <w:top w:val="nil"/>
              <w:left w:val="nil"/>
              <w:bottom w:val="nil"/>
              <w:right w:val="nil"/>
            </w:tcBorders>
            <w:shd w:val="clear" w:color="000000" w:fill="FFFFFF"/>
            <w:noWrap/>
            <w:vAlign w:val="center"/>
            <w:hideMark/>
          </w:tcPr>
          <w:p w14:paraId="688F02FD"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221 jusqu'a 230</w:t>
            </w:r>
          </w:p>
        </w:tc>
        <w:tc>
          <w:tcPr>
            <w:tcW w:w="1920" w:type="dxa"/>
            <w:tcBorders>
              <w:top w:val="nil"/>
              <w:left w:val="nil"/>
              <w:bottom w:val="nil"/>
              <w:right w:val="nil"/>
            </w:tcBorders>
            <w:shd w:val="clear" w:color="000000" w:fill="FFFFFF"/>
            <w:noWrap/>
            <w:vAlign w:val="center"/>
            <w:hideMark/>
          </w:tcPr>
          <w:p w14:paraId="5172913B"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19</w:t>
            </w:r>
          </w:p>
        </w:tc>
      </w:tr>
      <w:tr w:rsidR="007E06EB" w:rsidRPr="007E06EB" w14:paraId="02BFF464" w14:textId="77777777" w:rsidTr="007E06EB">
        <w:trPr>
          <w:trHeight w:val="288"/>
        </w:trPr>
        <w:tc>
          <w:tcPr>
            <w:tcW w:w="4200" w:type="dxa"/>
            <w:tcBorders>
              <w:top w:val="nil"/>
              <w:left w:val="nil"/>
              <w:bottom w:val="nil"/>
              <w:right w:val="nil"/>
            </w:tcBorders>
            <w:shd w:val="clear" w:color="000000" w:fill="FFFFFF"/>
            <w:noWrap/>
            <w:vAlign w:val="center"/>
            <w:hideMark/>
          </w:tcPr>
          <w:p w14:paraId="61539432"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212 jusqu'a 220</w:t>
            </w:r>
          </w:p>
        </w:tc>
        <w:tc>
          <w:tcPr>
            <w:tcW w:w="1920" w:type="dxa"/>
            <w:tcBorders>
              <w:top w:val="nil"/>
              <w:left w:val="nil"/>
              <w:bottom w:val="nil"/>
              <w:right w:val="nil"/>
            </w:tcBorders>
            <w:shd w:val="clear" w:color="000000" w:fill="FFFFFF"/>
            <w:noWrap/>
            <w:vAlign w:val="center"/>
            <w:hideMark/>
          </w:tcPr>
          <w:p w14:paraId="5E692511"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18</w:t>
            </w:r>
          </w:p>
        </w:tc>
      </w:tr>
      <w:tr w:rsidR="007E06EB" w:rsidRPr="007E06EB" w14:paraId="390E752B" w14:textId="77777777" w:rsidTr="007E06EB">
        <w:trPr>
          <w:trHeight w:val="288"/>
        </w:trPr>
        <w:tc>
          <w:tcPr>
            <w:tcW w:w="4200" w:type="dxa"/>
            <w:tcBorders>
              <w:top w:val="nil"/>
              <w:left w:val="nil"/>
              <w:bottom w:val="nil"/>
              <w:right w:val="nil"/>
            </w:tcBorders>
            <w:shd w:val="clear" w:color="000000" w:fill="FFFFFF"/>
            <w:noWrap/>
            <w:vAlign w:val="center"/>
            <w:hideMark/>
          </w:tcPr>
          <w:p w14:paraId="190F536F"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202 jusqu'a 211</w:t>
            </w:r>
          </w:p>
        </w:tc>
        <w:tc>
          <w:tcPr>
            <w:tcW w:w="1920" w:type="dxa"/>
            <w:tcBorders>
              <w:top w:val="nil"/>
              <w:left w:val="nil"/>
              <w:bottom w:val="nil"/>
              <w:right w:val="nil"/>
            </w:tcBorders>
            <w:shd w:val="clear" w:color="000000" w:fill="FFFFFF"/>
            <w:noWrap/>
            <w:vAlign w:val="center"/>
            <w:hideMark/>
          </w:tcPr>
          <w:p w14:paraId="7C007827"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17</w:t>
            </w:r>
          </w:p>
        </w:tc>
      </w:tr>
      <w:tr w:rsidR="007E06EB" w:rsidRPr="007E06EB" w14:paraId="0EE71C7A" w14:textId="77777777" w:rsidTr="007E06EB">
        <w:trPr>
          <w:trHeight w:val="288"/>
        </w:trPr>
        <w:tc>
          <w:tcPr>
            <w:tcW w:w="4200" w:type="dxa"/>
            <w:tcBorders>
              <w:top w:val="nil"/>
              <w:left w:val="nil"/>
              <w:bottom w:val="nil"/>
              <w:right w:val="nil"/>
            </w:tcBorders>
            <w:shd w:val="clear" w:color="000000" w:fill="FFFFFF"/>
            <w:noWrap/>
            <w:vAlign w:val="center"/>
            <w:hideMark/>
          </w:tcPr>
          <w:p w14:paraId="7AB1B5FA"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192 jusqu'a 201</w:t>
            </w:r>
          </w:p>
        </w:tc>
        <w:tc>
          <w:tcPr>
            <w:tcW w:w="1920" w:type="dxa"/>
            <w:tcBorders>
              <w:top w:val="nil"/>
              <w:left w:val="nil"/>
              <w:bottom w:val="nil"/>
              <w:right w:val="nil"/>
            </w:tcBorders>
            <w:shd w:val="clear" w:color="000000" w:fill="FFFFFF"/>
            <w:noWrap/>
            <w:vAlign w:val="center"/>
            <w:hideMark/>
          </w:tcPr>
          <w:p w14:paraId="0E9F4357"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16</w:t>
            </w:r>
          </w:p>
        </w:tc>
      </w:tr>
      <w:tr w:rsidR="007E06EB" w:rsidRPr="007E06EB" w14:paraId="23131EB9" w14:textId="77777777" w:rsidTr="007E06EB">
        <w:trPr>
          <w:trHeight w:val="288"/>
        </w:trPr>
        <w:tc>
          <w:tcPr>
            <w:tcW w:w="4200" w:type="dxa"/>
            <w:tcBorders>
              <w:top w:val="nil"/>
              <w:left w:val="nil"/>
              <w:bottom w:val="nil"/>
              <w:right w:val="nil"/>
            </w:tcBorders>
            <w:shd w:val="clear" w:color="000000" w:fill="FFFFFF"/>
            <w:noWrap/>
            <w:vAlign w:val="center"/>
            <w:hideMark/>
          </w:tcPr>
          <w:p w14:paraId="533C2CD1"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182 jusqu'a 191</w:t>
            </w:r>
          </w:p>
        </w:tc>
        <w:tc>
          <w:tcPr>
            <w:tcW w:w="1920" w:type="dxa"/>
            <w:tcBorders>
              <w:top w:val="nil"/>
              <w:left w:val="nil"/>
              <w:bottom w:val="nil"/>
              <w:right w:val="nil"/>
            </w:tcBorders>
            <w:shd w:val="clear" w:color="000000" w:fill="FFFFFF"/>
            <w:noWrap/>
            <w:vAlign w:val="center"/>
            <w:hideMark/>
          </w:tcPr>
          <w:p w14:paraId="4690261E"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15</w:t>
            </w:r>
          </w:p>
        </w:tc>
      </w:tr>
      <w:tr w:rsidR="007E06EB" w:rsidRPr="007E06EB" w14:paraId="64B21F98" w14:textId="77777777" w:rsidTr="007E06EB">
        <w:trPr>
          <w:trHeight w:val="288"/>
        </w:trPr>
        <w:tc>
          <w:tcPr>
            <w:tcW w:w="4200" w:type="dxa"/>
            <w:tcBorders>
              <w:top w:val="nil"/>
              <w:left w:val="nil"/>
              <w:bottom w:val="nil"/>
              <w:right w:val="nil"/>
            </w:tcBorders>
            <w:shd w:val="clear" w:color="000000" w:fill="FFFFFF"/>
            <w:noWrap/>
            <w:vAlign w:val="center"/>
            <w:hideMark/>
          </w:tcPr>
          <w:p w14:paraId="2F8E602C"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163 jusqu'a 181</w:t>
            </w:r>
          </w:p>
        </w:tc>
        <w:tc>
          <w:tcPr>
            <w:tcW w:w="1920" w:type="dxa"/>
            <w:tcBorders>
              <w:top w:val="nil"/>
              <w:left w:val="nil"/>
              <w:bottom w:val="nil"/>
              <w:right w:val="nil"/>
            </w:tcBorders>
            <w:shd w:val="clear" w:color="000000" w:fill="FFFFFF"/>
            <w:noWrap/>
            <w:vAlign w:val="center"/>
            <w:hideMark/>
          </w:tcPr>
          <w:p w14:paraId="040C3DF9"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14</w:t>
            </w:r>
          </w:p>
        </w:tc>
      </w:tr>
      <w:tr w:rsidR="007E06EB" w:rsidRPr="007E06EB" w14:paraId="72B0102C" w14:textId="77777777" w:rsidTr="007E06EB">
        <w:trPr>
          <w:trHeight w:val="288"/>
        </w:trPr>
        <w:tc>
          <w:tcPr>
            <w:tcW w:w="4200" w:type="dxa"/>
            <w:tcBorders>
              <w:top w:val="nil"/>
              <w:left w:val="nil"/>
              <w:bottom w:val="nil"/>
              <w:right w:val="nil"/>
            </w:tcBorders>
            <w:shd w:val="clear" w:color="000000" w:fill="FFFFFF"/>
            <w:noWrap/>
            <w:vAlign w:val="center"/>
            <w:hideMark/>
          </w:tcPr>
          <w:p w14:paraId="2072F585"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154 jusqu'a 162</w:t>
            </w:r>
          </w:p>
        </w:tc>
        <w:tc>
          <w:tcPr>
            <w:tcW w:w="1920" w:type="dxa"/>
            <w:tcBorders>
              <w:top w:val="nil"/>
              <w:left w:val="nil"/>
              <w:bottom w:val="nil"/>
              <w:right w:val="nil"/>
            </w:tcBorders>
            <w:shd w:val="clear" w:color="000000" w:fill="FFFFFF"/>
            <w:noWrap/>
            <w:vAlign w:val="center"/>
            <w:hideMark/>
          </w:tcPr>
          <w:p w14:paraId="7541A6FC"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13</w:t>
            </w:r>
          </w:p>
        </w:tc>
      </w:tr>
      <w:tr w:rsidR="007E06EB" w:rsidRPr="007E06EB" w14:paraId="5A08B3BE" w14:textId="77777777" w:rsidTr="007E06EB">
        <w:trPr>
          <w:trHeight w:val="288"/>
        </w:trPr>
        <w:tc>
          <w:tcPr>
            <w:tcW w:w="4200" w:type="dxa"/>
            <w:tcBorders>
              <w:top w:val="nil"/>
              <w:left w:val="nil"/>
              <w:bottom w:val="nil"/>
              <w:right w:val="nil"/>
            </w:tcBorders>
            <w:shd w:val="clear" w:color="000000" w:fill="FFFFFF"/>
            <w:noWrap/>
            <w:vAlign w:val="center"/>
            <w:hideMark/>
          </w:tcPr>
          <w:p w14:paraId="67696749"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144 jusqu'a 153</w:t>
            </w:r>
          </w:p>
        </w:tc>
        <w:tc>
          <w:tcPr>
            <w:tcW w:w="1920" w:type="dxa"/>
            <w:tcBorders>
              <w:top w:val="nil"/>
              <w:left w:val="nil"/>
              <w:bottom w:val="nil"/>
              <w:right w:val="nil"/>
            </w:tcBorders>
            <w:shd w:val="clear" w:color="000000" w:fill="FFFFFF"/>
            <w:noWrap/>
            <w:vAlign w:val="center"/>
            <w:hideMark/>
          </w:tcPr>
          <w:p w14:paraId="51AC4CBC"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12</w:t>
            </w:r>
          </w:p>
        </w:tc>
      </w:tr>
      <w:tr w:rsidR="007E06EB" w:rsidRPr="007E06EB" w14:paraId="24EA5DF0" w14:textId="77777777" w:rsidTr="007E06EB">
        <w:trPr>
          <w:trHeight w:val="288"/>
        </w:trPr>
        <w:tc>
          <w:tcPr>
            <w:tcW w:w="4200" w:type="dxa"/>
            <w:tcBorders>
              <w:top w:val="nil"/>
              <w:left w:val="nil"/>
              <w:bottom w:val="nil"/>
              <w:right w:val="nil"/>
            </w:tcBorders>
            <w:shd w:val="clear" w:color="000000" w:fill="FFFFFF"/>
            <w:noWrap/>
            <w:vAlign w:val="center"/>
            <w:hideMark/>
          </w:tcPr>
          <w:p w14:paraId="1AE46BFF"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135 jusqu'a 143</w:t>
            </w:r>
          </w:p>
        </w:tc>
        <w:tc>
          <w:tcPr>
            <w:tcW w:w="1920" w:type="dxa"/>
            <w:tcBorders>
              <w:top w:val="nil"/>
              <w:left w:val="nil"/>
              <w:bottom w:val="nil"/>
              <w:right w:val="nil"/>
            </w:tcBorders>
            <w:shd w:val="clear" w:color="000000" w:fill="FFFFFF"/>
            <w:noWrap/>
            <w:vAlign w:val="center"/>
            <w:hideMark/>
          </w:tcPr>
          <w:p w14:paraId="480FE5A9"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11</w:t>
            </w:r>
          </w:p>
        </w:tc>
      </w:tr>
      <w:tr w:rsidR="007E06EB" w:rsidRPr="007E06EB" w14:paraId="16A2B1F7" w14:textId="77777777" w:rsidTr="007E06EB">
        <w:trPr>
          <w:trHeight w:val="288"/>
        </w:trPr>
        <w:tc>
          <w:tcPr>
            <w:tcW w:w="4200" w:type="dxa"/>
            <w:tcBorders>
              <w:top w:val="nil"/>
              <w:left w:val="nil"/>
              <w:bottom w:val="nil"/>
              <w:right w:val="nil"/>
            </w:tcBorders>
            <w:shd w:val="clear" w:color="000000" w:fill="FFFFFF"/>
            <w:noWrap/>
            <w:vAlign w:val="center"/>
            <w:hideMark/>
          </w:tcPr>
          <w:p w14:paraId="4E2275FC"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125 jusqu'a 134</w:t>
            </w:r>
          </w:p>
        </w:tc>
        <w:tc>
          <w:tcPr>
            <w:tcW w:w="1920" w:type="dxa"/>
            <w:tcBorders>
              <w:top w:val="nil"/>
              <w:left w:val="nil"/>
              <w:bottom w:val="nil"/>
              <w:right w:val="nil"/>
            </w:tcBorders>
            <w:shd w:val="clear" w:color="000000" w:fill="FFFFFF"/>
            <w:noWrap/>
            <w:vAlign w:val="center"/>
            <w:hideMark/>
          </w:tcPr>
          <w:p w14:paraId="1B152E6C"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10</w:t>
            </w:r>
          </w:p>
        </w:tc>
      </w:tr>
      <w:tr w:rsidR="007E06EB" w:rsidRPr="007E06EB" w14:paraId="0C1FFBA4" w14:textId="77777777" w:rsidTr="007E06EB">
        <w:trPr>
          <w:trHeight w:val="288"/>
        </w:trPr>
        <w:tc>
          <w:tcPr>
            <w:tcW w:w="4200" w:type="dxa"/>
            <w:tcBorders>
              <w:top w:val="nil"/>
              <w:left w:val="nil"/>
              <w:bottom w:val="nil"/>
              <w:right w:val="nil"/>
            </w:tcBorders>
            <w:shd w:val="clear" w:color="000000" w:fill="FFFFFF"/>
            <w:noWrap/>
            <w:vAlign w:val="center"/>
            <w:hideMark/>
          </w:tcPr>
          <w:p w14:paraId="7A920434"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106 jusqu'a 124</w:t>
            </w:r>
          </w:p>
        </w:tc>
        <w:tc>
          <w:tcPr>
            <w:tcW w:w="1920" w:type="dxa"/>
            <w:tcBorders>
              <w:top w:val="nil"/>
              <w:left w:val="nil"/>
              <w:bottom w:val="nil"/>
              <w:right w:val="nil"/>
            </w:tcBorders>
            <w:shd w:val="clear" w:color="000000" w:fill="FFFFFF"/>
            <w:noWrap/>
            <w:vAlign w:val="center"/>
            <w:hideMark/>
          </w:tcPr>
          <w:p w14:paraId="4EB836ED"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9</w:t>
            </w:r>
          </w:p>
        </w:tc>
      </w:tr>
      <w:tr w:rsidR="007E06EB" w:rsidRPr="007E06EB" w14:paraId="693F6679" w14:textId="77777777" w:rsidTr="007E06EB">
        <w:trPr>
          <w:trHeight w:val="288"/>
        </w:trPr>
        <w:tc>
          <w:tcPr>
            <w:tcW w:w="4200" w:type="dxa"/>
            <w:tcBorders>
              <w:top w:val="nil"/>
              <w:left w:val="nil"/>
              <w:bottom w:val="nil"/>
              <w:right w:val="nil"/>
            </w:tcBorders>
            <w:shd w:val="clear" w:color="000000" w:fill="FFFFFF"/>
            <w:noWrap/>
            <w:vAlign w:val="center"/>
            <w:hideMark/>
          </w:tcPr>
          <w:p w14:paraId="42057860"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97 jusqu'a 105</w:t>
            </w:r>
          </w:p>
        </w:tc>
        <w:tc>
          <w:tcPr>
            <w:tcW w:w="1920" w:type="dxa"/>
            <w:tcBorders>
              <w:top w:val="nil"/>
              <w:left w:val="nil"/>
              <w:bottom w:val="nil"/>
              <w:right w:val="nil"/>
            </w:tcBorders>
            <w:shd w:val="clear" w:color="000000" w:fill="FFFFFF"/>
            <w:noWrap/>
            <w:vAlign w:val="center"/>
            <w:hideMark/>
          </w:tcPr>
          <w:p w14:paraId="66E7E4BF"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8</w:t>
            </w:r>
          </w:p>
        </w:tc>
      </w:tr>
      <w:tr w:rsidR="007E06EB" w:rsidRPr="007E06EB" w14:paraId="0F02A212" w14:textId="77777777" w:rsidTr="007E06EB">
        <w:trPr>
          <w:trHeight w:val="288"/>
        </w:trPr>
        <w:tc>
          <w:tcPr>
            <w:tcW w:w="4200" w:type="dxa"/>
            <w:tcBorders>
              <w:top w:val="nil"/>
              <w:left w:val="nil"/>
              <w:bottom w:val="nil"/>
              <w:right w:val="nil"/>
            </w:tcBorders>
            <w:shd w:val="clear" w:color="000000" w:fill="FFFFFF"/>
            <w:noWrap/>
            <w:vAlign w:val="center"/>
            <w:hideMark/>
          </w:tcPr>
          <w:p w14:paraId="404B3029"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87 jusqu'a 96</w:t>
            </w:r>
          </w:p>
        </w:tc>
        <w:tc>
          <w:tcPr>
            <w:tcW w:w="1920" w:type="dxa"/>
            <w:tcBorders>
              <w:top w:val="nil"/>
              <w:left w:val="nil"/>
              <w:bottom w:val="nil"/>
              <w:right w:val="nil"/>
            </w:tcBorders>
            <w:shd w:val="clear" w:color="000000" w:fill="FFFFFF"/>
            <w:noWrap/>
            <w:vAlign w:val="center"/>
            <w:hideMark/>
          </w:tcPr>
          <w:p w14:paraId="1F836692"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7</w:t>
            </w:r>
          </w:p>
        </w:tc>
      </w:tr>
      <w:tr w:rsidR="007E06EB" w:rsidRPr="007E06EB" w14:paraId="3F33A709" w14:textId="77777777" w:rsidTr="007E06EB">
        <w:trPr>
          <w:trHeight w:val="288"/>
        </w:trPr>
        <w:tc>
          <w:tcPr>
            <w:tcW w:w="4200" w:type="dxa"/>
            <w:tcBorders>
              <w:top w:val="nil"/>
              <w:left w:val="nil"/>
              <w:bottom w:val="nil"/>
              <w:right w:val="nil"/>
            </w:tcBorders>
            <w:shd w:val="clear" w:color="000000" w:fill="FFFFFF"/>
            <w:noWrap/>
            <w:vAlign w:val="center"/>
            <w:hideMark/>
          </w:tcPr>
          <w:p w14:paraId="73103466"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77 jusqu'a 86</w:t>
            </w:r>
          </w:p>
        </w:tc>
        <w:tc>
          <w:tcPr>
            <w:tcW w:w="1920" w:type="dxa"/>
            <w:tcBorders>
              <w:top w:val="nil"/>
              <w:left w:val="nil"/>
              <w:bottom w:val="nil"/>
              <w:right w:val="nil"/>
            </w:tcBorders>
            <w:shd w:val="clear" w:color="000000" w:fill="FFFFFF"/>
            <w:noWrap/>
            <w:vAlign w:val="center"/>
            <w:hideMark/>
          </w:tcPr>
          <w:p w14:paraId="4FB71F2B"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6</w:t>
            </w:r>
          </w:p>
        </w:tc>
      </w:tr>
      <w:tr w:rsidR="007E06EB" w:rsidRPr="007E06EB" w14:paraId="0683F66B" w14:textId="77777777" w:rsidTr="007E06EB">
        <w:trPr>
          <w:trHeight w:val="288"/>
        </w:trPr>
        <w:tc>
          <w:tcPr>
            <w:tcW w:w="4200" w:type="dxa"/>
            <w:tcBorders>
              <w:top w:val="nil"/>
              <w:left w:val="nil"/>
              <w:bottom w:val="nil"/>
              <w:right w:val="nil"/>
            </w:tcBorders>
            <w:shd w:val="clear" w:color="000000" w:fill="FFFFFF"/>
            <w:noWrap/>
            <w:vAlign w:val="center"/>
            <w:hideMark/>
          </w:tcPr>
          <w:p w14:paraId="3B9BEC1F"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64 jusqu'a 76</w:t>
            </w:r>
          </w:p>
        </w:tc>
        <w:tc>
          <w:tcPr>
            <w:tcW w:w="1920" w:type="dxa"/>
            <w:tcBorders>
              <w:top w:val="nil"/>
              <w:left w:val="nil"/>
              <w:bottom w:val="nil"/>
              <w:right w:val="nil"/>
            </w:tcBorders>
            <w:shd w:val="clear" w:color="000000" w:fill="FFFFFF"/>
            <w:noWrap/>
            <w:vAlign w:val="center"/>
            <w:hideMark/>
          </w:tcPr>
          <w:p w14:paraId="67BE31A8"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5</w:t>
            </w:r>
          </w:p>
        </w:tc>
      </w:tr>
      <w:tr w:rsidR="007E06EB" w:rsidRPr="007E06EB" w14:paraId="7980046E" w14:textId="77777777" w:rsidTr="007E06EB">
        <w:trPr>
          <w:trHeight w:val="288"/>
        </w:trPr>
        <w:tc>
          <w:tcPr>
            <w:tcW w:w="4200" w:type="dxa"/>
            <w:tcBorders>
              <w:top w:val="nil"/>
              <w:left w:val="nil"/>
              <w:bottom w:val="nil"/>
              <w:right w:val="nil"/>
            </w:tcBorders>
            <w:shd w:val="clear" w:color="000000" w:fill="FFFFFF"/>
            <w:noWrap/>
            <w:vAlign w:val="center"/>
            <w:hideMark/>
          </w:tcPr>
          <w:p w14:paraId="0F910811"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48 jusqu'a 63</w:t>
            </w:r>
          </w:p>
        </w:tc>
        <w:tc>
          <w:tcPr>
            <w:tcW w:w="1920" w:type="dxa"/>
            <w:tcBorders>
              <w:top w:val="nil"/>
              <w:left w:val="nil"/>
              <w:bottom w:val="nil"/>
              <w:right w:val="nil"/>
            </w:tcBorders>
            <w:shd w:val="clear" w:color="000000" w:fill="FFFFFF"/>
            <w:noWrap/>
            <w:vAlign w:val="center"/>
            <w:hideMark/>
          </w:tcPr>
          <w:p w14:paraId="49EF398F"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4</w:t>
            </w:r>
          </w:p>
        </w:tc>
      </w:tr>
      <w:tr w:rsidR="007E06EB" w:rsidRPr="007E06EB" w14:paraId="5610F03A" w14:textId="77777777" w:rsidTr="007E06EB">
        <w:trPr>
          <w:trHeight w:val="288"/>
        </w:trPr>
        <w:tc>
          <w:tcPr>
            <w:tcW w:w="4200" w:type="dxa"/>
            <w:tcBorders>
              <w:top w:val="nil"/>
              <w:left w:val="nil"/>
              <w:bottom w:val="nil"/>
              <w:right w:val="nil"/>
            </w:tcBorders>
            <w:shd w:val="clear" w:color="000000" w:fill="FFFFFF"/>
            <w:noWrap/>
            <w:vAlign w:val="center"/>
            <w:hideMark/>
          </w:tcPr>
          <w:p w14:paraId="3F36D5DD"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39 jusqu'a 47</w:t>
            </w:r>
          </w:p>
        </w:tc>
        <w:tc>
          <w:tcPr>
            <w:tcW w:w="1920" w:type="dxa"/>
            <w:tcBorders>
              <w:top w:val="nil"/>
              <w:left w:val="nil"/>
              <w:bottom w:val="nil"/>
              <w:right w:val="nil"/>
            </w:tcBorders>
            <w:shd w:val="clear" w:color="000000" w:fill="FFFFFF"/>
            <w:noWrap/>
            <w:vAlign w:val="center"/>
            <w:hideMark/>
          </w:tcPr>
          <w:p w14:paraId="35B75A53"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3</w:t>
            </w:r>
          </w:p>
        </w:tc>
      </w:tr>
      <w:tr w:rsidR="007E06EB" w:rsidRPr="007E06EB" w14:paraId="5DED67BA" w14:textId="77777777" w:rsidTr="007E06EB">
        <w:trPr>
          <w:trHeight w:val="288"/>
        </w:trPr>
        <w:tc>
          <w:tcPr>
            <w:tcW w:w="4200" w:type="dxa"/>
            <w:tcBorders>
              <w:top w:val="nil"/>
              <w:left w:val="nil"/>
              <w:bottom w:val="nil"/>
              <w:right w:val="nil"/>
            </w:tcBorders>
            <w:shd w:val="clear" w:color="000000" w:fill="FFFFFF"/>
            <w:noWrap/>
            <w:vAlign w:val="center"/>
            <w:hideMark/>
          </w:tcPr>
          <w:p w14:paraId="62DCC53F"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20 jusqu'a 38</w:t>
            </w:r>
          </w:p>
        </w:tc>
        <w:tc>
          <w:tcPr>
            <w:tcW w:w="1920" w:type="dxa"/>
            <w:tcBorders>
              <w:top w:val="nil"/>
              <w:left w:val="nil"/>
              <w:bottom w:val="nil"/>
              <w:right w:val="nil"/>
            </w:tcBorders>
            <w:shd w:val="clear" w:color="000000" w:fill="FFFFFF"/>
            <w:noWrap/>
            <w:vAlign w:val="center"/>
            <w:hideMark/>
          </w:tcPr>
          <w:p w14:paraId="4A87FC78"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w:t>
            </w:r>
          </w:p>
        </w:tc>
      </w:tr>
      <w:tr w:rsidR="007E06EB" w:rsidRPr="007E06EB" w14:paraId="37762BE0" w14:textId="77777777" w:rsidTr="007E06EB">
        <w:trPr>
          <w:trHeight w:val="288"/>
        </w:trPr>
        <w:tc>
          <w:tcPr>
            <w:tcW w:w="4200" w:type="dxa"/>
            <w:tcBorders>
              <w:top w:val="nil"/>
              <w:left w:val="nil"/>
              <w:bottom w:val="nil"/>
              <w:right w:val="nil"/>
            </w:tcBorders>
            <w:shd w:val="clear" w:color="000000" w:fill="FFFFFF"/>
            <w:noWrap/>
            <w:vAlign w:val="center"/>
            <w:hideMark/>
          </w:tcPr>
          <w:p w14:paraId="77B12621"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10 jusqu'a 19</w:t>
            </w:r>
          </w:p>
        </w:tc>
        <w:tc>
          <w:tcPr>
            <w:tcW w:w="1920" w:type="dxa"/>
            <w:tcBorders>
              <w:top w:val="nil"/>
              <w:left w:val="nil"/>
              <w:bottom w:val="nil"/>
              <w:right w:val="nil"/>
            </w:tcBorders>
            <w:shd w:val="clear" w:color="000000" w:fill="FFFFFF"/>
            <w:noWrap/>
            <w:vAlign w:val="center"/>
            <w:hideMark/>
          </w:tcPr>
          <w:p w14:paraId="6210BED7"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w:t>
            </w:r>
          </w:p>
        </w:tc>
      </w:tr>
      <w:tr w:rsidR="007E06EB" w:rsidRPr="007E06EB" w14:paraId="2FF21944" w14:textId="77777777" w:rsidTr="007E06EB">
        <w:trPr>
          <w:trHeight w:val="288"/>
        </w:trPr>
        <w:tc>
          <w:tcPr>
            <w:tcW w:w="4200" w:type="dxa"/>
            <w:tcBorders>
              <w:top w:val="nil"/>
              <w:left w:val="nil"/>
              <w:bottom w:val="nil"/>
              <w:right w:val="nil"/>
            </w:tcBorders>
            <w:shd w:val="clear" w:color="000000" w:fill="FFFFFF"/>
            <w:noWrap/>
            <w:vAlign w:val="center"/>
            <w:hideMark/>
          </w:tcPr>
          <w:p w14:paraId="4B7E0E2F"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0 jusqu'a 9</w:t>
            </w:r>
          </w:p>
        </w:tc>
        <w:tc>
          <w:tcPr>
            <w:tcW w:w="1920" w:type="dxa"/>
            <w:tcBorders>
              <w:top w:val="nil"/>
              <w:left w:val="nil"/>
              <w:bottom w:val="nil"/>
              <w:right w:val="nil"/>
            </w:tcBorders>
            <w:shd w:val="clear" w:color="000000" w:fill="FFFFFF"/>
            <w:noWrap/>
            <w:vAlign w:val="center"/>
            <w:hideMark/>
          </w:tcPr>
          <w:p w14:paraId="3DF30ACC"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0</w:t>
            </w:r>
          </w:p>
        </w:tc>
      </w:tr>
    </w:tbl>
    <w:p w14:paraId="6516308F" w14:textId="77777777" w:rsidR="007E06EB" w:rsidRDefault="007E06EB" w:rsidP="007E06EB">
      <w:pPr>
        <w:rPr>
          <w:b/>
          <w:bCs/>
        </w:rPr>
      </w:pPr>
    </w:p>
    <w:p w14:paraId="05BD7874" w14:textId="4B53B366" w:rsidR="007E06EB" w:rsidRPr="007E06EB" w:rsidRDefault="007E06EB" w:rsidP="007E06EB">
      <w:pPr>
        <w:rPr>
          <w:b/>
          <w:bCs/>
        </w:rPr>
      </w:pPr>
      <w:r w:rsidRPr="007E06EB">
        <w:rPr>
          <w:b/>
          <w:bCs/>
        </w:rPr>
        <w:t>Duré maximale</w:t>
      </w:r>
    </w:p>
    <w:p w14:paraId="50C29CD5" w14:textId="77777777" w:rsidR="007E06EB" w:rsidRPr="007E06EB" w:rsidRDefault="007E06EB" w:rsidP="007E06EB">
      <w:r w:rsidRPr="007E06EB">
        <w:t>Le nombre maximal de jours de vacances légaux auxquels vous pouvez avoir droit est fixé à 24 jours de travail par an dans le cas d’une occupation s’inscrivant dans le régime de la semaine de six jours ou à 4 semaines de vacances par an dans n’importe quel régime.</w:t>
      </w:r>
    </w:p>
    <w:tbl>
      <w:tblPr>
        <w:tblW w:w="6120" w:type="dxa"/>
        <w:tblCellMar>
          <w:left w:w="70" w:type="dxa"/>
          <w:right w:w="70" w:type="dxa"/>
        </w:tblCellMar>
        <w:tblLook w:val="04A0" w:firstRow="1" w:lastRow="0" w:firstColumn="1" w:lastColumn="0" w:noHBand="0" w:noVBand="1"/>
      </w:tblPr>
      <w:tblGrid>
        <w:gridCol w:w="4200"/>
        <w:gridCol w:w="1920"/>
      </w:tblGrid>
      <w:tr w:rsidR="007E06EB" w:rsidRPr="007E06EB" w14:paraId="53D5D3CC" w14:textId="77777777" w:rsidTr="007E06EB">
        <w:trPr>
          <w:trHeight w:val="828"/>
        </w:trPr>
        <w:tc>
          <w:tcPr>
            <w:tcW w:w="4200" w:type="dxa"/>
            <w:tcBorders>
              <w:top w:val="nil"/>
              <w:left w:val="nil"/>
              <w:bottom w:val="nil"/>
              <w:right w:val="nil"/>
            </w:tcBorders>
            <w:shd w:val="clear" w:color="000000" w:fill="FFFFFF"/>
            <w:noWrap/>
            <w:vAlign w:val="center"/>
            <w:hideMark/>
          </w:tcPr>
          <w:p w14:paraId="3756161A" w14:textId="77777777" w:rsidR="007E06EB" w:rsidRPr="007E06EB" w:rsidRDefault="007E06EB" w:rsidP="007E06EB">
            <w:pPr>
              <w:spacing w:after="0" w:line="240" w:lineRule="auto"/>
              <w:jc w:val="center"/>
              <w:rPr>
                <w:rFonts w:ascii="Lucida Sans Unicode" w:eastAsia="Times New Roman" w:hAnsi="Lucida Sans Unicode" w:cs="Lucida Sans Unicode"/>
                <w:b/>
                <w:bCs/>
                <w:color w:val="5E5E5E"/>
                <w:kern w:val="0"/>
                <w:sz w:val="22"/>
                <w:szCs w:val="22"/>
                <w:lang w:eastAsia="fr-BE"/>
                <w14:ligatures w14:val="none"/>
              </w:rPr>
            </w:pPr>
            <w:r w:rsidRPr="007E06EB">
              <w:rPr>
                <w:rFonts w:ascii="Lucida Sans Unicode" w:eastAsia="Times New Roman" w:hAnsi="Lucida Sans Unicode" w:cs="Lucida Sans Unicode"/>
                <w:b/>
                <w:bCs/>
                <w:color w:val="5E5E5E"/>
                <w:kern w:val="0"/>
                <w:sz w:val="22"/>
                <w:szCs w:val="22"/>
                <w:lang w:eastAsia="fr-BE"/>
                <w14:ligatures w14:val="none"/>
              </w:rPr>
              <w:lastRenderedPageBreak/>
              <w:t>Régime de travail</w:t>
            </w:r>
          </w:p>
        </w:tc>
        <w:tc>
          <w:tcPr>
            <w:tcW w:w="1920" w:type="dxa"/>
            <w:tcBorders>
              <w:top w:val="nil"/>
              <w:left w:val="nil"/>
              <w:bottom w:val="nil"/>
              <w:right w:val="nil"/>
            </w:tcBorders>
            <w:shd w:val="clear" w:color="000000" w:fill="FFFFFF"/>
            <w:vAlign w:val="center"/>
            <w:hideMark/>
          </w:tcPr>
          <w:p w14:paraId="7C9AA5C1" w14:textId="77777777" w:rsidR="007E06EB" w:rsidRPr="007E06EB" w:rsidRDefault="007E06EB" w:rsidP="007E06EB">
            <w:pPr>
              <w:spacing w:after="0" w:line="240" w:lineRule="auto"/>
              <w:jc w:val="center"/>
              <w:rPr>
                <w:rFonts w:ascii="Lucida Sans Unicode" w:eastAsia="Times New Roman" w:hAnsi="Lucida Sans Unicode" w:cs="Lucida Sans Unicode"/>
                <w:b/>
                <w:bCs/>
                <w:color w:val="5E5E5E"/>
                <w:kern w:val="0"/>
                <w:sz w:val="22"/>
                <w:szCs w:val="22"/>
                <w:lang w:eastAsia="fr-BE"/>
                <w14:ligatures w14:val="none"/>
              </w:rPr>
            </w:pPr>
            <w:r w:rsidRPr="007E06EB">
              <w:rPr>
                <w:rFonts w:ascii="Lucida Sans Unicode" w:eastAsia="Times New Roman" w:hAnsi="Lucida Sans Unicode" w:cs="Lucida Sans Unicode"/>
                <w:b/>
                <w:bCs/>
                <w:color w:val="5E5E5E"/>
                <w:kern w:val="0"/>
                <w:sz w:val="22"/>
                <w:szCs w:val="22"/>
                <w:lang w:eastAsia="fr-BE"/>
                <w14:ligatures w14:val="none"/>
              </w:rPr>
              <w:t>Nombre maximal de jours par an</w:t>
            </w:r>
          </w:p>
        </w:tc>
      </w:tr>
      <w:tr w:rsidR="007E06EB" w:rsidRPr="007E06EB" w14:paraId="21290C6F" w14:textId="77777777" w:rsidTr="007E06EB">
        <w:trPr>
          <w:trHeight w:val="828"/>
        </w:trPr>
        <w:tc>
          <w:tcPr>
            <w:tcW w:w="4200" w:type="dxa"/>
            <w:tcBorders>
              <w:top w:val="nil"/>
              <w:left w:val="nil"/>
              <w:bottom w:val="nil"/>
              <w:right w:val="nil"/>
            </w:tcBorders>
            <w:shd w:val="clear" w:color="000000" w:fill="FFFFFF"/>
            <w:noWrap/>
            <w:vAlign w:val="center"/>
            <w:hideMark/>
          </w:tcPr>
          <w:p w14:paraId="4D2B2E86"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6 jours / semaine</w:t>
            </w:r>
          </w:p>
        </w:tc>
        <w:tc>
          <w:tcPr>
            <w:tcW w:w="1920" w:type="dxa"/>
            <w:tcBorders>
              <w:top w:val="nil"/>
              <w:left w:val="nil"/>
              <w:bottom w:val="nil"/>
              <w:right w:val="nil"/>
            </w:tcBorders>
            <w:shd w:val="clear" w:color="000000" w:fill="FFFFFF"/>
            <w:vAlign w:val="center"/>
            <w:hideMark/>
          </w:tcPr>
          <w:p w14:paraId="0CA4965C"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24 jours ou 4 semaines de congés</w:t>
            </w:r>
          </w:p>
        </w:tc>
      </w:tr>
      <w:tr w:rsidR="007E06EB" w:rsidRPr="007E06EB" w14:paraId="1751218B" w14:textId="77777777" w:rsidTr="007E06EB">
        <w:trPr>
          <w:trHeight w:val="288"/>
        </w:trPr>
        <w:tc>
          <w:tcPr>
            <w:tcW w:w="4200" w:type="dxa"/>
            <w:tcBorders>
              <w:top w:val="nil"/>
              <w:left w:val="nil"/>
              <w:bottom w:val="nil"/>
              <w:right w:val="nil"/>
            </w:tcBorders>
            <w:shd w:val="clear" w:color="000000" w:fill="FFFFFF"/>
            <w:noWrap/>
            <w:vAlign w:val="center"/>
            <w:hideMark/>
          </w:tcPr>
          <w:p w14:paraId="3ECEBCF7"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5 jours / semaine</w:t>
            </w:r>
          </w:p>
        </w:tc>
        <w:tc>
          <w:tcPr>
            <w:tcW w:w="1920" w:type="dxa"/>
            <w:tcBorders>
              <w:top w:val="nil"/>
              <w:left w:val="nil"/>
              <w:bottom w:val="nil"/>
              <w:right w:val="nil"/>
            </w:tcBorders>
            <w:shd w:val="clear" w:color="000000" w:fill="FFFFFF"/>
            <w:noWrap/>
            <w:vAlign w:val="center"/>
            <w:hideMark/>
          </w:tcPr>
          <w:p w14:paraId="1C3423E1"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20</w:t>
            </w:r>
          </w:p>
        </w:tc>
      </w:tr>
      <w:tr w:rsidR="007E06EB" w:rsidRPr="007E06EB" w14:paraId="57240CD9" w14:textId="77777777" w:rsidTr="007E06EB">
        <w:trPr>
          <w:trHeight w:val="288"/>
        </w:trPr>
        <w:tc>
          <w:tcPr>
            <w:tcW w:w="4200" w:type="dxa"/>
            <w:tcBorders>
              <w:top w:val="nil"/>
              <w:left w:val="nil"/>
              <w:bottom w:val="nil"/>
              <w:right w:val="nil"/>
            </w:tcBorders>
            <w:shd w:val="clear" w:color="000000" w:fill="FFFFFF"/>
            <w:noWrap/>
            <w:vAlign w:val="center"/>
            <w:hideMark/>
          </w:tcPr>
          <w:p w14:paraId="1E808AD2"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4 jours / semaine</w:t>
            </w:r>
          </w:p>
        </w:tc>
        <w:tc>
          <w:tcPr>
            <w:tcW w:w="1920" w:type="dxa"/>
            <w:tcBorders>
              <w:top w:val="nil"/>
              <w:left w:val="nil"/>
              <w:bottom w:val="nil"/>
              <w:right w:val="nil"/>
            </w:tcBorders>
            <w:shd w:val="clear" w:color="000000" w:fill="FFFFFF"/>
            <w:noWrap/>
            <w:vAlign w:val="center"/>
            <w:hideMark/>
          </w:tcPr>
          <w:p w14:paraId="445A4C0B"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16</w:t>
            </w:r>
          </w:p>
        </w:tc>
      </w:tr>
      <w:tr w:rsidR="007E06EB" w:rsidRPr="007E06EB" w14:paraId="25644E3A" w14:textId="77777777" w:rsidTr="007E06EB">
        <w:trPr>
          <w:trHeight w:val="288"/>
        </w:trPr>
        <w:tc>
          <w:tcPr>
            <w:tcW w:w="4200" w:type="dxa"/>
            <w:tcBorders>
              <w:top w:val="nil"/>
              <w:left w:val="nil"/>
              <w:bottom w:val="nil"/>
              <w:right w:val="nil"/>
            </w:tcBorders>
            <w:shd w:val="clear" w:color="000000" w:fill="FFFFFF"/>
            <w:noWrap/>
            <w:vAlign w:val="center"/>
            <w:hideMark/>
          </w:tcPr>
          <w:p w14:paraId="1D0DCC48"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3 jours / semaine</w:t>
            </w:r>
          </w:p>
        </w:tc>
        <w:tc>
          <w:tcPr>
            <w:tcW w:w="1920" w:type="dxa"/>
            <w:tcBorders>
              <w:top w:val="nil"/>
              <w:left w:val="nil"/>
              <w:bottom w:val="nil"/>
              <w:right w:val="nil"/>
            </w:tcBorders>
            <w:shd w:val="clear" w:color="000000" w:fill="FFFFFF"/>
            <w:noWrap/>
            <w:vAlign w:val="center"/>
            <w:hideMark/>
          </w:tcPr>
          <w:p w14:paraId="3562ABC4"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12</w:t>
            </w:r>
          </w:p>
        </w:tc>
      </w:tr>
      <w:tr w:rsidR="007E06EB" w:rsidRPr="007E06EB" w14:paraId="5AEF8140" w14:textId="77777777" w:rsidTr="007E06EB">
        <w:trPr>
          <w:trHeight w:val="288"/>
        </w:trPr>
        <w:tc>
          <w:tcPr>
            <w:tcW w:w="4200" w:type="dxa"/>
            <w:tcBorders>
              <w:top w:val="nil"/>
              <w:left w:val="nil"/>
              <w:bottom w:val="nil"/>
              <w:right w:val="nil"/>
            </w:tcBorders>
            <w:shd w:val="clear" w:color="000000" w:fill="FFFFFF"/>
            <w:noWrap/>
            <w:vAlign w:val="center"/>
            <w:hideMark/>
          </w:tcPr>
          <w:p w14:paraId="1419E09D"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2 jours / semaine</w:t>
            </w:r>
          </w:p>
        </w:tc>
        <w:tc>
          <w:tcPr>
            <w:tcW w:w="1920" w:type="dxa"/>
            <w:tcBorders>
              <w:top w:val="nil"/>
              <w:left w:val="nil"/>
              <w:bottom w:val="nil"/>
              <w:right w:val="nil"/>
            </w:tcBorders>
            <w:shd w:val="clear" w:color="000000" w:fill="FFFFFF"/>
            <w:noWrap/>
            <w:vAlign w:val="center"/>
            <w:hideMark/>
          </w:tcPr>
          <w:p w14:paraId="3FCA9CD6"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8</w:t>
            </w:r>
          </w:p>
        </w:tc>
      </w:tr>
      <w:tr w:rsidR="007E06EB" w:rsidRPr="007E06EB" w14:paraId="60413D16" w14:textId="77777777" w:rsidTr="007E06EB">
        <w:trPr>
          <w:trHeight w:val="288"/>
        </w:trPr>
        <w:tc>
          <w:tcPr>
            <w:tcW w:w="4200" w:type="dxa"/>
            <w:tcBorders>
              <w:top w:val="nil"/>
              <w:left w:val="nil"/>
              <w:bottom w:val="nil"/>
              <w:right w:val="nil"/>
            </w:tcBorders>
            <w:shd w:val="clear" w:color="000000" w:fill="FFFFFF"/>
            <w:noWrap/>
            <w:vAlign w:val="center"/>
            <w:hideMark/>
          </w:tcPr>
          <w:p w14:paraId="313E6757" w14:textId="77777777" w:rsidR="007E06EB" w:rsidRPr="007E06EB" w:rsidRDefault="007E06EB" w:rsidP="007E06EB">
            <w:pPr>
              <w:spacing w:after="0" w:line="240" w:lineRule="auto"/>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1 jour / semaine</w:t>
            </w:r>
          </w:p>
        </w:tc>
        <w:tc>
          <w:tcPr>
            <w:tcW w:w="1920" w:type="dxa"/>
            <w:tcBorders>
              <w:top w:val="nil"/>
              <w:left w:val="nil"/>
              <w:bottom w:val="nil"/>
              <w:right w:val="nil"/>
            </w:tcBorders>
            <w:shd w:val="clear" w:color="000000" w:fill="FFFFFF"/>
            <w:noWrap/>
            <w:vAlign w:val="center"/>
            <w:hideMark/>
          </w:tcPr>
          <w:p w14:paraId="420F4E72" w14:textId="77777777" w:rsidR="007E06EB" w:rsidRPr="007E06EB" w:rsidRDefault="007E06EB" w:rsidP="007E06EB">
            <w:pPr>
              <w:spacing w:after="0" w:line="240" w:lineRule="auto"/>
              <w:jc w:val="right"/>
              <w:rPr>
                <w:rFonts w:ascii="Lucida Sans Unicode" w:eastAsia="Times New Roman" w:hAnsi="Lucida Sans Unicode" w:cs="Lucida Sans Unicode"/>
                <w:color w:val="767676"/>
                <w:kern w:val="0"/>
                <w:sz w:val="22"/>
                <w:szCs w:val="22"/>
                <w:lang w:eastAsia="fr-BE"/>
                <w14:ligatures w14:val="none"/>
              </w:rPr>
            </w:pPr>
            <w:r w:rsidRPr="007E06EB">
              <w:rPr>
                <w:rFonts w:ascii="Lucida Sans Unicode" w:eastAsia="Times New Roman" w:hAnsi="Lucida Sans Unicode" w:cs="Lucida Sans Unicode"/>
                <w:color w:val="767676"/>
                <w:kern w:val="0"/>
                <w:sz w:val="22"/>
                <w:szCs w:val="22"/>
                <w:lang w:eastAsia="fr-BE"/>
                <w14:ligatures w14:val="none"/>
              </w:rPr>
              <w:t>4</w:t>
            </w:r>
          </w:p>
        </w:tc>
      </w:tr>
    </w:tbl>
    <w:p w14:paraId="61B1FEED" w14:textId="77777777" w:rsidR="007E06EB" w:rsidRDefault="007E06EB"/>
    <w:sectPr w:rsidR="007E06EB" w:rsidSect="008D00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1C5850"/>
    <w:multiLevelType w:val="multilevel"/>
    <w:tmpl w:val="821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8044F3"/>
    <w:multiLevelType w:val="multilevel"/>
    <w:tmpl w:val="ACE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A1FC9"/>
    <w:multiLevelType w:val="multilevel"/>
    <w:tmpl w:val="56E4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490133"/>
    <w:multiLevelType w:val="multilevel"/>
    <w:tmpl w:val="66D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05FFE"/>
    <w:multiLevelType w:val="multilevel"/>
    <w:tmpl w:val="D03C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842584">
    <w:abstractNumId w:val="2"/>
  </w:num>
  <w:num w:numId="2" w16cid:durableId="42412651">
    <w:abstractNumId w:val="0"/>
  </w:num>
  <w:num w:numId="3" w16cid:durableId="1110392249">
    <w:abstractNumId w:val="1"/>
  </w:num>
  <w:num w:numId="4" w16cid:durableId="486896860">
    <w:abstractNumId w:val="4"/>
  </w:num>
  <w:num w:numId="5" w16cid:durableId="1501316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D0"/>
    <w:rsid w:val="0006430E"/>
    <w:rsid w:val="001B7A60"/>
    <w:rsid w:val="00314875"/>
    <w:rsid w:val="00325843"/>
    <w:rsid w:val="00410999"/>
    <w:rsid w:val="007E06EB"/>
    <w:rsid w:val="008A79B6"/>
    <w:rsid w:val="008D0037"/>
    <w:rsid w:val="0096771B"/>
    <w:rsid w:val="00B17971"/>
    <w:rsid w:val="00D146D0"/>
    <w:rsid w:val="00F24107"/>
    <w:rsid w:val="00F551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AA90A"/>
  <w15:chartTrackingRefBased/>
  <w15:docId w15:val="{B5B396DE-00EA-4845-A515-CA92C06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14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14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146D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146D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146D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146D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146D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146D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146D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46D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146D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146D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146D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146D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146D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146D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146D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146D0"/>
    <w:rPr>
      <w:rFonts w:eastAsiaTheme="majorEastAsia" w:cstheme="majorBidi"/>
      <w:color w:val="272727" w:themeColor="text1" w:themeTint="D8"/>
    </w:rPr>
  </w:style>
  <w:style w:type="paragraph" w:styleId="Titre">
    <w:name w:val="Title"/>
    <w:basedOn w:val="Normal"/>
    <w:next w:val="Normal"/>
    <w:link w:val="TitreCar"/>
    <w:uiPriority w:val="10"/>
    <w:qFormat/>
    <w:rsid w:val="00D14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146D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146D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146D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146D0"/>
    <w:pPr>
      <w:spacing w:before="160"/>
      <w:jc w:val="center"/>
    </w:pPr>
    <w:rPr>
      <w:i/>
      <w:iCs/>
      <w:color w:val="404040" w:themeColor="text1" w:themeTint="BF"/>
    </w:rPr>
  </w:style>
  <w:style w:type="character" w:customStyle="1" w:styleId="CitationCar">
    <w:name w:val="Citation Car"/>
    <w:basedOn w:val="Policepardfaut"/>
    <w:link w:val="Citation"/>
    <w:uiPriority w:val="29"/>
    <w:rsid w:val="00D146D0"/>
    <w:rPr>
      <w:i/>
      <w:iCs/>
      <w:color w:val="404040" w:themeColor="text1" w:themeTint="BF"/>
    </w:rPr>
  </w:style>
  <w:style w:type="paragraph" w:styleId="Paragraphedeliste">
    <w:name w:val="List Paragraph"/>
    <w:basedOn w:val="Normal"/>
    <w:uiPriority w:val="34"/>
    <w:qFormat/>
    <w:rsid w:val="00D146D0"/>
    <w:pPr>
      <w:ind w:left="720"/>
      <w:contextualSpacing/>
    </w:pPr>
  </w:style>
  <w:style w:type="character" w:styleId="Accentuationintense">
    <w:name w:val="Intense Emphasis"/>
    <w:basedOn w:val="Policepardfaut"/>
    <w:uiPriority w:val="21"/>
    <w:qFormat/>
    <w:rsid w:val="00D146D0"/>
    <w:rPr>
      <w:i/>
      <w:iCs/>
      <w:color w:val="0F4761" w:themeColor="accent1" w:themeShade="BF"/>
    </w:rPr>
  </w:style>
  <w:style w:type="paragraph" w:styleId="Citationintense">
    <w:name w:val="Intense Quote"/>
    <w:basedOn w:val="Normal"/>
    <w:next w:val="Normal"/>
    <w:link w:val="CitationintenseCar"/>
    <w:uiPriority w:val="30"/>
    <w:qFormat/>
    <w:rsid w:val="00D14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146D0"/>
    <w:rPr>
      <w:i/>
      <w:iCs/>
      <w:color w:val="0F4761" w:themeColor="accent1" w:themeShade="BF"/>
    </w:rPr>
  </w:style>
  <w:style w:type="character" w:styleId="Rfrenceintense">
    <w:name w:val="Intense Reference"/>
    <w:basedOn w:val="Policepardfaut"/>
    <w:uiPriority w:val="32"/>
    <w:qFormat/>
    <w:rsid w:val="00D146D0"/>
    <w:rPr>
      <w:b/>
      <w:bCs/>
      <w:smallCaps/>
      <w:color w:val="0F4761" w:themeColor="accent1" w:themeShade="BF"/>
      <w:spacing w:val="5"/>
    </w:rPr>
  </w:style>
  <w:style w:type="character" w:styleId="Lienhypertexte">
    <w:name w:val="Hyperlink"/>
    <w:basedOn w:val="Policepardfaut"/>
    <w:uiPriority w:val="99"/>
    <w:unhideWhenUsed/>
    <w:rsid w:val="00410999"/>
    <w:rPr>
      <w:color w:val="467886" w:themeColor="hyperlink"/>
      <w:u w:val="single"/>
    </w:rPr>
  </w:style>
  <w:style w:type="character" w:styleId="Mentionnonrsolue">
    <w:name w:val="Unresolved Mention"/>
    <w:basedOn w:val="Policepardfaut"/>
    <w:uiPriority w:val="99"/>
    <w:semiHidden/>
    <w:unhideWhenUsed/>
    <w:rsid w:val="004109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85706">
      <w:bodyDiv w:val="1"/>
      <w:marLeft w:val="0"/>
      <w:marRight w:val="0"/>
      <w:marTop w:val="0"/>
      <w:marBottom w:val="0"/>
      <w:divBdr>
        <w:top w:val="none" w:sz="0" w:space="0" w:color="auto"/>
        <w:left w:val="none" w:sz="0" w:space="0" w:color="auto"/>
        <w:bottom w:val="none" w:sz="0" w:space="0" w:color="auto"/>
        <w:right w:val="none" w:sz="0" w:space="0" w:color="auto"/>
      </w:divBdr>
      <w:divsChild>
        <w:div w:id="384641948">
          <w:marLeft w:val="0"/>
          <w:marRight w:val="0"/>
          <w:marTop w:val="0"/>
          <w:marBottom w:val="0"/>
          <w:divBdr>
            <w:top w:val="none" w:sz="0" w:space="0" w:color="auto"/>
            <w:left w:val="none" w:sz="0" w:space="0" w:color="auto"/>
            <w:bottom w:val="none" w:sz="0" w:space="0" w:color="auto"/>
            <w:right w:val="none" w:sz="0" w:space="0" w:color="auto"/>
          </w:divBdr>
        </w:div>
      </w:divsChild>
    </w:div>
    <w:div w:id="208714306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nva.be/fr/mon-compte-de-vacances"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1281</Words>
  <Characters>6858</Characters>
  <Application>Microsoft Office Word</Application>
  <DocSecurity>0</DocSecurity>
  <Lines>131</Lines>
  <Paragraphs>70</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Demal (RJV-ONVA)</dc:creator>
  <cp:keywords/>
  <dc:description/>
  <cp:lastModifiedBy>Yannick Demal (RJV-ONVA)</cp:lastModifiedBy>
  <cp:revision>3</cp:revision>
  <dcterms:created xsi:type="dcterms:W3CDTF">2025-12-12T11:59:00Z</dcterms:created>
  <dcterms:modified xsi:type="dcterms:W3CDTF">2025-12-12T12:07:00Z</dcterms:modified>
</cp:coreProperties>
</file>