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040"/>
      </w:pPr>
      <w:r/>
    </w:p>
    <w:p>
      <w:pPr>
        <w:spacing w:after="60"/>
      </w:pPr>
      <w:r>
        <w:rPr>
          <w:rFonts w:ascii="Helvetica Neue" w:hAnsi="Helvetica Neue"/>
          <w:b w:val="0"/>
          <w:color w:val="5B7085"/>
          <w:sz w:val="42"/>
        </w:rPr>
        <w:t>KrishiMitra</w:t>
      </w:r>
    </w:p>
    <w:p>
      <w:pPr>
        <w:spacing w:after="2060"/>
      </w:pPr>
      <w:r>
        <w:rPr>
          <w:rFonts w:ascii="Helvetica Neue" w:hAnsi="Helvetica Neue"/>
          <w:b/>
          <w:color w:val="082A4A"/>
          <w:sz w:val="52"/>
        </w:rPr>
        <w:t>System Design and Technical Methodology</w:t>
      </w:r>
    </w:p>
    <w:tbl>
      <w:tblPr>
        <w:tblW w:type="auto" w:w="0"/>
        <w:jc w:val="center"/>
        <w:tblLayout w:type="fixed"/>
        <w:tblLook w:firstColumn="1" w:firstRow="1" w:lastColumn="0" w:lastRow="0" w:noHBand="0" w:noVBand="1" w:val="04A0"/>
      </w:tblPr>
      <w:tblGrid>
        <w:gridCol w:w="3408"/>
        <w:gridCol w:w="3408"/>
        <w:gridCol w:w="3408"/>
      </w:tblGrid>
      <w:tr>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left"/>
            </w:pPr>
            <w:r/>
            <w:r>
              <w:rPr>
                <w:rFonts w:ascii="Helvetica Neue" w:hAnsi="Helvetica Neue"/>
                <w:b/>
                <w:color w:val="5B7085"/>
                <w:sz w:val="15"/>
              </w:rPr>
              <w:t>STATUS</w:t>
            </w:r>
          </w:p>
        </w:tc>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center"/>
            </w:pPr>
            <w:r/>
            <w:r>
              <w:rPr>
                <w:rFonts w:ascii="Helvetica Neue" w:hAnsi="Helvetica Neue"/>
                <w:b/>
                <w:color w:val="5B7085"/>
                <w:sz w:val="15"/>
              </w:rPr>
              <w:t>OWNER</w:t>
            </w:r>
          </w:p>
        </w:tc>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right"/>
            </w:pPr>
            <w:r/>
            <w:r>
              <w:rPr>
                <w:rFonts w:ascii="Helvetica Neue" w:hAnsi="Helvetica Neue"/>
                <w:b/>
                <w:color w:val="5B7085"/>
                <w:sz w:val="15"/>
              </w:rPr>
              <w:t>LAST UPDATED</w:t>
            </w:r>
          </w:p>
        </w:tc>
      </w:tr>
      <w:tr>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left"/>
            </w:pPr>
            <w:r/>
            <w:r>
              <w:rPr>
                <w:rFonts w:ascii="Helvetica Neue" w:hAnsi="Helvetica Neue"/>
                <w:b w:val="0"/>
                <w:color w:val="263746"/>
                <w:sz w:val="17"/>
              </w:rPr>
              <w:t>Implemented Review 3</w:t>
            </w:r>
          </w:p>
        </w:tc>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center"/>
            </w:pPr>
            <w:r/>
            <w:r>
              <w:rPr>
                <w:rFonts w:ascii="Helvetica Neue" w:hAnsi="Helvetica Neue"/>
                <w:b w:val="0"/>
                <w:color w:val="263746"/>
                <w:sz w:val="17"/>
              </w:rPr>
              <w:t>KrishiMitra project team</w:t>
            </w:r>
          </w:p>
        </w:tc>
        <w:tc>
          <w:tcPr>
            <w:tcW w:type="dxa" w:w="3398"/>
            <w:tcMar>
              <w:top w:w="40" w:type="dxa"/>
              <w:start w:w="0" w:type="dxa"/>
              <w:bottom w:w="40" w:type="dxa"/>
              <w:end w:w="12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line="259" w:lineRule="auto"/>
              <w:jc w:val="right"/>
            </w:pPr>
            <w:r/>
            <w:r>
              <w:rPr>
                <w:rFonts w:ascii="Helvetica Neue" w:hAnsi="Helvetica Neue"/>
                <w:b w:val="0"/>
                <w:color w:val="263746"/>
                <w:sz w:val="17"/>
              </w:rPr>
              <w:t>September 15, 2026</w:t>
            </w:r>
          </w:p>
        </w:tc>
      </w:tr>
    </w:tbl>
    <w:p>
      <w:pPr>
        <w:spacing w:after="200"/>
      </w:pPr>
    </w:p>
    <w:tbl>
      <w:tblPr>
        <w:tblW w:type="auto" w:w="0"/>
        <w:jc w:val="center"/>
        <w:tblLayout w:type="fixed"/>
        <w:tblLook w:firstColumn="1" w:firstRow="1" w:lastColumn="0" w:lastRow="0" w:noHBand="0" w:noVBand="1" w:val="04A0"/>
      </w:tblPr>
      <w:tblGrid>
        <w:gridCol w:w="5112"/>
        <w:gridCol w:w="5112"/>
      </w:tblGrid>
      <w:tr>
        <w:tc>
          <w:tcPr>
            <w:tcW w:type="dxa" w:w="1800"/>
            <w:shd w:fill="D6E7F3"/>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color w:val="082A4A"/>
                <w:sz w:val="16"/>
              </w:rPr>
              <w:t>Prepared by</w:t>
            </w:r>
          </w:p>
        </w:tc>
        <w:tc>
          <w:tcPr>
            <w:tcW w:type="dxa" w:w="8424"/>
            <w:shd w:fill="F4F8FB"/>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val="0"/>
                <w:color w:val="263746"/>
                <w:sz w:val="16"/>
              </w:rPr>
              <w:t>KrishiMitra project team</w:t>
            </w:r>
          </w:p>
        </w:tc>
      </w:tr>
      <w:tr>
        <w:tc>
          <w:tcPr>
            <w:tcW w:type="dxa" w:w="1800"/>
            <w:shd w:fill="D6E7F3"/>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color w:val="082A4A"/>
                <w:sz w:val="16"/>
              </w:rPr>
              <w:t>Review audience</w:t>
            </w:r>
          </w:p>
        </w:tc>
        <w:tc>
          <w:tcPr>
            <w:tcW w:type="dxa" w:w="8424"/>
            <w:shd w:fill="F4F8FB"/>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val="0"/>
                <w:color w:val="263746"/>
                <w:sz w:val="16"/>
              </w:rPr>
              <w:t>Academic reviewer, technical panel, and demonstration evaluators</w:t>
            </w:r>
          </w:p>
        </w:tc>
      </w:tr>
      <w:tr>
        <w:tc>
          <w:tcPr>
            <w:tcW w:type="dxa" w:w="1800"/>
            <w:shd w:fill="D6E7F3"/>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color w:val="082A4A"/>
                <w:sz w:val="16"/>
              </w:rPr>
              <w:t>Implementation evidence</w:t>
            </w:r>
          </w:p>
        </w:tc>
        <w:tc>
          <w:tcPr>
            <w:tcW w:type="dxa" w:w="8424"/>
            <w:shd w:fill="F4F8FB"/>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val="0"/>
                <w:color w:val="263746"/>
                <w:sz w:val="16"/>
              </w:rPr>
              <w:t>Repository source, database migrations, tests, model registry, and benchmark records</w:t>
            </w:r>
          </w:p>
        </w:tc>
      </w:tr>
      <w:tr>
        <w:tc>
          <w:tcPr>
            <w:tcW w:type="dxa" w:w="1800"/>
            <w:shd w:fill="D6E7F3"/>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color w:val="082A4A"/>
                <w:sz w:val="16"/>
              </w:rPr>
              <w:t>Scope</w:t>
            </w:r>
          </w:p>
        </w:tc>
        <w:tc>
          <w:tcPr>
            <w:tcW w:type="dxa" w:w="8424"/>
            <w:shd w:fill="F4F8FB"/>
            <w:tcBorders>
              <w:top w:val="single" w:sz="5" w:space="0" w:color="FFFFFF"/>
              <w:left w:val="single" w:sz="5" w:space="0" w:color="FFFFFF"/>
              <w:bottom w:val="single" w:sz="5" w:space="0" w:color="FFFFFF"/>
              <w:right w:val="single" w:sz="5" w:space="0" w:color="FFFFFF"/>
              <w:insideH w:val="single" w:sz="5" w:space="0" w:color="FFFFFF"/>
              <w:insideV w:val="single" w:sz="5" w:space="0" w:color="FFFFFF"/>
            </w:tcBorders>
          </w:tcPr>
          <w:p>
            <w:pPr>
              <w:spacing w:after="0" w:line="259" w:lineRule="auto"/>
              <w:jc w:val="left"/>
            </w:pPr>
            <w:r/>
            <w:r>
              <w:rPr>
                <w:rFonts w:ascii="Helvetica Neue" w:hAnsi="Helvetica Neue"/>
                <w:b w:val="0"/>
                <w:color w:val="263746"/>
                <w:sz w:val="16"/>
              </w:rPr>
              <w:t>Current frontend, FastAPI backend, crop-health ML, Gemini chatbot, persistence, Docker database, and end-to-end pipelines</w:t>
            </w:r>
          </w:p>
        </w:tc>
      </w:tr>
    </w:tbl>
    <w:p>
      <w:r>
        <w:br w:type="page"/>
      </w:r>
    </w:p>
    <w:p>
      <w:pPr>
        <w:pStyle w:val="Heading1"/>
        <w:keepNext/>
        <w:pageBreakBefore w:val="0"/>
        <w:spacing w:before="140" w:after="100"/>
      </w:pPr>
      <w:r>
        <w:rPr>
          <w:rFonts w:ascii="Helvetica Neue" w:hAnsi="Helvetica Neue"/>
          <w:b/>
          <w:color w:val="082A4A"/>
          <w:sz w:val="27"/>
        </w:rPr>
        <w:t>Executive Summary</w:t>
      </w:r>
    </w:p>
    <w:p>
      <w:pPr>
        <w:spacing w:before="20" w:after="140"/>
        <w:pBdr>
          <w:bottom w:val="single" w:sz="8" w:space="1" w:color="C9D8E5"/>
        </w:pBdr>
      </w:pPr>
    </w:p>
    <w:p>
      <w:pPr>
        <w:spacing w:after="104" w:line="276" w:lineRule="auto"/>
        <w:jc w:val="both"/>
      </w:pPr>
      <w:r>
        <w:rPr>
          <w:rFonts w:ascii="Helvetica Neue" w:hAnsi="Helvetica Neue"/>
          <w:color w:val="263746"/>
          <w:sz w:val="18"/>
        </w:rPr>
        <w:t>KrishiMitra is a local agricultural decision-support web application that combines a browser-based interface, a FastAPI service layer, PostgreSQL persistence, a MobileNetV2 crop-health classifier, and a Gemini-powered agronomy chatbot. The system is designed for an evidence-based academic demonstration: it exposes clear contracts, records model versions and benchmark evidence, keeps secrets on the backend, and states the limits of every automated result.</w:t>
      </w:r>
    </w:p>
    <w:p>
      <w:pPr>
        <w:spacing w:after="104" w:line="276" w:lineRule="auto"/>
        <w:jc w:val="both"/>
      </w:pPr>
      <w:r>
        <w:rPr>
          <w:rFonts w:ascii="Helvetica Neue" w:hAnsi="Helvetica Neue"/>
          <w:color w:val="263746"/>
          <w:sz w:val="18"/>
        </w:rPr>
        <w:t>The implemented crop-health path accepts a colour leaf photograph, applies deterministic safety and quality checks, transforms the image into the MobileNetV2 input representation, predicts one of ten supported PlantVillage labels, cross-checks the predicted crop against the user's expected crop, stores an audit record, and returns a confidence-aware result. The chatbot path accepts an agricultural question, restores up to eight recent turns, adds safety-oriented system instructions, sends the prompt to Gemini 3.6 Flash, stores the exchange and latency, and returns the answer with a verification disclaimer.</w:t>
      </w:r>
    </w:p>
    <w:p>
      <w:pPr>
        <w:spacing w:after="104" w:line="276" w:lineRule="auto"/>
        <w:jc w:val="both"/>
      </w:pPr>
      <w:r>
        <w:rPr>
          <w:rFonts w:ascii="Helvetica Neue" w:hAnsi="Helvetica Neue"/>
          <w:color w:val="263746"/>
          <w:sz w:val="18"/>
        </w:rPr>
        <w:t>This document describes what is implemented now. PostgreSQL includes pgvector and future retrieval-augmented-generation tables, but the current chatbot is not yet grounded in an approved document corpus and does not return citations. Docker Compose currently manages the database only; FastAPI and the Vite development server run directly on the host for fast local iteration.</w:t>
      </w:r>
    </w:p>
    <w:p>
      <w:pPr>
        <w:pStyle w:val="Heading2"/>
        <w:keepNext/>
        <w:pageBreakBefore w:val="0"/>
        <w:spacing w:before="100" w:after="100"/>
      </w:pPr>
      <w:r>
        <w:rPr>
          <w:rFonts w:ascii="Helvetica Neue" w:hAnsi="Helvetica Neue"/>
          <w:b/>
          <w:color w:val="082A4A"/>
          <w:sz w:val="21"/>
        </w:rPr>
        <w:t>Document map</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24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Area</w:t>
            </w:r>
          </w:p>
        </w:tc>
        <w:tc>
          <w:tcPr>
            <w:tcW w:type="dxa" w:w="77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What the reviewer will find</w:t>
            </w:r>
          </w:p>
        </w:tc>
      </w:tr>
      <w:tr>
        <w:trPr>
          <w:cantSplit/>
          <w:cantSplit/>
        </w:trPr>
        <w:tc>
          <w:tcPr>
            <w:tcW w:type="dxa" w:w="24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Architecture and stack</w:t>
            </w:r>
          </w:p>
        </w:tc>
        <w:tc>
          <w:tcPr>
            <w:tcW w:type="dxa" w:w="77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Boundaries, component responsibilities, runtime topology, and technology rationale</w:t>
            </w:r>
          </w:p>
        </w:tc>
      </w:tr>
      <w:tr>
        <w:trPr>
          <w:cantSplit/>
          <w:cantSplit/>
        </w:trPr>
        <w:tc>
          <w:tcPr>
            <w:tcW w:type="dxa" w:w="244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Crop Health Intelligence</w:t>
            </w:r>
          </w:p>
        </w:tc>
        <w:tc>
          <w:tcPr>
            <w:tcW w:type="dxa" w:w="77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Image validation, MobileNetV2 inference, data preparation, training algorithm, and benchmark interpretation</w:t>
            </w:r>
          </w:p>
        </w:tc>
      </w:tr>
      <w:tr>
        <w:trPr>
          <w:cantSplit/>
          <w:cantSplit/>
        </w:trPr>
        <w:tc>
          <w:tcPr>
            <w:tcW w:type="dxa" w:w="24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AI Agronomy Chatbot</w:t>
            </w:r>
          </w:p>
        </w:tc>
        <w:tc>
          <w:tcPr>
            <w:tcW w:type="dxa" w:w="77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Conversation lifecycle, Gemini integration, key handling, safety controls, and error mapping</w:t>
            </w:r>
          </w:p>
        </w:tc>
      </w:tr>
      <w:tr>
        <w:trPr>
          <w:cantSplit/>
          <w:cantSplit/>
        </w:trPr>
        <w:tc>
          <w:tcPr>
            <w:tcW w:type="dxa" w:w="244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Operations and evidence</w:t>
            </w:r>
          </w:p>
        </w:tc>
        <w:tc>
          <w:tcPr>
            <w:tcW w:type="dxa" w:w="77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Database design, Docker startup, migrations, tests, limitations, and next milestones</w:t>
            </w:r>
          </w:p>
        </w:tc>
      </w:tr>
    </w:tbl>
    <w:p>
      <w:pPr>
        <w:spacing w:after="0"/>
      </w:pPr>
    </w:p>
    <w:p>
      <w:r>
        <w:br w:type="page"/>
      </w:r>
    </w:p>
    <w:p>
      <w:pPr>
        <w:pStyle w:val="Heading1"/>
        <w:keepNext/>
        <w:pageBreakBefore w:val="0"/>
        <w:spacing w:before="140" w:after="100"/>
      </w:pPr>
      <w:r>
        <w:rPr>
          <w:rFonts w:ascii="Helvetica Neue" w:hAnsi="Helvetica Neue"/>
          <w:b/>
          <w:color w:val="082A4A"/>
          <w:sz w:val="27"/>
        </w:rPr>
        <w:t>1 Scope Objectives and Boundaries</w:t>
      </w:r>
    </w:p>
    <w:p>
      <w:pPr>
        <w:spacing w:before="20" w:after="140"/>
        <w:pBdr>
          <w:bottom w:val="single" w:sz="8" w:space="1" w:color="C9D8E5"/>
        </w:pBdr>
      </w:pPr>
    </w:p>
    <w:p>
      <w:pPr>
        <w:spacing w:after="104" w:line="276" w:lineRule="auto"/>
        <w:jc w:val="both"/>
      </w:pPr>
      <w:r>
        <w:rPr>
          <w:rFonts w:ascii="Helvetica Neue" w:hAnsi="Helvetica Neue"/>
          <w:color w:val="263746"/>
          <w:sz w:val="18"/>
        </w:rPr>
        <w:t>The present review build focuses on two user-visible modules and the shared platform needed to operate them locally. It is a decision-support prototype, not an autonomous diagnostic or treatment system.</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Objectives</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Boundaries and non-goals</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Provide a complete browser-to-model-to-database crop-health workflow.</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 not claim field accuracy from controlled PlantVillage images.</w:t>
            </w:r>
          </w:p>
        </w:tc>
      </w:tr>
      <w:tr>
        <w:trPr>
          <w:cantSplit/>
          <w:cantSplit/>
        </w:trPr>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Return transparent confidence and crop-mismatch warnings.</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 not identify diseases outside the ten trained labels.</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Provide a multi-turn agricultural chatbot while protecting the provider key.</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 not place Gemini credentials or provider calls in the browser.</w:t>
            </w:r>
          </w:p>
        </w:tc>
      </w:tr>
      <w:tr>
        <w:trPr>
          <w:cantSplit/>
          <w:cantSplit/>
        </w:trPr>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Make local setup repeatable with migrations and a one-click launcher.</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 not represent the current database-only Compose file as full-stack containerization.</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Retain model, dataset, and response evidence for review.</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 not present planned pgvector retrieval and citations as already operational.</w:t>
            </w:r>
          </w:p>
        </w:tc>
      </w:tr>
    </w:tbl>
    <w:p>
      <w:pPr>
        <w:spacing w:after="0"/>
      </w:pPr>
    </w:p>
    <w:p>
      <w:pPr>
        <w:pStyle w:val="Heading2"/>
        <w:keepNext/>
        <w:pageBreakBefore w:val="0"/>
        <w:spacing w:before="100" w:after="100"/>
      </w:pPr>
      <w:r>
        <w:rPr>
          <w:rFonts w:ascii="Helvetica Neue" w:hAnsi="Helvetica Neue"/>
          <w:b/>
          <w:color w:val="082A4A"/>
          <w:sz w:val="21"/>
        </w:rPr>
        <w:t>Primary design principles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Keep the browser presentation-focused; all secrets, persistence, ML inference, and provider communication remain behind FastAPI.</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Treat confidence as a model score within a closed label set, not as proof of a real-world diagnosis.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Fail clearly at system boundaries: unsupported files, absent model artefacts, missing API keys, provider errors, and database failures receive explicit responses.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Persist compact audit evidence without storing uploaded leaf images.</w:t>
      </w:r>
    </w:p>
    <w:p>
      <w:r>
        <w:br w:type="page"/>
      </w:r>
    </w:p>
    <w:p>
      <w:pPr>
        <w:pStyle w:val="Heading1"/>
        <w:keepNext/>
        <w:pageBreakBefore w:val="0"/>
        <w:spacing w:before="140" w:after="100"/>
      </w:pPr>
      <w:r>
        <w:rPr>
          <w:rFonts w:ascii="Helvetica Neue" w:hAnsi="Helvetica Neue"/>
          <w:b/>
          <w:color w:val="082A4A"/>
          <w:sz w:val="27"/>
        </w:rPr>
        <w:t>2 System Architecture</w:t>
      </w:r>
    </w:p>
    <w:p>
      <w:pPr>
        <w:spacing w:before="20" w:after="140"/>
        <w:pBdr>
          <w:bottom w:val="single" w:sz="8" w:space="1" w:color="C9D8E5"/>
        </w:pBdr>
      </w:pPr>
    </w:p>
    <w:p>
      <w:pPr>
        <w:spacing w:after="104" w:line="276" w:lineRule="auto"/>
        <w:jc w:val="both"/>
      </w:pPr>
      <w:r>
        <w:rPr>
          <w:rFonts w:ascii="Helvetica Neue" w:hAnsi="Helvetica Neue"/>
          <w:color w:val="263746"/>
          <w:sz w:val="18"/>
        </w:rPr>
        <w:t>The architecture separates presentation, API coordination, domain processing, external inference, and durable state. This keeps each boundary explainable and allows the crop-health and chatbot modules to share configuration, database sessions, error handling, and startup tooling.</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User</w:t>
            </w:r>
          </w:p>
        </w:tc>
        <w:tc>
          <w:tcPr>
            <w:tcW w:type="dxa" w:w="2045"/>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React SPA</w:t>
            </w:r>
          </w:p>
        </w:tc>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FastAPI</w:t>
            </w:r>
          </w:p>
        </w:tc>
        <w:tc>
          <w:tcPr>
            <w:tcW w:type="dxa" w:w="2045"/>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Domain services</w:t>
            </w:r>
          </w:p>
        </w:tc>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State and providers</w:t>
            </w:r>
          </w:p>
        </w:tc>
      </w:tr>
      <w:tr>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Uploads a leaf image or asks an agricultural question</w:t>
            </w:r>
          </w:p>
        </w:tc>
        <w:tc>
          <w:tcPr>
            <w:tcW w:type="dxa" w:w="2045"/>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Validates form state, sends HTTP requests, renders status and results</w:t>
            </w:r>
          </w:p>
        </w:tc>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Validates contracts, coordinates services, maps errors, manages transactions</w:t>
            </w:r>
          </w:p>
        </w:tc>
        <w:tc>
          <w:tcPr>
            <w:tcW w:type="dxa" w:w="2045"/>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MobileNetV2 image inference or Gemini prompt generation</w:t>
            </w:r>
          </w:p>
        </w:tc>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PostgreSQL + pgvector, model checkpoint, Gemini API</w:t>
            </w:r>
          </w:p>
        </w:tc>
      </w:tr>
    </w:tbl>
    <w:p>
      <w:pPr>
        <w:spacing w:before="20" w:after="140"/>
        <w:jc w:val="center"/>
      </w:pPr>
      <w:r>
        <w:rPr>
          <w:rFonts w:ascii="Helvetica Neue" w:hAnsi="Helvetica Neue"/>
          <w:i/>
          <w:color w:val="5B7085"/>
          <w:sz w:val="15"/>
        </w:rPr>
        <w:t>Figure 1  End-to-end component architecture. Requests move left to right; responses and errors return to the browser.</w:t>
      </w:r>
    </w:p>
    <w:p>
      <w:pPr>
        <w:pStyle w:val="Heading2"/>
        <w:keepNext/>
        <w:pageBreakBefore w:val="0"/>
        <w:spacing w:before="100" w:after="100"/>
      </w:pPr>
      <w:r>
        <w:rPr>
          <w:rFonts w:ascii="Helvetica Neue" w:hAnsi="Helvetica Neue"/>
          <w:b/>
          <w:color w:val="082A4A"/>
          <w:sz w:val="21"/>
        </w:rPr>
        <w:t>Runtime topology</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Browser process</w:t>
            </w:r>
          </w:p>
        </w:tc>
        <w:tc>
          <w:tcPr>
            <w:tcW w:type="dxa" w:w="2556"/>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Windows host</w:t>
            </w:r>
          </w:p>
        </w:tc>
        <w:tc>
          <w:tcPr>
            <w:tcW w:type="dxa" w:w="2556"/>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Docker Desktop</w:t>
            </w:r>
          </w:p>
        </w:tc>
        <w:tc>
          <w:tcPr>
            <w:tcW w:type="dxa" w:w="2556"/>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External service</w:t>
            </w:r>
          </w:p>
        </w:tc>
      </w:tr>
      <w:tr>
        <w:tc>
          <w:tcPr>
            <w:tcW w:type="dxa" w:w="2556"/>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React 18 application served by Vite on port 5173</w:t>
            </w:r>
          </w:p>
        </w:tc>
        <w:tc>
          <w:tcPr>
            <w:tcW w:type="dxa" w:w="2556"/>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Uvicorn/FastAPI on port 8000 plus local model checkpoint</w:t>
            </w:r>
          </w:p>
        </w:tc>
        <w:tc>
          <w:tcPr>
            <w:tcW w:type="dxa" w:w="2556"/>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pgvector/pgvector:pg16 container on port 5432 with persistent volume</w:t>
            </w:r>
          </w:p>
        </w:tc>
        <w:tc>
          <w:tcPr>
            <w:tcW w:type="dxa" w:w="2556"/>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Google Gemini API reached only by the backend</w:t>
            </w:r>
          </w:p>
        </w:tc>
      </w:tr>
    </w:tbl>
    <w:p>
      <w:pPr>
        <w:spacing w:before="20" w:after="140"/>
        <w:jc w:val="center"/>
      </w:pPr>
      <w:r>
        <w:rPr>
          <w:rFonts w:ascii="Helvetica Neue" w:hAnsi="Helvetica Neue"/>
          <w:i/>
          <w:color w:val="5B7085"/>
          <w:sz w:val="15"/>
        </w:rPr>
        <w:t>Figure 2  Development deployment topology. Only PostgreSQL is containerized in the current build.</w:t>
      </w:r>
    </w:p>
    <w:p>
      <w:pPr>
        <w:pStyle w:val="Heading2"/>
        <w:keepNext/>
        <w:pageBreakBefore w:val="0"/>
        <w:spacing w:before="100" w:after="100"/>
      </w:pPr>
      <w:r>
        <w:rPr>
          <w:rFonts w:ascii="Helvetica Neue" w:hAnsi="Helvetica Neue"/>
          <w:b/>
          <w:color w:val="082A4A"/>
          <w:sz w:val="21"/>
        </w:rPr>
        <w:t>Component responsibilities and failure behavior</w:t>
      </w: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val="true"/>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Component</w:t>
            </w:r>
          </w:p>
        </w:tc>
        <w:tc>
          <w:tcPr>
            <w:tcW w:type="dxa" w:w="33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Responsibility</w:t>
            </w:r>
          </w:p>
        </w:tc>
        <w:tc>
          <w:tcPr>
            <w:tcW w:type="dxa" w:w="230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Primary state</w:t>
            </w:r>
          </w:p>
        </w:tc>
        <w:tc>
          <w:tcPr>
            <w:tcW w:type="dxa" w:w="27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Failure behavior</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React frontend</w:t>
            </w:r>
          </w:p>
        </w:tc>
        <w:tc>
          <w:tcPr>
            <w:tcW w:type="dxa" w:w="33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Navigation, health polling, file/question forms, loading and error states</w:t>
            </w:r>
          </w:p>
        </w:tc>
        <w:tc>
          <w:tcPr>
            <w:tcW w:type="dxa" w:w="230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In-memory component state</w:t>
            </w:r>
          </w:p>
        </w:tc>
        <w:tc>
          <w:tcPr>
            <w:tcW w:type="dxa" w:w="27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Shows API error detail and keeps the page usable</w:t>
            </w:r>
          </w:p>
        </w:tc>
      </w:tr>
      <w:tr>
        <w:trPr>
          <w:cantSplit/>
          <w:cantSplit/>
        </w:trPr>
        <w:tc>
          <w:tcPr>
            <w:tcW w:type="dxa" w:w="18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FastAPI boundary</w:t>
            </w:r>
          </w:p>
        </w:tc>
        <w:tc>
          <w:tcPr>
            <w:tcW w:type="dxa" w:w="33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Pydantic validation, CORS, endpoint routing, HTTP status mapping</w:t>
            </w:r>
          </w:p>
        </w:tc>
        <w:tc>
          <w:tcPr>
            <w:tcW w:type="dxa" w:w="230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Per-request database session</w:t>
            </w:r>
          </w:p>
        </w:tc>
        <w:tc>
          <w:tcPr>
            <w:tcW w:type="dxa" w:w="273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Returns structured 4xx/5xx JSON errors</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Crop-health service</w:t>
            </w:r>
          </w:p>
        </w:tc>
        <w:tc>
          <w:tcPr>
            <w:tcW w:type="dxa" w:w="33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Input guards, transform, cached model load, CPU inference</w:t>
            </w:r>
          </w:p>
        </w:tc>
        <w:tc>
          <w:tcPr>
            <w:tcW w:type="dxa" w:w="230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Model checkpoint on disk</w:t>
            </w:r>
          </w:p>
        </w:tc>
        <w:tc>
          <w:tcPr>
            <w:tcW w:type="dxa" w:w="27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Rejects invalid input or returns 503 if artefact is absent</w:t>
            </w:r>
          </w:p>
        </w:tc>
      </w:tr>
      <w:tr>
        <w:trPr>
          <w:cantSplit/>
          <w:cantSplit/>
        </w:trPr>
        <w:tc>
          <w:tcPr>
            <w:tcW w:type="dxa" w:w="18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Advisor service</w:t>
            </w:r>
          </w:p>
        </w:tc>
        <w:tc>
          <w:tcPr>
            <w:tcW w:type="dxa" w:w="33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Prompt construction, safety instruction, Gemini request</w:t>
            </w:r>
          </w:p>
        </w:tc>
        <w:tc>
          <w:tcPr>
            <w:tcW w:type="dxa" w:w="230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Backend .env and recent DB history</w:t>
            </w:r>
          </w:p>
        </w:tc>
        <w:tc>
          <w:tcPr>
            <w:tcW w:type="dxa" w:w="273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Maps model/auth/quota/busy failures to safe responses</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PostgreSQL</w:t>
            </w:r>
          </w:p>
        </w:tc>
        <w:tc>
          <w:tcPr>
            <w:tcW w:type="dxa" w:w="33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Scan, message, registry, and future knowledge records</w:t>
            </w:r>
          </w:p>
        </w:tc>
        <w:tc>
          <w:tcPr>
            <w:tcW w:type="dxa" w:w="230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Persistent Docker volume</w:t>
            </w:r>
          </w:p>
        </w:tc>
        <w:tc>
          <w:tcPr>
            <w:tcW w:type="dxa" w:w="27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Transaction rolls back; request fails without partial commit</w:t>
            </w:r>
          </w:p>
        </w:tc>
      </w:tr>
    </w:tbl>
    <w:p>
      <w:pPr>
        <w:spacing w:after="0"/>
      </w:pPr>
    </w:p>
    <w:p>
      <w:r>
        <w:br w:type="page"/>
      </w:r>
    </w:p>
    <w:p>
      <w:pPr>
        <w:pStyle w:val="Heading1"/>
        <w:keepNext/>
        <w:pageBreakBefore w:val="0"/>
        <w:spacing w:before="140" w:after="100"/>
      </w:pPr>
      <w:r>
        <w:rPr>
          <w:rFonts w:ascii="Helvetica Neue" w:hAnsi="Helvetica Neue"/>
          <w:b/>
          <w:color w:val="082A4A"/>
          <w:sz w:val="27"/>
        </w:rPr>
        <w:t>3 Technology Stack and How It Works</w:t>
      </w:r>
    </w:p>
    <w:p>
      <w:pPr>
        <w:spacing w:before="20" w:after="140"/>
        <w:pBdr>
          <w:bottom w:val="single" w:sz="8" w:space="1" w:color="C9D8E5"/>
        </w:pBdr>
      </w:pP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val="true"/>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Layer</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Technology</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Role in KrishiMitra</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Why it fits</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Frontend</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React 18 + TypeScript</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Stateful module views, typed API payloads, reusable UI components</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Predictable component model and compile-time contract checks</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Frontend tooling</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Vite 6</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Development server, environment variables, production bundling</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Fast feedback and a small configuration surface</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Styling</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Tailwind CSS 3 + PostCSS</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Responsive layout, status colours, forms, result cards</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Consistent utility-driven presentation</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Server state</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TanStack React Query 5</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Polls the health endpoint and caches readiness</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Separates remote state from local form state</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API</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FastAPI + Uvicorn</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Typed HTTP boundary and OpenAPI documentation</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Async-capable, testable Python service suitable for ML integration</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Configuration</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Pydantic Settings</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Loads database URL, CORS origins, thresholds, artefact path, Gemini models and key</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Typed configuration with backend-only .env support</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Persistence</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SQLAlchemy 2 + Alembic</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ORM mapping, transactions, schema migrations</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Auditable schema evolution and explicit request transactions</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Database</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PostgreSQL 16 + pgvector</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Operational records and future 768-dimensional embeddings</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Relational integrity now and vector search later</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ML</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PyTorch + torchvision</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MobileNetV2 transfer learning and inference transforms</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Reproducible training and efficient CPU inference</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Image handling</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Pillow</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Decode, verify, colour checks, resizing and sampling</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Reliable format handling before tensors are created</w:t>
            </w:r>
          </w:p>
        </w:tc>
      </w:tr>
      <w:tr>
        <w:trPr>
          <w:cantSplit/>
          <w:cantSplit/>
        </w:trPr>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Generative AI</w:t>
            </w:r>
          </w:p>
        </w:tc>
        <w:tc>
          <w:tcPr>
            <w:tcW w:type="dxa" w:w="208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Google Gen AI SDK</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Gemini content generation</w:t>
            </w:r>
          </w:p>
        </w:tc>
        <w:tc>
          <w:tcPr>
            <w:tcW w:type="dxa" w:w="29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Backend-controlled model invocation and configuration</w:t>
            </w:r>
          </w:p>
        </w:tc>
      </w:tr>
      <w:tr>
        <w:trPr>
          <w:cantSplit/>
          <w:cantSplit/>
        </w:trPr>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Local operations</w:t>
            </w:r>
          </w:p>
        </w:tc>
        <w:tc>
          <w:tcPr>
            <w:tcW w:type="dxa" w:w="208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Docker Compose + PowerShell</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Database lifecycle, readiness checks, migrations, service startup</w:t>
            </w:r>
          </w:p>
        </w:tc>
        <w:tc>
          <w:tcPr>
            <w:tcW w:type="dxa" w:w="29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Reproducible local demonstration on Windows</w:t>
            </w:r>
          </w:p>
        </w:tc>
      </w:tr>
    </w:tbl>
    <w:p>
      <w:pPr>
        <w:spacing w:after="0"/>
      </w:pPr>
    </w:p>
    <w:p>
      <w:r>
        <w:br w:type="page"/>
      </w:r>
    </w:p>
    <w:p>
      <w:pPr>
        <w:pStyle w:val="Heading1"/>
        <w:keepNext/>
        <w:pageBreakBefore w:val="0"/>
        <w:spacing w:before="140" w:after="100"/>
      </w:pPr>
      <w:r>
        <w:rPr>
          <w:rFonts w:ascii="Helvetica Neue" w:hAnsi="Helvetica Neue"/>
          <w:b/>
          <w:color w:val="082A4A"/>
          <w:sz w:val="27"/>
        </w:rPr>
        <w:t>4 Frontend Architecture and Interaction Flow</w:t>
      </w:r>
    </w:p>
    <w:p>
      <w:pPr>
        <w:spacing w:before="20" w:after="140"/>
        <w:pBdr>
          <w:bottom w:val="single" w:sz="8" w:space="1" w:color="C9D8E5"/>
        </w:pBdr>
      </w:pPr>
    </w:p>
    <w:p>
      <w:pPr>
        <w:spacing w:after="104" w:line="276" w:lineRule="auto"/>
        <w:jc w:val="both"/>
      </w:pPr>
      <w:r>
        <w:rPr>
          <w:rFonts w:ascii="Helvetica Neue" w:hAnsi="Helvetica Neue"/>
          <w:color w:val="263746"/>
          <w:sz w:val="18"/>
        </w:rPr>
        <w:t>The frontend is a single React application. main.tsx creates one React Query client and mounts App.tsx; Vite serves the application on port 5173. VITE_API_BASE_URL can override the API root, while the development default is http://127.0.0.1:8000/api/v1.</w:t>
      </w:r>
    </w:p>
    <w:p>
      <w:pPr>
        <w:pStyle w:val="Heading2"/>
        <w:keepNext/>
        <w:pageBreakBefore w:val="0"/>
        <w:spacing w:before="100" w:after="100"/>
      </w:pPr>
      <w:r>
        <w:rPr>
          <w:rFonts w:ascii="Helvetica Neue" w:hAnsi="Helvetica Neue"/>
          <w:b/>
          <w:color w:val="082A4A"/>
          <w:sz w:val="21"/>
        </w:rPr>
        <w:t>State and navigation</w:t>
      </w:r>
    </w:p>
    <w:p>
      <w:pPr>
        <w:spacing w:after="104" w:line="276" w:lineRule="auto"/>
        <w:jc w:val="both"/>
      </w:pPr>
      <w:r>
        <w:rPr>
          <w:rFonts w:ascii="Helvetica Neue" w:hAnsi="Helvetica Neue"/>
          <w:color w:val="263746"/>
          <w:sz w:val="18"/>
        </w:rPr>
        <w:t>The landing view presents the implemented modules. Navigation is controlled in React state rather than by a separate routing library. The health query polls GET /api/v1/health, giving the interface a simple indication that the backend is available.</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Frontend concern</w:t>
            </w:r>
          </w:p>
        </w:tc>
        <w:tc>
          <w:tcPr>
            <w:tcW w:type="dxa" w:w="78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Implementation behavior</w:t>
            </w:r>
          </w:p>
        </w:tc>
      </w:tr>
      <w:tr>
        <w:trPr>
          <w:cantSplit/>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Crop image form</w:t>
            </w:r>
          </w:p>
        </w:tc>
        <w:tc>
          <w:tcPr>
            <w:tcW w:type="dxa" w:w="78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Collects a file and optional expected crop, sends multipart FormData, blocks duplicate submission, and displays prediction, confidence, uncertainty, crop mismatch, supported conditions, and advisory text.</w:t>
            </w:r>
          </w:p>
        </w:tc>
      </w:tr>
      <w:tr>
        <w:trPr>
          <w:cantSplit/>
          <w:cantSplit/>
        </w:trPr>
        <w:tc>
          <w:tcPr>
            <w:tcW w:type="dxa" w:w="23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Chat form</w:t>
            </w:r>
          </w:p>
        </w:tc>
        <w:tc>
          <w:tcPr>
            <w:tcW w:type="dxa" w:w="784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Keeps local message bubbles, question text, submission state, error state, and returned conversation ID. Follow-up requests reuse the same ID.</w:t>
            </w:r>
          </w:p>
        </w:tc>
      </w:tr>
      <w:tr>
        <w:trPr>
          <w:cantSplit/>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Error display</w:t>
            </w:r>
          </w:p>
        </w:tc>
        <w:tc>
          <w:tcPr>
            <w:tcW w:type="dxa" w:w="784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Reads the backend JSON detail when available so model, validation, configuration, and provider errors are understandable.</w:t>
            </w:r>
          </w:p>
        </w:tc>
      </w:tr>
      <w:tr>
        <w:trPr>
          <w:cantSplit/>
          <w:cantSplit/>
        </w:trPr>
        <w:tc>
          <w:tcPr>
            <w:tcW w:type="dxa" w:w="23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Responsive layout</w:t>
            </w:r>
          </w:p>
        </w:tc>
        <w:tc>
          <w:tcPr>
            <w:tcW w:type="dxa" w:w="784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Tailwind utilities adapt forms and result sections across narrow and wide screens.</w:t>
            </w:r>
          </w:p>
        </w:tc>
      </w:tr>
    </w:tbl>
    <w:p>
      <w:pPr>
        <w:spacing w:after="0"/>
      </w:pPr>
    </w:p>
    <w:p>
      <w:pPr>
        <w:pStyle w:val="Heading2"/>
        <w:keepNext/>
        <w:pageBreakBefore w:val="0"/>
        <w:spacing w:before="100" w:after="100"/>
      </w:pPr>
      <w:r>
        <w:rPr>
          <w:rFonts w:ascii="Helvetica Neue" w:hAnsi="Helvetica Neue"/>
          <w:b/>
          <w:color w:val="082A4A"/>
          <w:sz w:val="21"/>
        </w:rPr>
        <w:t>Frontend request algorithm</w:t>
      </w:r>
    </w:p>
    <w:p>
      <w:pPr>
        <w:spacing w:after="80" w:line="269" w:lineRule="auto"/>
        <w:ind w:left="317" w:hanging="317"/>
      </w:pPr>
      <w:r>
        <w:rPr>
          <w:rFonts w:ascii="Helvetica Neue" w:hAnsi="Helvetica Neue"/>
          <w:b/>
          <w:color w:val="376C93"/>
          <w:sz w:val="18"/>
        </w:rPr>
        <w:t xml:space="preserve">1. </w:t>
      </w:r>
      <w:r>
        <w:rPr>
          <w:rFonts w:ascii="Helvetica Neue" w:hAnsi="Helvetica Neue"/>
          <w:b/>
          <w:color w:val="082A4A"/>
          <w:sz w:val="18"/>
        </w:rPr>
        <w:t xml:space="preserve">Validate local form state — </w:t>
      </w:r>
      <w:r>
        <w:rPr>
          <w:rFonts w:ascii="Helvetica Neue" w:hAnsi="Helvetica Neue"/>
          <w:color w:val="263746"/>
          <w:sz w:val="18"/>
        </w:rPr>
        <w:t>Require a selected image for crop health or a non-empty question for chat.</w:t>
      </w:r>
    </w:p>
    <w:p>
      <w:pPr>
        <w:spacing w:after="80" w:line="269" w:lineRule="auto"/>
        <w:ind w:left="317" w:hanging="317"/>
      </w:pPr>
      <w:r>
        <w:rPr>
          <w:rFonts w:ascii="Helvetica Neue" w:hAnsi="Helvetica Neue"/>
          <w:b/>
          <w:color w:val="376C93"/>
          <w:sz w:val="18"/>
        </w:rPr>
        <w:t xml:space="preserve">2. </w:t>
      </w:r>
      <w:r>
        <w:rPr>
          <w:rFonts w:ascii="Helvetica Neue" w:hAnsi="Helvetica Neue"/>
          <w:b/>
          <w:color w:val="082A4A"/>
          <w:sz w:val="18"/>
        </w:rPr>
        <w:t xml:space="preserve">Construct request — </w:t>
      </w:r>
      <w:r>
        <w:rPr>
          <w:rFonts w:ascii="Helvetica Neue" w:hAnsi="Helvetica Neue"/>
          <w:color w:val="263746"/>
          <w:sz w:val="18"/>
        </w:rPr>
        <w:t>Use multipart form data for an image; use JSON for the chatbot question and optional conversation ID.</w:t>
      </w:r>
    </w:p>
    <w:p>
      <w:pPr>
        <w:spacing w:after="80" w:line="269" w:lineRule="auto"/>
        <w:ind w:left="317" w:hanging="317"/>
      </w:pPr>
      <w:r>
        <w:rPr>
          <w:rFonts w:ascii="Helvetica Neue" w:hAnsi="Helvetica Neue"/>
          <w:b/>
          <w:color w:val="376C93"/>
          <w:sz w:val="18"/>
        </w:rPr>
        <w:t xml:space="preserve">3. </w:t>
      </w:r>
      <w:r>
        <w:rPr>
          <w:rFonts w:ascii="Helvetica Neue" w:hAnsi="Helvetica Neue"/>
          <w:b/>
          <w:color w:val="082A4A"/>
          <w:sz w:val="18"/>
        </w:rPr>
        <w:t xml:space="preserve">Enter pending state — </w:t>
      </w:r>
      <w:r>
        <w:rPr>
          <w:rFonts w:ascii="Helvetica Neue" w:hAnsi="Helvetica Neue"/>
          <w:color w:val="263746"/>
          <w:sz w:val="18"/>
        </w:rPr>
        <w:t>Disable the submit action and show an analysis or thinking indicator.</w:t>
      </w:r>
    </w:p>
    <w:p>
      <w:pPr>
        <w:spacing w:after="80" w:line="269" w:lineRule="auto"/>
        <w:ind w:left="317" w:hanging="317"/>
      </w:pPr>
      <w:r>
        <w:rPr>
          <w:rFonts w:ascii="Helvetica Neue" w:hAnsi="Helvetica Neue"/>
          <w:b/>
          <w:color w:val="376C93"/>
          <w:sz w:val="18"/>
        </w:rPr>
        <w:t xml:space="preserve">4. </w:t>
      </w:r>
      <w:r>
        <w:rPr>
          <w:rFonts w:ascii="Helvetica Neue" w:hAnsi="Helvetica Neue"/>
          <w:b/>
          <w:color w:val="082A4A"/>
          <w:sz w:val="18"/>
        </w:rPr>
        <w:t xml:space="preserve">Interpret response — </w:t>
      </w:r>
      <w:r>
        <w:rPr>
          <w:rFonts w:ascii="Helvetica Neue" w:hAnsi="Helvetica Neue"/>
          <w:color w:val="263746"/>
          <w:sz w:val="18"/>
        </w:rPr>
        <w:t>Parse JSON, update result state, and retain the returned chatbot conversation ID.</w:t>
      </w:r>
    </w:p>
    <w:p>
      <w:pPr>
        <w:spacing w:after="80" w:line="269" w:lineRule="auto"/>
        <w:ind w:left="317" w:hanging="317"/>
      </w:pPr>
      <w:r>
        <w:rPr>
          <w:rFonts w:ascii="Helvetica Neue" w:hAnsi="Helvetica Neue"/>
          <w:b/>
          <w:color w:val="376C93"/>
          <w:sz w:val="18"/>
        </w:rPr>
        <w:t xml:space="preserve">5. </w:t>
      </w:r>
      <w:r>
        <w:rPr>
          <w:rFonts w:ascii="Helvetica Neue" w:hAnsi="Helvetica Neue"/>
          <w:b/>
          <w:color w:val="082A4A"/>
          <w:sz w:val="18"/>
        </w:rPr>
        <w:t xml:space="preserve">Surface failure — </w:t>
      </w:r>
      <w:r>
        <w:rPr>
          <w:rFonts w:ascii="Helvetica Neue" w:hAnsi="Helvetica Neue"/>
          <w:color w:val="263746"/>
          <w:sz w:val="18"/>
        </w:rPr>
        <w:t>Display the backend detail without exposing stack traces or secrets.</w:t>
      </w:r>
    </w:p>
    <w:p>
      <w:r>
        <w:br w:type="page"/>
      </w:r>
    </w:p>
    <w:p>
      <w:pPr>
        <w:pStyle w:val="Heading1"/>
        <w:keepNext/>
        <w:pageBreakBefore w:val="0"/>
        <w:spacing w:before="140" w:after="100"/>
      </w:pPr>
      <w:r>
        <w:rPr>
          <w:rFonts w:ascii="Helvetica Neue" w:hAnsi="Helvetica Neue"/>
          <w:b/>
          <w:color w:val="082A4A"/>
          <w:sz w:val="27"/>
        </w:rPr>
        <w:t>5 Backend Architecture APIs and Transactions</w:t>
      </w:r>
    </w:p>
    <w:p>
      <w:pPr>
        <w:spacing w:before="20" w:after="140"/>
        <w:pBdr>
          <w:bottom w:val="single" w:sz="8" w:space="1" w:color="C9D8E5"/>
        </w:pBdr>
      </w:pPr>
    </w:p>
    <w:p>
      <w:pPr>
        <w:spacing w:after="104" w:line="276" w:lineRule="auto"/>
        <w:jc w:val="both"/>
      </w:pPr>
      <w:r>
        <w:rPr>
          <w:rFonts w:ascii="Helvetica Neue" w:hAnsi="Helvetica Neue"/>
          <w:color w:val="263746"/>
          <w:sz w:val="18"/>
        </w:rPr>
        <w:t>FastAPI owns the /api/v1 namespace. Pydantic models validate structured input and output, dependency injection provides one SQLAlchemy session per request, and the database dependency commits on success, rolls back on any exception, and always closes the session. CORS is limited by configuration to the local Vite origins.</w:t>
      </w: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val="true"/>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Endpoint</w:t>
            </w:r>
          </w:p>
        </w:tc>
        <w:tc>
          <w:tcPr>
            <w:tcW w:type="dxa" w:w="25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Request</w:t>
            </w:r>
          </w:p>
        </w:tc>
        <w:tc>
          <w:tcPr>
            <w:tcW w:type="dxa" w:w="35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Success response</w:t>
            </w:r>
          </w:p>
        </w:tc>
        <w:tc>
          <w:tcPr>
            <w:tcW w:type="dxa" w:w="19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Purpose</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GET /api/v1/health</w:t>
            </w:r>
          </w:p>
        </w:tc>
        <w:tc>
          <w:tcPr>
            <w:tcW w:type="dxa" w:w="25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None</w:t>
            </w:r>
          </w:p>
        </w:tc>
        <w:tc>
          <w:tcPr>
            <w:tcW w:type="dxa" w:w="35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Service-ready JSON</w:t>
            </w:r>
          </w:p>
        </w:tc>
        <w:tc>
          <w:tcPr>
            <w:tcW w:type="dxa" w:w="19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Frontend and operator readiness check</w:t>
            </w:r>
          </w:p>
        </w:tc>
      </w:tr>
      <w:tr>
        <w:trPr>
          <w:cantSplit/>
          <w:cantSplit/>
        </w:trPr>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POST /api/v1/health/predict</w:t>
            </w:r>
          </w:p>
        </w:tc>
        <w:tc>
          <w:tcPr>
            <w:tcW w:type="dxa" w:w="252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Multipart image plus optional crop_hint</w:t>
            </w:r>
          </w:p>
        </w:tc>
        <w:tc>
          <w:tcPr>
            <w:tcW w:type="dxa" w:w="35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201 with scan ID, label, score, uncertainty, crop comparison, model version and advisory</w:t>
            </w:r>
          </w:p>
        </w:tc>
        <w:tc>
          <w:tcPr>
            <w:tcW w:type="dxa" w:w="19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Run guarded MobileNetV2 inference and persist an audit record</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POST /api/v1/advisor/chat</w:t>
            </w:r>
          </w:p>
        </w:tc>
        <w:tc>
          <w:tcPr>
            <w:tcW w:type="dxa" w:w="25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JSON question and optional conversation_id</w:t>
            </w:r>
          </w:p>
        </w:tc>
        <w:tc>
          <w:tcPr>
            <w:tcW w:type="dxa" w:w="35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201 with conversation ID, message ID, answer, model and disclaimer</w:t>
            </w:r>
          </w:p>
        </w:tc>
        <w:tc>
          <w:tcPr>
            <w:tcW w:type="dxa" w:w="19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Generate and persist a context-aware Gemini answer</w:t>
            </w:r>
          </w:p>
        </w:tc>
      </w:tr>
    </w:tbl>
    <w:p>
      <w:pPr>
        <w:spacing w:after="0"/>
      </w:pPr>
    </w:p>
    <w:p>
      <w:pPr>
        <w:pStyle w:val="Heading2"/>
        <w:keepNext/>
        <w:pageBreakBefore w:val="0"/>
        <w:spacing w:before="100" w:after="100"/>
      </w:pPr>
      <w:r>
        <w:rPr>
          <w:rFonts w:ascii="Helvetica Neue" w:hAnsi="Helvetica Neue"/>
          <w:b/>
          <w:color w:val="082A4A"/>
          <w:sz w:val="21"/>
        </w:rPr>
        <w:t>Contract and consistency guarantees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Request bounds are enforced before domain work: chatbot questions are 2–2000 characters; crop hints must name Tomato, Potato, Maize, or Grape; upload media types are PNG, JPEG, or WebP.</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A successful request is committed after the endpoint returns. Any endpoint or service exception causes the session dependency to roll back.</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Requests are not idempotent. Repeating a successful prediction or chat creates a new UUID-backed audit record; clients should prevent accidental double submission.</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The model version and provider model are stored with outputs so a record can be interpreted against the implementation that produced it.</w:t>
      </w:r>
    </w:p>
    <w:p>
      <w:r>
        <w:br w:type="page"/>
      </w:r>
    </w:p>
    <w:p>
      <w:pPr>
        <w:pStyle w:val="Heading1"/>
        <w:keepNext/>
        <w:pageBreakBefore w:val="0"/>
        <w:spacing w:before="140" w:after="100"/>
      </w:pPr>
      <w:r>
        <w:rPr>
          <w:rFonts w:ascii="Helvetica Neue" w:hAnsi="Helvetica Neue"/>
          <w:b/>
          <w:color w:val="082A4A"/>
          <w:sz w:val="27"/>
        </w:rPr>
        <w:t>6 Module 1 Crop Health Intelligence</w:t>
      </w:r>
    </w:p>
    <w:p>
      <w:pPr>
        <w:spacing w:before="20" w:after="140"/>
        <w:pBdr>
          <w:bottom w:val="single" w:sz="8" w:space="1" w:color="C9D8E5"/>
        </w:pBdr>
      </w:pPr>
    </w:p>
    <w:p>
      <w:pPr>
        <w:spacing w:after="104" w:line="276" w:lineRule="auto"/>
        <w:jc w:val="both"/>
      </w:pPr>
      <w:r>
        <w:rPr>
          <w:rFonts w:ascii="Helvetica Neue" w:hAnsi="Helvetica Neue"/>
          <w:color w:val="263746"/>
          <w:sz w:val="18"/>
        </w:rPr>
        <w:t>The module performs closed-set image classification across ten crop-condition labels. The expected crop selected by the user is a cross-check only; it never forces the model into a crop-specific subset because that could convert a wrong-crop image into a misleading disease label.</w:t>
      </w:r>
    </w:p>
    <w:p>
      <w:pPr>
        <w:pStyle w:val="Heading2"/>
        <w:keepNext/>
        <w:pageBreakBefore w:val="0"/>
        <w:spacing w:before="100" w:after="100"/>
      </w:pPr>
      <w:r>
        <w:rPr>
          <w:rFonts w:ascii="Helvetica Neue" w:hAnsi="Helvetica Neue"/>
          <w:b/>
          <w:color w:val="082A4A"/>
          <w:sz w:val="21"/>
        </w:rPr>
        <w:t>Inference pipeline</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Step</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Processing</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Guard or output</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1 Receive</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Read multipart file and optional crop hint</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Only JPEG, PNG, WebP; supported hint vocabulary</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2 Size and decode</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Require non-empty payload ≤10 MB; Pillow verifies and decodes</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Invalid or unreadable files return 422</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3 Colour check</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Sample RGB chroma; reject grayscale modes or average channel spread &lt;4.0</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Prevents colour information absent from training from being silently invented</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4 Geometry</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Require both dimensions to be at least 128 pixels</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Rejects images too small for useful detail</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5 Vegetation check</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Estimate HSV plant-colour ratio with hue 24–105, saturation ≥35, value ≥24</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Require ratio ≥0.08</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6 Natural-image check</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Measure nearly identical horizontal/vertical neighbours after 128×128 sampling</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Reject ratio &gt;0.58 as flat, blurred, or illustration-like</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7 Transform</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Resize 256, center-crop 224, float conversion, ImageNet normalization</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Tensor shape 1×3×224×224</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8 Inference</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Load cached checkpoint, acquire inference lock, disable gradients, compute logits and softmax</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Highest probability is the closest supported label</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9 Safety interpretation</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Compare predicted crop with hint and score with 0.75 threshold</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Mismatch or low score marks result uncertain</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10 Persist and respond</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Store SHA-256 image reference, labels, score, mismatch and model version</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Image bytes are not stored</w:t>
            </w:r>
          </w:p>
        </w:tc>
      </w:tr>
    </w:tbl>
    <w:p>
      <w:pPr>
        <w:spacing w:after="0"/>
      </w:pPr>
    </w:p>
    <w:p>
      <w:pPr>
        <w:spacing w:before="20" w:after="140"/>
        <w:jc w:val="center"/>
      </w:pPr>
      <w:r>
        <w:rPr>
          <w:rFonts w:ascii="Helvetica Neue" w:hAnsi="Helvetica Neue"/>
          <w:i/>
          <w:color w:val="5B7085"/>
          <w:sz w:val="15"/>
        </w:rPr>
        <w:t>Figure 3  Crop-health request pipeline from upload boundary to audited response.</w:t>
      </w:r>
    </w:p>
    <w:p>
      <w:pPr>
        <w:pStyle w:val="Heading2"/>
        <w:keepNext/>
        <w:pageBreakBefore w:val="0"/>
        <w:spacing w:before="100" w:after="100"/>
      </w:pPr>
      <w:r>
        <w:rPr>
          <w:rFonts w:ascii="Helvetica Neue" w:hAnsi="Helvetica Neue"/>
          <w:b/>
          <w:color w:val="082A4A"/>
          <w:sz w:val="21"/>
        </w:rPr>
        <w:t>Input guard algorithms</w:t>
      </w:r>
    </w:p>
    <w:p>
      <w:pPr>
        <w:spacing w:after="104" w:line="276" w:lineRule="auto"/>
        <w:jc w:val="both"/>
      </w:pPr>
      <w:r>
        <w:rPr>
          <w:rFonts w:ascii="Helvetica Neue" w:hAnsi="Helvetica Neue"/>
          <w:color w:val="263746"/>
          <w:sz w:val="18"/>
        </w:rPr>
        <w:t>The colour check calculates the average per-pixel channel spread, mean(max(R,G,B) − min(R,G,B)), on a thumbnail. A very small spread indicates grayscale data even if the file technically has three channels.</w:t>
      </w:r>
    </w:p>
    <w:p>
      <w:pPr>
        <w:spacing w:after="104" w:line="276" w:lineRule="auto"/>
        <w:jc w:val="both"/>
      </w:pPr>
      <w:r>
        <w:rPr>
          <w:rFonts w:ascii="Helvetica Neue" w:hAnsi="Helvetica Neue"/>
          <w:color w:val="263746"/>
          <w:sz w:val="18"/>
        </w:rPr>
        <w:t>The vegetation heuristic converts a small sample to HSV and counts pixels inside a broad green/yellow-green range. The ratio is plant_pixels ÷ total_pixels. It is a conservative pre-classifier screen, not a botanical segmentation model.</w:t>
      </w:r>
    </w:p>
    <w:p>
      <w:pPr>
        <w:spacing w:after="104" w:line="276" w:lineRule="auto"/>
        <w:jc w:val="both"/>
      </w:pPr>
      <w:r>
        <w:rPr>
          <w:rFonts w:ascii="Helvetica Neue" w:hAnsi="Helvetica Neue"/>
          <w:color w:val="263746"/>
          <w:sz w:val="18"/>
        </w:rPr>
        <w:t>The flat-neighbour heuristic compares adjacent RGB pixels. If the sum of absolute channel differences is below 9, that pair is counted as nearly identical. A ratio above 0.58 suggests large flat regions typical of drawings or severely blurred images. These rules block obvious misuse but do not provide a learned out-of-distribution guarantee.</w:t>
      </w:r>
    </w:p>
    <w:p>
      <w:r>
        <w:br w:type="page"/>
      </w:r>
    </w:p>
    <w:p>
      <w:pPr>
        <w:pStyle w:val="Heading1"/>
        <w:keepNext/>
        <w:pageBreakBefore w:val="0"/>
        <w:spacing w:before="140" w:after="100"/>
      </w:pPr>
      <w:r>
        <w:rPr>
          <w:rFonts w:ascii="Helvetica Neue" w:hAnsi="Helvetica Neue"/>
          <w:b/>
          <w:color w:val="082A4A"/>
          <w:sz w:val="27"/>
        </w:rPr>
        <w:t>7 Dataset Preparation and Experimental Methodology</w:t>
      </w:r>
    </w:p>
    <w:p>
      <w:pPr>
        <w:spacing w:before="20" w:after="140"/>
        <w:pBdr>
          <w:bottom w:val="single" w:sz="8" w:space="1" w:color="C9D8E5"/>
        </w:pBdr>
      </w:pPr>
    </w:p>
    <w:p>
      <w:pPr>
        <w:spacing w:after="104" w:line="276" w:lineRule="auto"/>
        <w:jc w:val="both"/>
      </w:pPr>
      <w:r>
        <w:rPr>
          <w:rFonts w:ascii="Helvetica Neue" w:hAnsi="Helvetica Neue"/>
          <w:color w:val="263746"/>
          <w:sz w:val="18"/>
        </w:rPr>
        <w:t>The training dataset is a ten-class colour subset of PlantVillage. Raw images and generated processed copies remain outside Git. The preparation script selects the approved source folders, copies them into stable label directories, assigns deterministic class indices, and writes a source manifest with SHA-256 checksums. The tracked split manifest supplies reproducible train, validation, and test membership.</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val="true"/>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Class</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Train</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Validation</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Test</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Total</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Tomato Healthy</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1,113</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239</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239</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1,591</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Tomato Early Blight</w:t>
            </w:r>
          </w:p>
        </w:tc>
        <w:tc>
          <w:tcPr>
            <w:tcW w:type="dxa" w:w="15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700</w:t>
            </w:r>
          </w:p>
        </w:tc>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7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1,000</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Tomato Late Blight</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1,337</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286</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286</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1,909</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Potato Healthy</w:t>
            </w:r>
          </w:p>
        </w:tc>
        <w:tc>
          <w:tcPr>
            <w:tcW w:type="dxa" w:w="15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106</w:t>
            </w:r>
          </w:p>
        </w:tc>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23</w:t>
            </w:r>
          </w:p>
        </w:tc>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23</w:t>
            </w:r>
          </w:p>
        </w:tc>
        <w:tc>
          <w:tcPr>
            <w:tcW w:type="dxa" w:w="17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152</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Potato Early Blight</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700</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1,000</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Potato Late Blight</w:t>
            </w:r>
          </w:p>
        </w:tc>
        <w:tc>
          <w:tcPr>
            <w:tcW w:type="dxa" w:w="15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700</w:t>
            </w:r>
          </w:p>
        </w:tc>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150</w:t>
            </w:r>
          </w:p>
        </w:tc>
        <w:tc>
          <w:tcPr>
            <w:tcW w:type="dxa" w:w="17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1,000</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Maize Healthy</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814</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174</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174</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1,162</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Maize Common Rust</w:t>
            </w:r>
          </w:p>
        </w:tc>
        <w:tc>
          <w:tcPr>
            <w:tcW w:type="dxa" w:w="15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834</w:t>
            </w:r>
          </w:p>
        </w:tc>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179</w:t>
            </w:r>
          </w:p>
        </w:tc>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179</w:t>
            </w:r>
          </w:p>
        </w:tc>
        <w:tc>
          <w:tcPr>
            <w:tcW w:type="dxa" w:w="17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1,192</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Grape Healthy</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297</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63</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63</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423</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Grape Black Rot</w:t>
            </w:r>
          </w:p>
        </w:tc>
        <w:tc>
          <w:tcPr>
            <w:tcW w:type="dxa" w:w="158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826</w:t>
            </w:r>
          </w:p>
        </w:tc>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177</w:t>
            </w:r>
          </w:p>
        </w:tc>
        <w:tc>
          <w:tcPr>
            <w:tcW w:type="dxa" w:w="15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177</w:t>
            </w:r>
          </w:p>
        </w:tc>
        <w:tc>
          <w:tcPr>
            <w:tcW w:type="dxa" w:w="172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1,180</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Total</w:t>
            </w:r>
          </w:p>
        </w:tc>
        <w:tc>
          <w:tcPr>
            <w:tcW w:type="dxa" w:w="158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7,427</w:t>
            </w:r>
          </w:p>
        </w:tc>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1,591</w:t>
            </w:r>
          </w:p>
        </w:tc>
        <w:tc>
          <w:tcPr>
            <w:tcW w:type="dxa" w:w="15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1,591</w:t>
            </w:r>
          </w:p>
        </w:tc>
        <w:tc>
          <w:tcPr>
            <w:tcW w:type="dxa" w:w="172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10,609</w:t>
            </w:r>
          </w:p>
        </w:tc>
      </w:tr>
    </w:tbl>
    <w:p>
      <w:pPr>
        <w:spacing w:after="0"/>
      </w:pPr>
    </w:p>
    <w:p>
      <w:pPr>
        <w:spacing w:before="20" w:after="140"/>
        <w:jc w:val="center"/>
      </w:pPr>
      <w:r>
        <w:rPr>
          <w:rFonts w:ascii="Helvetica Neue" w:hAnsi="Helvetica Neue"/>
          <w:i/>
          <w:color w:val="5B7085"/>
          <w:sz w:val="15"/>
        </w:rPr>
        <w:t>Table 1  Deterministic class-wise split using seed 20260912 and a 70/15/15 allocation.</w:t>
      </w:r>
    </w:p>
    <w:p>
      <w:pPr>
        <w:pStyle w:val="Heading2"/>
        <w:keepNext/>
        <w:pageBreakBefore w:val="0"/>
        <w:spacing w:before="100" w:after="100"/>
      </w:pPr>
      <w:r>
        <w:rPr>
          <w:rFonts w:ascii="Helvetica Neue" w:hAnsi="Helvetica Neue"/>
          <w:b/>
          <w:color w:val="082A4A"/>
          <w:sz w:val="21"/>
        </w:rPr>
        <w:t>Data separation and leakage control</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Each class is sorted, shuffled with the fixed seed, and allocated independently so every class appears in all three splits.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Validation data selects the best checkpoint through macro-F1. Test data is evaluated only after the winning checkpoint is reloaded.</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Consented field images, if collected, belong only in a separate external-test directory and are not mixed into training.</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The class distribution is imbalanced—especially Potato Healthy—so macro-F1 is reported alongside accuracy to give every class equal metric weight.</w:t>
      </w:r>
    </w:p>
    <w:p>
      <w:r>
        <w:br w:type="page"/>
      </w:r>
    </w:p>
    <w:p>
      <w:pPr>
        <w:pStyle w:val="Heading1"/>
        <w:keepNext/>
        <w:pageBreakBefore w:val="0"/>
        <w:spacing w:before="140" w:after="100"/>
      </w:pPr>
      <w:r>
        <w:rPr>
          <w:rFonts w:ascii="Helvetica Neue" w:hAnsi="Helvetica Neue"/>
          <w:b/>
          <w:color w:val="082A4A"/>
          <w:sz w:val="27"/>
        </w:rPr>
        <w:t>8 MobileNetV2 Methodology and Training Algorithm</w:t>
      </w:r>
    </w:p>
    <w:p>
      <w:pPr>
        <w:spacing w:before="20" w:after="140"/>
        <w:pBdr>
          <w:bottom w:val="single" w:sz="8" w:space="1" w:color="C9D8E5"/>
        </w:pBdr>
      </w:pPr>
    </w:p>
    <w:p>
      <w:pPr>
        <w:spacing w:after="104" w:line="276" w:lineRule="auto"/>
        <w:jc w:val="both"/>
      </w:pPr>
      <w:r>
        <w:rPr>
          <w:rFonts w:ascii="Helvetica Neue" w:hAnsi="Helvetica Neue"/>
          <w:color w:val="263746"/>
          <w:sz w:val="18"/>
        </w:rPr>
        <w:t>MobileNetV2 is used through transfer learning. Its depthwise-separable convolution blocks provide a compact feature extractor suitable for CPU inference. An ImageNet-pretrained backbone supplies general visual features, while the final classifier is replaced with a ten-output linear layer for the KrishiMitra labels.</w:t>
      </w:r>
    </w:p>
    <w:p>
      <w:pPr>
        <w:pStyle w:val="Heading2"/>
        <w:keepNext/>
        <w:pageBreakBefore w:val="0"/>
        <w:spacing w:before="100" w:after="100"/>
      </w:pPr>
      <w:r>
        <w:rPr>
          <w:rFonts w:ascii="Helvetica Neue" w:hAnsi="Helvetica Neue"/>
          <w:b/>
          <w:color w:val="082A4A"/>
          <w:sz w:val="21"/>
        </w:rPr>
        <w:t>Preprocessing and augmentation</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Phase</w:t>
            </w:r>
          </w:p>
        </w:tc>
        <w:tc>
          <w:tcPr>
            <w:tcW w:type="dxa" w:w="59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Transform sequence</w:t>
            </w:r>
          </w:p>
        </w:tc>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Purpose</w:t>
            </w:r>
          </w:p>
        </w:tc>
      </w:tr>
      <w:tr>
        <w:trPr>
          <w:cantSplit/>
          <w:cantSplit/>
        </w:trPr>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Training</w:t>
            </w:r>
          </w:p>
        </w:tc>
        <w:tc>
          <w:tcPr>
            <w:tcW w:type="dxa" w:w="59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Resize 256 → random resized crop 224 at scale 0.85–1.0 → horizontal flip → rotation ±12° → brightness/contrast jitter 0.15 → float tensor → ImageNet normalization</w:t>
            </w:r>
          </w:p>
        </w:tc>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Introduce controlled spatial and lighting variation while matching pretrained feature statistics</w:t>
            </w:r>
          </w:p>
        </w:tc>
      </w:tr>
      <w:tr>
        <w:trPr>
          <w:cantSplit/>
          <w:cantSplit/>
        </w:trPr>
        <w:tc>
          <w:tcPr>
            <w:tcW w:type="dxa" w:w="16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Validation and test</w:t>
            </w:r>
          </w:p>
        </w:tc>
        <w:tc>
          <w:tcPr>
            <w:tcW w:type="dxa" w:w="59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Resize 256 → center crop 224 → float tensor → ImageNet normalization</w:t>
            </w:r>
          </w:p>
        </w:tc>
        <w:tc>
          <w:tcPr>
            <w:tcW w:type="dxa" w:w="25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Provide deterministic evaluation</w:t>
            </w:r>
          </w:p>
        </w:tc>
      </w:tr>
      <w:tr>
        <w:trPr>
          <w:cantSplit/>
          <w:cantSplit/>
        </w:trPr>
        <w:tc>
          <w:tcPr>
            <w:tcW w:type="dxa" w:w="16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Runtime inference</w:t>
            </w:r>
          </w:p>
        </w:tc>
        <w:tc>
          <w:tcPr>
            <w:tcW w:type="dxa" w:w="59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Same deterministic evaluation transform</w:t>
            </w:r>
          </w:p>
        </w:tc>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Keep deployed inputs aligned with evaluation</w:t>
            </w:r>
          </w:p>
        </w:tc>
      </w:tr>
    </w:tbl>
    <w:p>
      <w:pPr>
        <w:spacing w:after="0"/>
      </w:pPr>
    </w:p>
    <w:p>
      <w:pPr>
        <w:pStyle w:val="Heading2"/>
        <w:keepNext/>
        <w:pageBreakBefore w:val="0"/>
        <w:spacing w:before="100" w:after="100"/>
      </w:pPr>
      <w:r>
        <w:rPr>
          <w:rFonts w:ascii="Helvetica Neue" w:hAnsi="Helvetica Neue"/>
          <w:b/>
          <w:color w:val="082A4A"/>
          <w:sz w:val="21"/>
        </w:rPr>
        <w:t>Two-stage optimization</w:t>
      </w:r>
    </w:p>
    <w:p>
      <w:pPr>
        <w:spacing w:after="80" w:line="269" w:lineRule="auto"/>
        <w:ind w:left="317" w:hanging="317"/>
      </w:pPr>
      <w:r>
        <w:rPr>
          <w:rFonts w:ascii="Helvetica Neue" w:hAnsi="Helvetica Neue"/>
          <w:b/>
          <w:color w:val="376C93"/>
          <w:sz w:val="18"/>
        </w:rPr>
        <w:t xml:space="preserve">1. </w:t>
      </w:r>
      <w:r>
        <w:rPr>
          <w:rFonts w:ascii="Helvetica Neue" w:hAnsi="Helvetica Neue"/>
          <w:b/>
          <w:color w:val="082A4A"/>
          <w:sz w:val="18"/>
        </w:rPr>
        <w:t xml:space="preserve">Initialize — </w:t>
      </w:r>
      <w:r>
        <w:rPr>
          <w:rFonts w:ascii="Helvetica Neue" w:hAnsi="Helvetica Neue"/>
          <w:color w:val="263746"/>
          <w:sz w:val="18"/>
        </w:rPr>
        <w:t>Load ImageNet weights and replace the final classification layer with a ten-class linear head.</w:t>
      </w:r>
    </w:p>
    <w:p>
      <w:pPr>
        <w:spacing w:after="80" w:line="269" w:lineRule="auto"/>
        <w:ind w:left="317" w:hanging="317"/>
      </w:pPr>
      <w:r>
        <w:rPr>
          <w:rFonts w:ascii="Helvetica Neue" w:hAnsi="Helvetica Neue"/>
          <w:b/>
          <w:color w:val="376C93"/>
          <w:sz w:val="18"/>
        </w:rPr>
        <w:t xml:space="preserve">2. </w:t>
      </w:r>
      <w:r>
        <w:rPr>
          <w:rFonts w:ascii="Helvetica Neue" w:hAnsi="Helvetica Neue"/>
          <w:b/>
          <w:color w:val="082A4A"/>
          <w:sz w:val="18"/>
        </w:rPr>
        <w:t xml:space="preserve">Head training — </w:t>
      </w:r>
      <w:r>
        <w:rPr>
          <w:rFonts w:ascii="Helvetica Neue" w:hAnsi="Helvetica Neue"/>
          <w:color w:val="263746"/>
          <w:sz w:val="18"/>
        </w:rPr>
        <w:t>Freeze all feature parameters and train only the new head for 3 epochs with AdamW, learning rate 0.001, weight decay 0.0001, batch size 32, and cross-entropy loss.</w:t>
      </w:r>
    </w:p>
    <w:p>
      <w:pPr>
        <w:spacing w:after="80" w:line="269" w:lineRule="auto"/>
        <w:ind w:left="317" w:hanging="317"/>
      </w:pPr>
      <w:r>
        <w:rPr>
          <w:rFonts w:ascii="Helvetica Neue" w:hAnsi="Helvetica Neue"/>
          <w:b/>
          <w:color w:val="376C93"/>
          <w:sz w:val="18"/>
        </w:rPr>
        <w:t xml:space="preserve">3. </w:t>
      </w:r>
      <w:r>
        <w:rPr>
          <w:rFonts w:ascii="Helvetica Neue" w:hAnsi="Helvetica Neue"/>
          <w:b/>
          <w:color w:val="082A4A"/>
          <w:sz w:val="18"/>
        </w:rPr>
        <w:t xml:space="preserve">Fine tuning — </w:t>
      </w:r>
      <w:r>
        <w:rPr>
          <w:rFonts w:ascii="Helvetica Neue" w:hAnsi="Helvetica Neue"/>
          <w:color w:val="263746"/>
          <w:sz w:val="18"/>
        </w:rPr>
        <w:t>Unfreeze the last four feature blocks and train for 7 more epochs at one-tenth the learning rate, 0.0001.</w:t>
      </w:r>
    </w:p>
    <w:p>
      <w:pPr>
        <w:spacing w:after="80" w:line="269" w:lineRule="auto"/>
        <w:ind w:left="317" w:hanging="317"/>
      </w:pPr>
      <w:r>
        <w:rPr>
          <w:rFonts w:ascii="Helvetica Neue" w:hAnsi="Helvetica Neue"/>
          <w:b/>
          <w:color w:val="376C93"/>
          <w:sz w:val="18"/>
        </w:rPr>
        <w:t xml:space="preserve">4. </w:t>
      </w:r>
      <w:r>
        <w:rPr>
          <w:rFonts w:ascii="Helvetica Neue" w:hAnsi="Helvetica Neue"/>
          <w:b/>
          <w:color w:val="082A4A"/>
          <w:sz w:val="18"/>
        </w:rPr>
        <w:t xml:space="preserve">Model selection — </w:t>
      </w:r>
      <w:r>
        <w:rPr>
          <w:rFonts w:ascii="Helvetica Neue" w:hAnsi="Helvetica Neue"/>
          <w:color w:val="263746"/>
          <w:sz w:val="18"/>
        </w:rPr>
        <w:t>After every epoch, compute validation metrics and save the state dictionary only when validation macro-F1 improves.</w:t>
      </w:r>
    </w:p>
    <w:p>
      <w:pPr>
        <w:spacing w:after="80" w:line="269" w:lineRule="auto"/>
        <w:ind w:left="317" w:hanging="317"/>
      </w:pPr>
      <w:r>
        <w:rPr>
          <w:rFonts w:ascii="Helvetica Neue" w:hAnsi="Helvetica Neue"/>
          <w:b/>
          <w:color w:val="376C93"/>
          <w:sz w:val="18"/>
        </w:rPr>
        <w:t xml:space="preserve">5. </w:t>
      </w:r>
      <w:r>
        <w:rPr>
          <w:rFonts w:ascii="Helvetica Neue" w:hAnsi="Helvetica Neue"/>
          <w:b/>
          <w:color w:val="082A4A"/>
          <w:sz w:val="18"/>
        </w:rPr>
        <w:t xml:space="preserve">Final evaluation — </w:t>
      </w:r>
      <w:r>
        <w:rPr>
          <w:rFonts w:ascii="Helvetica Neue" w:hAnsi="Helvetica Neue"/>
          <w:color w:val="263746"/>
          <w:sz w:val="18"/>
        </w:rPr>
        <w:t>Reload the best state and evaluate the untouched test split, including accuracy, macro precision/recall/F1, per-class metrics, and per-image device latency.</w:t>
      </w:r>
    </w:p>
    <w:p>
      <w:pPr>
        <w:pStyle w:val="Heading2"/>
        <w:keepNext/>
        <w:pageBreakBefore w:val="0"/>
        <w:spacing w:before="100" w:after="100"/>
      </w:pPr>
      <w:r>
        <w:rPr>
          <w:rFonts w:ascii="Helvetica Neue" w:hAnsi="Helvetica Neue"/>
          <w:b/>
          <w:color w:val="082A4A"/>
          <w:sz w:val="21"/>
        </w:rPr>
        <w:t>Inference decision rule</w:t>
      </w:r>
    </w:p>
    <w:tbl>
      <w:tblPr>
        <w:tblW w:type="auto" w:w="0"/>
        <w:jc w:val="center"/>
        <w:tblLook w:firstColumn="1" w:firstRow="1" w:lastColumn="0" w:lastRow="0" w:noHBand="0" w:noVBand="1" w:val="04A0"/>
      </w:tblPr>
      <w:tblGrid>
        <w:gridCol w:w="10224"/>
      </w:tblGrid>
      <w:tr>
        <w:tc>
          <w:tcPr>
            <w:tcW w:type="dxa" w:w="10224"/>
            <w:shd w:fill="F3F5F7"/>
            <w:tcBorders>
              <w:top w:val="single" w:sz="5" w:space="0" w:color="D5DEE6"/>
              <w:left w:val="single" w:sz="5" w:space="0" w:color="D5DEE6"/>
              <w:bottom w:val="single" w:sz="5" w:space="0" w:color="D5DEE6"/>
              <w:right w:val="single" w:sz="5" w:space="0" w:color="D5DEE6"/>
              <w:insideH w:val="single" w:sz="5" w:space="0" w:color="D5DEE6"/>
              <w:insideV w:val="single" w:sz="5" w:space="0" w:color="D5DEE6"/>
            </w:tcBorders>
            <w:tcMar>
              <w:top w:w="130" w:type="dxa"/>
              <w:start w:w="150" w:type="dxa"/>
              <w:bottom w:w="130" w:type="dxa"/>
              <w:end w:w="150" w:type="dxa"/>
            </w:tcMar>
          </w:tcPr>
          <w:p>
            <w:pPr>
              <w:spacing w:after="0" w:line="240" w:lineRule="auto"/>
            </w:pPr>
            <w:r/>
            <w:r>
              <w:rPr>
                <w:rFonts w:ascii="Consolas" w:hAnsi="Consolas"/>
                <w:color w:val="263746"/>
                <w:sz w:val="15"/>
              </w:rPr>
              <w:t>logits = MobileNetV2(normalized_image)</w:t>
            </w:r>
            <w:r>
              <w:br/>
            </w:r>
            <w:r>
              <w:rPr>
                <w:rFonts w:ascii="Consolas" w:hAnsi="Consolas"/>
                <w:color w:val="263746"/>
                <w:sz w:val="15"/>
              </w:rPr>
              <w:t>p_i = exp(logit_i) / Σ_j exp(logit_j)</w:t>
            </w:r>
            <w:r>
              <w:br/>
            </w:r>
            <w:r>
              <w:rPr>
                <w:rFonts w:ascii="Consolas" w:hAnsi="Consolas"/>
                <w:color w:val="263746"/>
                <w:sz w:val="15"/>
              </w:rPr>
              <w:t>predicted_index = argmax(p_i)</w:t>
            </w:r>
            <w:r>
              <w:br/>
            </w:r>
            <w:r>
              <w:rPr>
                <w:rFonts w:ascii="Consolas" w:hAnsi="Consolas"/>
                <w:color w:val="263746"/>
                <w:sz w:val="15"/>
              </w:rPr>
              <w:t>confidence = p_predicted_index</w:t>
            </w:r>
            <w:r>
              <w:br/>
            </w:r>
            <w:r>
              <w:rPr>
                <w:rFonts w:ascii="Consolas" w:hAnsi="Consolas"/>
                <w:color w:val="263746"/>
                <w:sz w:val="15"/>
              </w:rPr>
              <w:t>uncertain = confidence &lt; 0.75 OR predicted_crop != expected_crop</w:t>
            </w:r>
          </w:p>
        </w:tc>
      </w:tr>
    </w:tbl>
    <w:p>
      <w:pPr>
        <w:spacing w:after="0"/>
      </w:pPr>
    </w:p>
    <w:p>
      <w:pPr>
        <w:spacing w:after="104" w:line="276" w:lineRule="auto"/>
        <w:jc w:val="both"/>
      </w:pPr>
      <w:r>
        <w:rPr>
          <w:rFonts w:ascii="Helvetica Neue" w:hAnsi="Helvetica Neue"/>
          <w:color w:val="263746"/>
          <w:sz w:val="18"/>
        </w:rPr>
        <w:t>Cross-entropy trains the logits toward the correct class. Softmax converts the ten logits into relative probabilities that sum to one. Because this is a closed-set classifier, a high value means only that one known class dominates the other nine; it does not prove that the input belongs to any known class.</w:t>
      </w:r>
    </w:p>
    <w:p>
      <w:r>
        <w:br w:type="page"/>
      </w:r>
    </w:p>
    <w:p>
      <w:pPr>
        <w:pStyle w:val="Heading1"/>
        <w:keepNext/>
        <w:pageBreakBefore w:val="0"/>
        <w:spacing w:before="140" w:after="100"/>
      </w:pPr>
      <w:r>
        <w:rPr>
          <w:rFonts w:ascii="Helvetica Neue" w:hAnsi="Helvetica Neue"/>
          <w:b/>
          <w:color w:val="082A4A"/>
          <w:sz w:val="27"/>
        </w:rPr>
        <w:t>9 Model Benchmark Evidence and Interpretation</w:t>
      </w:r>
    </w:p>
    <w:p>
      <w:pPr>
        <w:spacing w:before="20" w:after="140"/>
        <w:pBdr>
          <w:bottom w:val="single" w:sz="8" w:space="1" w:color="C9D8E5"/>
        </w:pBdr>
      </w:pP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Metric</w:t>
            </w:r>
          </w:p>
        </w:tc>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Recorded value</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Meaning</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Best validation macro-F1</w:t>
            </w:r>
          </w:p>
        </w:tc>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0.991644 (99.16%)</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Checkpoint-selection score; equal average of per-class F1 values</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Test accuracy</w:t>
            </w:r>
          </w:p>
        </w:tc>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0.986801 (98.68%)</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Share of 1,591 held-out PlantVillage test images classified correctly</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Test macro-F1</w:t>
            </w:r>
          </w:p>
        </w:tc>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0.986264 (98.63%)</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Equal-weight average of class F1 values on the independent test split</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CPU inference latency p50</w:t>
            </w:r>
          </w:p>
        </w:tc>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40.85 ms per image</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Median forward-pass latency recorded by the training evaluation</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CPU inference latency p95</w:t>
            </w:r>
          </w:p>
        </w:tc>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43.52 ms per image</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95th-percentile forward-pass latency recorded by the training evaluation</w:t>
            </w:r>
          </w:p>
        </w:tc>
      </w:tr>
    </w:tbl>
    <w:p>
      <w:pPr>
        <w:spacing w:after="0"/>
      </w:pPr>
    </w:p>
    <w:p>
      <w:pPr>
        <w:spacing w:before="20" w:after="140"/>
        <w:jc w:val="center"/>
      </w:pPr>
      <w:r>
        <w:rPr>
          <w:rFonts w:ascii="Helvetica Neue" w:hAnsi="Helvetica Neue"/>
          <w:i/>
          <w:color w:val="5B7085"/>
          <w:sz w:val="15"/>
        </w:rPr>
        <w:t>Table 2  Registered benchmark evidence for mobilenetv2-10class-v1.</w:t>
      </w:r>
    </w:p>
    <w:p>
      <w:pPr>
        <w:pStyle w:val="Heading2"/>
        <w:keepNext/>
        <w:pageBreakBefore w:val="0"/>
        <w:spacing w:before="100" w:after="100"/>
      </w:pPr>
      <w:r>
        <w:rPr>
          <w:rFonts w:ascii="Helvetica Neue" w:hAnsi="Helvetica Neue"/>
          <w:b/>
          <w:color w:val="082A4A"/>
          <w:sz w:val="21"/>
        </w:rPr>
        <w:t>Why macro-F1 is emphasized</w:t>
      </w:r>
    </w:p>
    <w:p>
      <w:pPr>
        <w:spacing w:after="104" w:line="276" w:lineRule="auto"/>
        <w:jc w:val="both"/>
      </w:pPr>
      <w:r>
        <w:rPr>
          <w:rFonts w:ascii="Helvetica Neue" w:hAnsi="Helvetica Neue"/>
          <w:color w:val="263746"/>
          <w:sz w:val="18"/>
        </w:rPr>
        <w:t>For each class, precision = TP ÷ (TP + FP), recall = TP ÷ (TP + FN), and F1 = 2 × precision × recall ÷ (precision + recall). Macro-F1 averages the ten class F1 values without weighting by class size. This prevents the large Tomato Late Blight group from dominating the reported result and makes the small Potato Healthy group matter equally.</w:t>
      </w:r>
    </w:p>
    <w:p>
      <w:pPr>
        <w:pStyle w:val="Heading2"/>
        <w:keepNext/>
        <w:pageBreakBefore w:val="0"/>
        <w:spacing w:before="100" w:after="100"/>
      </w:pPr>
      <w:r>
        <w:rPr>
          <w:rFonts w:ascii="Helvetica Neue" w:hAnsi="Helvetica Neue"/>
          <w:b/>
          <w:color w:val="082A4A"/>
          <w:sz w:val="21"/>
        </w:rPr>
        <w:t>What the benchmark does not establish</w:t>
      </w:r>
    </w:p>
    <w:p>
      <w:pPr>
        <w:spacing w:after="104" w:line="276" w:lineRule="auto"/>
        <w:jc w:val="both"/>
      </w:pPr>
      <w:r>
        <w:rPr>
          <w:rFonts w:ascii="Helvetica Neue" w:hAnsi="Helvetica Neue"/>
          <w:color w:val="263746"/>
          <w:sz w:val="18"/>
        </w:rPr>
        <w:t>The figures measure performance on a controlled PlantVillage subset with similar capture conditions. They do not establish accuracy on field photographs with clutter, multiple leaves, variable light, pests, nutrient deficiencies, mixed symptoms, unseen cultivars, or unsupported diseases. A publication-quality field claim requires a separate representative external dataset, class calibration, unknown-input evaluation, and confidence intervals.</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Valid claim</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Invalid claim</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The model achieved 98.68% accuracy and 98.63% macro-F1 on its held-out 10-class PlantVillage test split.</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The model diagnoses real farm images with 98.68% accuracy.</w:t>
            </w:r>
          </w:p>
        </w:tc>
      </w:tr>
      <w:tr>
        <w:trPr>
          <w:cantSplit/>
          <w:cantSplit/>
        </w:trPr>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Median recorded CPU forward-pass latency was approximately 40.85 ms per image.</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The complete web request always finishes in 40.85 ms.</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The output is the closest of ten supported labels.</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A high softmax score rules out unsupported diseases.</w:t>
            </w:r>
          </w:p>
        </w:tc>
      </w:tr>
    </w:tbl>
    <w:p>
      <w:pPr>
        <w:spacing w:after="0"/>
      </w:pPr>
    </w:p>
    <w:p>
      <w:r>
        <w:br w:type="page"/>
      </w:r>
    </w:p>
    <w:p>
      <w:pPr>
        <w:pStyle w:val="Heading1"/>
        <w:keepNext/>
        <w:pageBreakBefore w:val="0"/>
        <w:spacing w:before="140" w:after="100"/>
      </w:pPr>
      <w:r>
        <w:rPr>
          <w:rFonts w:ascii="Helvetica Neue" w:hAnsi="Helvetica Neue"/>
          <w:b/>
          <w:color w:val="082A4A"/>
          <w:sz w:val="27"/>
        </w:rPr>
        <w:t>10 Module 3 AI Agronomy Chatbot</w:t>
      </w:r>
    </w:p>
    <w:p>
      <w:pPr>
        <w:spacing w:before="20" w:after="140"/>
        <w:pBdr>
          <w:bottom w:val="single" w:sz="8" w:space="1" w:color="C9D8E5"/>
        </w:pBdr>
      </w:pPr>
    </w:p>
    <w:p>
      <w:pPr>
        <w:spacing w:after="104" w:line="276" w:lineRule="auto"/>
        <w:jc w:val="both"/>
      </w:pPr>
      <w:r>
        <w:rPr>
          <w:rFonts w:ascii="Helvetica Neue" w:hAnsi="Helvetica Neue"/>
          <w:color w:val="263746"/>
          <w:sz w:val="18"/>
        </w:rPr>
        <w:t>The chatbot is a backend-mediated Gemini integration for general agricultural guidance. The browser never receives the Gemini API key. The current generation model is configured as gemini-3.6-flash; configuration can be changed without editing application source.</w:t>
      </w:r>
    </w:p>
    <w:p>
      <w:pPr>
        <w:pStyle w:val="Heading2"/>
        <w:keepNext/>
        <w:pageBreakBefore w:val="0"/>
        <w:spacing w:before="100" w:after="100"/>
      </w:pPr>
      <w:r>
        <w:rPr>
          <w:rFonts w:ascii="Helvetica Neue" w:hAnsi="Helvetica Neue"/>
          <w:b/>
          <w:color w:val="082A4A"/>
          <w:sz w:val="21"/>
        </w:rPr>
        <w:t>Conversation pipeline</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Step</w:t>
            </w:r>
          </w:p>
        </w:tc>
        <w:tc>
          <w:tcPr>
            <w:tcW w:type="dxa" w:w="54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Backend action</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Result</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1 Validate</w:t>
            </w:r>
          </w:p>
        </w:tc>
        <w:tc>
          <w:tcPr>
            <w:tcW w:type="dxa" w:w="54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Pydantic checks a 2–2000 character question and an optional UUID conversation ID</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Malformed requests stop before provider usage</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2 Resolve conversation</w:t>
            </w:r>
          </w:p>
        </w:tc>
        <w:tc>
          <w:tcPr>
            <w:tcW w:type="dxa" w:w="54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Create a new conversation or load the supplied record</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Unknown IDs return 404</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3 Restore context</w:t>
            </w:r>
          </w:p>
        </w:tc>
        <w:tc>
          <w:tcPr>
            <w:tcW w:type="dxa" w:w="54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Load the eight most recent stored messages in chronological order</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Bounded prompt size with multi-turn continuity</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4 Build prompt</w:t>
            </w:r>
          </w:p>
        </w:tc>
        <w:tc>
          <w:tcPr>
            <w:tcW w:type="dxa" w:w="54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Format prior Farmer/KrishiMitra turns and append the new question</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Consistent conversational transcript</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5 Apply safety instruction</w:t>
            </w:r>
          </w:p>
        </w:tc>
        <w:tc>
          <w:tcPr>
            <w:tcW w:type="dxa" w:w="54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Restrict topic to agriculture; require uncertainty and professional referral for high-risk decisions</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Safer general guidance</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6 Generate</w:t>
            </w:r>
          </w:p>
        </w:tc>
        <w:tc>
          <w:tcPr>
            <w:tcW w:type="dxa" w:w="54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Call Gemini with temperature 0.2 and a 700-token output ceiling</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Low-variance, concise answer</w:t>
            </w:r>
          </w:p>
        </w:tc>
      </w:tr>
      <w:tr>
        <w:trPr>
          <w:cantSplit/>
          <w:cantSplit/>
        </w:trPr>
        <w:tc>
          <w:tcPr>
            <w:tcW w:type="dxa" w:w="115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7 Persist</w:t>
            </w:r>
          </w:p>
        </w:tc>
        <w:tc>
          <w:tcPr>
            <w:tcW w:type="dxa" w:w="54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Store question, answer, model, abstention flag and elapsed latency</w:t>
            </w:r>
          </w:p>
        </w:tc>
        <w:tc>
          <w:tcPr>
            <w:tcW w:type="dxa" w:w="367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Auditable conversation record</w:t>
            </w:r>
          </w:p>
        </w:tc>
      </w:tr>
      <w:tr>
        <w:trPr>
          <w:cantSplit/>
          <w:cantSplit/>
        </w:trPr>
        <w:tc>
          <w:tcPr>
            <w:tcW w:type="dxa" w:w="115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8 Respond</w:t>
            </w:r>
          </w:p>
        </w:tc>
        <w:tc>
          <w:tcPr>
            <w:tcW w:type="dxa" w:w="54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Return answer, public model name, message IDs, and disclaimer</w:t>
            </w:r>
          </w:p>
        </w:tc>
        <w:tc>
          <w:tcPr>
            <w:tcW w:type="dxa" w:w="367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Frontend adds the assistant bubble and retains the conversation ID</w:t>
            </w:r>
          </w:p>
        </w:tc>
      </w:tr>
    </w:tbl>
    <w:p>
      <w:pPr>
        <w:spacing w:after="0"/>
      </w:pPr>
    </w:p>
    <w:p>
      <w:pPr>
        <w:spacing w:before="20" w:after="140"/>
        <w:jc w:val="center"/>
      </w:pPr>
      <w:r>
        <w:rPr>
          <w:rFonts w:ascii="Helvetica Neue" w:hAnsi="Helvetica Neue"/>
          <w:i/>
          <w:color w:val="5B7085"/>
          <w:sz w:val="15"/>
        </w:rPr>
        <w:t>Figure 4  Chatbot request lifecycle with bounded history and backend-only provider access.</w:t>
      </w:r>
    </w:p>
    <w:p>
      <w:pPr>
        <w:pStyle w:val="Heading2"/>
        <w:keepNext/>
        <w:pageBreakBefore w:val="0"/>
        <w:spacing w:before="100" w:after="100"/>
      </w:pPr>
      <w:r>
        <w:rPr>
          <w:rFonts w:ascii="Helvetica Neue" w:hAnsi="Helvetica Neue"/>
          <w:b/>
          <w:color w:val="082A4A"/>
          <w:sz w:val="21"/>
        </w:rPr>
        <w:t>Prompt safety methodology</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Answer only crops, soil, irrigation, plant health, weather-related planning, and general agricultural practices; refuse unrelated topics politely.</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Never claim that the chatbot inspected a farm or confirmed a diagnosis.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Do not invent pesticide dosages, legal restrictions, live prices, weather facts, or citations.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For dosage, poisoning, severe loss, or uncertain symptoms, direct the user to the product label and a KVK, agricultural officer, or qualified professional.</w:t>
      </w:r>
    </w:p>
    <w:p>
      <w:pPr>
        <w:pStyle w:val="Heading2"/>
        <w:keepNext/>
        <w:pageBreakBefore w:val="0"/>
        <w:spacing w:before="100" w:after="100"/>
      </w:pPr>
      <w:r>
        <w:rPr>
          <w:rFonts w:ascii="Helvetica Neue" w:hAnsi="Helvetica Neue"/>
          <w:b/>
          <w:color w:val="082A4A"/>
          <w:sz w:val="21"/>
        </w:rPr>
        <w:t>Provider error mapping</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Provider condition</w:t>
            </w:r>
          </w:p>
        </w:tc>
        <w:tc>
          <w:tcPr>
            <w:tcW w:type="dxa" w:w="64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API behavior shown to the user</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Configured model not found 404</w:t>
            </w:r>
          </w:p>
        </w:tc>
        <w:tc>
          <w:tcPr>
            <w:tcW w:type="dxa" w:w="64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503 with instruction to update GEMINI_GENERATION_MODEL</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Authentication or permission 401/403</w:t>
            </w:r>
          </w:p>
        </w:tc>
        <w:tc>
          <w:tcPr>
            <w:tcW w:type="dxa" w:w="64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503 with instruction to check GEMINI_API_KEY and project restrictions</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Quota or rate limit 429</w:t>
            </w:r>
          </w:p>
        </w:tc>
        <w:tc>
          <w:tcPr>
            <w:tcW w:type="dxa" w:w="64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429 with wait/check-usage guidance</w:t>
            </w:r>
          </w:p>
        </w:tc>
      </w:tr>
      <w:tr>
        <w:trPr>
          <w:cantSplit/>
          <w:cantSplit/>
        </w:trPr>
        <w:tc>
          <w:tcPr>
            <w:tcW w:type="dxa" w:w="374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Model temporarily busy 503</w:t>
            </w:r>
          </w:p>
        </w:tc>
        <w:tc>
          <w:tcPr>
            <w:tcW w:type="dxa" w:w="64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503 with a retry-later message</w:t>
            </w:r>
          </w:p>
        </w:tc>
      </w:tr>
      <w:tr>
        <w:trPr>
          <w:cantSplit/>
          <w:cantSplit/>
        </w:trPr>
        <w:tc>
          <w:tcPr>
            <w:tcW w:type="dxa" w:w="374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Other provider or empty response</w:t>
            </w:r>
          </w:p>
        </w:tc>
        <w:tc>
          <w:tcPr>
            <w:tcW w:type="dxa" w:w="64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502-equivalent safe generic generation failure</w:t>
            </w:r>
          </w:p>
        </w:tc>
      </w:tr>
    </w:tbl>
    <w:p>
      <w:pPr>
        <w:spacing w:after="0"/>
      </w:pPr>
    </w:p>
    <w:p>
      <w:r>
        <w:br w:type="page"/>
      </w:r>
    </w:p>
    <w:p>
      <w:pPr>
        <w:pStyle w:val="Heading1"/>
        <w:keepNext/>
        <w:pageBreakBefore w:val="0"/>
        <w:spacing w:before="140" w:after="100"/>
      </w:pPr>
      <w:r>
        <w:rPr>
          <w:rFonts w:ascii="Helvetica Neue" w:hAnsi="Helvetica Neue"/>
          <w:b/>
          <w:color w:val="082A4A"/>
          <w:sz w:val="27"/>
        </w:rPr>
        <w:t>11 API Key Configuration and Secret Boundary</w:t>
      </w:r>
    </w:p>
    <w:p>
      <w:pPr>
        <w:spacing w:before="20" w:after="140"/>
        <w:pBdr>
          <w:bottom w:val="single" w:sz="8" w:space="1" w:color="C9D8E5"/>
        </w:pBdr>
      </w:pPr>
    </w:p>
    <w:p>
      <w:pPr>
        <w:spacing w:after="104" w:line="276" w:lineRule="auto"/>
        <w:jc w:val="both"/>
      </w:pPr>
      <w:r>
        <w:rPr>
          <w:rFonts w:ascii="Helvetica Neue" w:hAnsi="Helvetica Neue"/>
          <w:color w:val="263746"/>
          <w:sz w:val="18"/>
        </w:rPr>
        <w:t>Create the key in Google AI Studio, copy backend/.env.example to backend/.env, and replace only the placeholder values shown below. Restart Uvicorn after any configuration change because settings are cached in the backend process.</w:t>
      </w:r>
    </w:p>
    <w:tbl>
      <w:tblPr>
        <w:tblW w:type="auto" w:w="0"/>
        <w:jc w:val="center"/>
        <w:tblLook w:firstColumn="1" w:firstRow="1" w:lastColumn="0" w:lastRow="0" w:noHBand="0" w:noVBand="1" w:val="04A0"/>
      </w:tblPr>
      <w:tblGrid>
        <w:gridCol w:w="10224"/>
      </w:tblGrid>
      <w:tr>
        <w:tc>
          <w:tcPr>
            <w:tcW w:type="dxa" w:w="10224"/>
            <w:shd w:fill="F3F5F7"/>
            <w:tcBorders>
              <w:top w:val="single" w:sz="5" w:space="0" w:color="D5DEE6"/>
              <w:left w:val="single" w:sz="5" w:space="0" w:color="D5DEE6"/>
              <w:bottom w:val="single" w:sz="5" w:space="0" w:color="D5DEE6"/>
              <w:right w:val="single" w:sz="5" w:space="0" w:color="D5DEE6"/>
              <w:insideH w:val="single" w:sz="5" w:space="0" w:color="D5DEE6"/>
              <w:insideV w:val="single" w:sz="5" w:space="0" w:color="D5DEE6"/>
            </w:tcBorders>
            <w:tcMar>
              <w:top w:w="130" w:type="dxa"/>
              <w:start w:w="150" w:type="dxa"/>
              <w:bottom w:w="130" w:type="dxa"/>
              <w:end w:w="150" w:type="dxa"/>
            </w:tcMar>
          </w:tcPr>
          <w:p>
            <w:pPr>
              <w:spacing w:after="0" w:line="240" w:lineRule="auto"/>
            </w:pPr>
            <w:r/>
            <w:r>
              <w:rPr>
                <w:rFonts w:ascii="Consolas" w:hAnsi="Consolas"/>
                <w:color w:val="263746"/>
                <w:sz w:val="15"/>
              </w:rPr>
              <w:t>GEMINI_API_KEY=your-real-key-here</w:t>
            </w:r>
            <w:r>
              <w:br/>
            </w:r>
            <w:r>
              <w:rPr>
                <w:rFonts w:ascii="Consolas" w:hAnsi="Consolas"/>
                <w:color w:val="263746"/>
                <w:sz w:val="15"/>
              </w:rPr>
              <w:t>GEMINI_GENERATION_MODEL=gemini-3.6-flash</w:t>
            </w:r>
            <w:r>
              <w:br/>
            </w:r>
            <w:r>
              <w:rPr>
                <w:rFonts w:ascii="Consolas" w:hAnsi="Consolas"/>
                <w:color w:val="263746"/>
                <w:sz w:val="15"/>
              </w:rPr>
              <w:t>GEMINI_EMBEDDING_MODEL=gemini-embedding-2</w:t>
            </w:r>
          </w:p>
        </w:tc>
      </w:tr>
    </w:tbl>
    <w:p>
      <w:pPr>
        <w:spacing w:after="0"/>
      </w:pPr>
    </w:p>
    <w:p>
      <w:pPr>
        <w:spacing w:after="104" w:line="276" w:lineRule="auto"/>
        <w:jc w:val="both"/>
      </w:pPr>
      <w:r>
        <w:rPr>
          <w:rFonts w:ascii="Helvetica Neue" w:hAnsi="Helvetica Neue"/>
          <w:color w:val="263746"/>
          <w:sz w:val="18"/>
        </w:rPr>
        <w:t>The root .gitignore excludes backend/.env, while .env.example contains safe placeholders and may be committed. The key must not be placed in frontend/.env, VITE_* variables, React code, screenshots, logs, commits, presentations, or chat messages. Any VITE_* variable is bundled for the browser and therefore cannot protect a secret.</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Location</w:t>
            </w:r>
          </w:p>
        </w:tc>
        <w:tc>
          <w:tcPr>
            <w:tcW w:type="dxa" w:w="45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Safe content</w:t>
            </w:r>
          </w:p>
        </w:tc>
        <w:tc>
          <w:tcPr>
            <w:tcW w:type="dxa" w:w="33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Reason</w:t>
            </w:r>
          </w:p>
        </w:tc>
      </w:tr>
      <w:tr>
        <w:trPr>
          <w:cantSplit/>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backend/.env</w:t>
            </w:r>
          </w:p>
        </w:tc>
        <w:tc>
          <w:tcPr>
            <w:tcW w:type="dxa" w:w="45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Real local Gemini key and environment-specific backend settings</w:t>
            </w:r>
          </w:p>
        </w:tc>
        <w:tc>
          <w:tcPr>
            <w:tcW w:type="dxa" w:w="33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Read by Pydantic Settings inside FastAPI; ignored by Git</w:t>
            </w:r>
          </w:p>
        </w:tc>
      </w:tr>
      <w:tr>
        <w:trPr>
          <w:cantSplit/>
          <w:cantSplit/>
        </w:trPr>
        <w:tc>
          <w:tcPr>
            <w:tcW w:type="dxa" w:w="23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backend/.env.example</w:t>
            </w:r>
          </w:p>
        </w:tc>
        <w:tc>
          <w:tcPr>
            <w:tcW w:type="dxa" w:w="453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Placeholder names and non-secret development defaults</w:t>
            </w:r>
          </w:p>
        </w:tc>
        <w:tc>
          <w:tcPr>
            <w:tcW w:type="dxa" w:w="33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Documents required configuration without exposing credentials</w:t>
            </w:r>
          </w:p>
        </w:tc>
      </w:tr>
      <w:tr>
        <w:trPr>
          <w:cantSplit/>
          <w:cantSplit/>
        </w:trPr>
        <w:tc>
          <w:tcPr>
            <w:tcW w:type="dxa" w:w="237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frontend/.env</w:t>
            </w:r>
          </w:p>
        </w:tc>
        <w:tc>
          <w:tcPr>
            <w:tcW w:type="dxa" w:w="453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Public browser configuration such as VITE_API_BASE_URL only</w:t>
            </w:r>
          </w:p>
        </w:tc>
        <w:tc>
          <w:tcPr>
            <w:tcW w:type="dxa" w:w="33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Vite exposes VITE-prefixed values to client code</w:t>
            </w:r>
          </w:p>
        </w:tc>
      </w:tr>
      <w:tr>
        <w:trPr>
          <w:cantSplit/>
          <w:cantSplit/>
        </w:trPr>
        <w:tc>
          <w:tcPr>
            <w:tcW w:type="dxa" w:w="237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Source control</w:t>
            </w:r>
          </w:p>
        </w:tc>
        <w:tc>
          <w:tcPr>
            <w:tcW w:type="dxa" w:w="453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No real keys</w:t>
            </w:r>
          </w:p>
        </w:tc>
        <w:tc>
          <w:tcPr>
            <w:tcW w:type="dxa" w:w="33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Committed secrets remain recoverable from history even after deletion</w:t>
            </w:r>
          </w:p>
        </w:tc>
      </w:tr>
    </w:tbl>
    <w:p>
      <w:pPr>
        <w:spacing w:after="0"/>
      </w:pPr>
    </w:p>
    <w:p>
      <w:r>
        <w:br w:type="page"/>
      </w:r>
    </w:p>
    <w:p>
      <w:pPr>
        <w:pStyle w:val="Heading1"/>
        <w:keepNext/>
        <w:pageBreakBefore w:val="0"/>
        <w:spacing w:before="140" w:after="100"/>
      </w:pPr>
      <w:r>
        <w:rPr>
          <w:rFonts w:ascii="Helvetica Neue" w:hAnsi="Helvetica Neue"/>
          <w:b/>
          <w:color w:val="082A4A"/>
          <w:sz w:val="27"/>
        </w:rPr>
        <w:t>12 Database Schema and Persistence</w:t>
      </w:r>
    </w:p>
    <w:p>
      <w:pPr>
        <w:spacing w:before="20" w:after="140"/>
        <w:pBdr>
          <w:bottom w:val="single" w:sz="8" w:space="1" w:color="C9D8E5"/>
        </w:pBdr>
      </w:pPr>
    </w:p>
    <w:p>
      <w:pPr>
        <w:spacing w:after="104" w:line="276" w:lineRule="auto"/>
        <w:jc w:val="both"/>
      </w:pPr>
      <w:r>
        <w:rPr>
          <w:rFonts w:ascii="Helvetica Neue" w:hAnsi="Helvetica Neue"/>
          <w:color w:val="263746"/>
          <w:sz w:val="18"/>
        </w:rPr>
        <w:t>PostgreSQL is the operational source of truth for model registry records, accepted scan metadata, chatbot conversations, and messages. UUID primary keys avoid coordination around integer sequences. Server timestamps provide consistent creation times. Alembic migrations create and evolve the schema.</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Entity</w:t>
            </w:r>
          </w:p>
        </w:tc>
        <w:tc>
          <w:tcPr>
            <w:tcW w:type="dxa" w:w="496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Key fields</w:t>
            </w:r>
          </w:p>
        </w:tc>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Current use</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model_registry</w:t>
            </w:r>
          </w:p>
        </w:tc>
        <w:tc>
          <w:tcPr>
            <w:tcW w:type="dxa" w:w="496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module, version, dataset_version, metrics_json, artifact_location</w:t>
            </w:r>
          </w:p>
        </w:tc>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Records versioned model evidence and artefact location</w:t>
            </w:r>
          </w:p>
        </w:tc>
      </w:tr>
      <w:tr>
        <w:trPr>
          <w:cantSplit/>
          <w:cantSplit/>
        </w:trPr>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disease_scans</w:t>
            </w:r>
          </w:p>
        </w:tc>
        <w:tc>
          <w:tcPr>
            <w:tcW w:type="dxa" w:w="496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image_reference, crop_hint, crop_mismatch, predicted_label, confidence, model_version</w:t>
            </w:r>
          </w:p>
        </w:tc>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Audits each accepted crop-health response without storing image bytes</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advisor_conversations</w:t>
            </w:r>
          </w:p>
        </w:tc>
        <w:tc>
          <w:tcPr>
            <w:tcW w:type="dxa" w:w="496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id, created_at</w:t>
            </w:r>
          </w:p>
        </w:tc>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Groups follow-up chatbot messages</w:t>
            </w:r>
          </w:p>
        </w:tc>
      </w:tr>
      <w:tr>
        <w:trPr>
          <w:cantSplit/>
          <w:cantSplit/>
        </w:trPr>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advisor_messages</w:t>
            </w:r>
          </w:p>
        </w:tc>
        <w:tc>
          <w:tcPr>
            <w:tcW w:type="dxa" w:w="496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conversation_id, question, answer, abstained, latency_ms, generation_model</w:t>
            </w:r>
          </w:p>
        </w:tc>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Stores the generated exchange and performance context</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knowledge_documents</w:t>
            </w:r>
          </w:p>
        </w:tc>
        <w:tc>
          <w:tcPr>
            <w:tcW w:type="dxa" w:w="496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title, publisher, source_url, licence, checksum</w:t>
            </w:r>
          </w:p>
        </w:tc>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Schema ready for a future approved agronomy corpus</w:t>
            </w:r>
          </w:p>
        </w:tc>
      </w:tr>
      <w:tr>
        <w:trPr>
          <w:cantSplit/>
          <w:cantSplit/>
        </w:trPr>
        <w:tc>
          <w:tcPr>
            <w:tcW w:type="dxa" w:w="223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knowledge_chunks</w:t>
            </w:r>
          </w:p>
        </w:tc>
        <w:tc>
          <w:tcPr>
            <w:tcW w:type="dxa" w:w="496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document_id, page_number, chunk_text, Vector(768), embedding_model, metadata</w:t>
            </w:r>
          </w:p>
        </w:tc>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Schema ready for future semantic retrieval</w:t>
            </w:r>
          </w:p>
        </w:tc>
      </w:tr>
      <w:tr>
        <w:trPr>
          <w:cantSplit/>
          <w:cantSplit/>
        </w:trPr>
        <w:tc>
          <w:tcPr>
            <w:tcW w:type="dxa" w:w="223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advisor_citations</w:t>
            </w:r>
          </w:p>
        </w:tc>
        <w:tc>
          <w:tcPr>
            <w:tcW w:type="dxa" w:w="496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message_id, chunk_id, rank, similarity_score</w:t>
            </w:r>
          </w:p>
        </w:tc>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Schema ready to connect grounded answers to retrieved evidence</w:t>
            </w:r>
          </w:p>
        </w:tc>
      </w:tr>
    </w:tbl>
    <w:p>
      <w:pPr>
        <w:spacing w:after="0"/>
      </w:pPr>
    </w:p>
    <w:p>
      <w:pPr>
        <w:pStyle w:val="Heading2"/>
        <w:keepNext/>
        <w:pageBreakBefore w:val="0"/>
        <w:spacing w:before="100" w:after="100"/>
      </w:pPr>
      <w:r>
        <w:rPr>
          <w:rFonts w:ascii="Helvetica Neue" w:hAnsi="Helvetica Neue"/>
          <w:b/>
          <w:color w:val="082A4A"/>
          <w:sz w:val="21"/>
        </w:rPr>
        <w:t>Current state versus planned retrieval</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Implemented now</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Prepared but not yet active</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General Gemini answer generation with eight-message recent history</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Document ingestion, chunking, embedding creation, HNSW cosine search, context assembly, and citations</w:t>
            </w:r>
          </w:p>
        </w:tc>
      </w:tr>
      <w:tr>
        <w:trPr>
          <w:cantSplit/>
          <w:cantSplit/>
        </w:trPr>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Question/answer/model/latency persistence</w:t>
            </w:r>
          </w:p>
        </w:tc>
        <w:tc>
          <w:tcPr>
            <w:tcW w:type="dxa" w:w="511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Grounded answer generation from approved ICAR, KVK, university, or department sources</w:t>
            </w:r>
          </w:p>
        </w:tc>
      </w:tr>
      <w:tr>
        <w:trPr>
          <w:cantSplit/>
          <w:cantSplit/>
        </w:trPr>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pgvector extension and vector-capable tables</w:t>
            </w:r>
          </w:p>
        </w:tc>
        <w:tc>
          <w:tcPr>
            <w:tcW w:type="dxa" w:w="511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Evaluation of retrieval recall, citation correctness, and answer faithfulness</w:t>
            </w:r>
          </w:p>
        </w:tc>
      </w:tr>
    </w:tbl>
    <w:p>
      <w:pPr>
        <w:spacing w:after="0"/>
      </w:pPr>
    </w:p>
    <w:p>
      <w:pPr>
        <w:spacing w:after="104" w:line="276" w:lineRule="auto"/>
        <w:jc w:val="both"/>
      </w:pPr>
      <w:r>
        <w:rPr>
          <w:rFonts w:ascii="Helvetica Neue" w:hAnsi="Helvetica Neue"/>
          <w:color w:val="263746"/>
          <w:sz w:val="18"/>
        </w:rPr>
        <w:t>The migration adds an HNSW index for cosine-distance search over 768-dimensional embeddings. Its presence is infrastructure readiness, not evidence that the chatbot currently retrieves or cites documents.</w:t>
      </w:r>
    </w:p>
    <w:p>
      <w:r>
        <w:br w:type="page"/>
      </w:r>
    </w:p>
    <w:p>
      <w:pPr>
        <w:pStyle w:val="Heading1"/>
        <w:keepNext/>
        <w:pageBreakBefore w:val="0"/>
        <w:spacing w:before="140" w:after="100"/>
      </w:pPr>
      <w:r>
        <w:rPr>
          <w:rFonts w:ascii="Helvetica Neue" w:hAnsi="Helvetica Neue"/>
          <w:b/>
          <w:color w:val="082A4A"/>
          <w:sz w:val="27"/>
        </w:rPr>
        <w:t>13 Docker Local Startup and Deployment Pipeline</w:t>
      </w:r>
    </w:p>
    <w:p>
      <w:pPr>
        <w:spacing w:before="20" w:after="140"/>
        <w:pBdr>
          <w:bottom w:val="single" w:sz="8" w:space="1" w:color="C9D8E5"/>
        </w:pBdr>
      </w:pPr>
    </w:p>
    <w:p>
      <w:pPr>
        <w:spacing w:after="104" w:line="276" w:lineRule="auto"/>
        <w:jc w:val="both"/>
      </w:pPr>
      <w:r>
        <w:rPr>
          <w:rFonts w:ascii="Helvetica Neue" w:hAnsi="Helvetica Neue"/>
          <w:color w:val="263746"/>
          <w:sz w:val="18"/>
        </w:rPr>
        <w:t>The current Compose definition contains one service: pgvector/pgvector:pg16. It exposes PostgreSQL on port 5432, uses development-only credentials, stores data in the named postgres_data volume, and reports readiness through pg_isready. Backend and frontend processes run on the Windows host.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Prerequisite checks</w:t>
            </w:r>
          </w:p>
        </w:tc>
        <w:tc>
          <w:tcPr>
            <w:tcW w:type="dxa" w:w="2045"/>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Configuration</w:t>
            </w:r>
          </w:p>
        </w:tc>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Database</w:t>
            </w:r>
          </w:p>
        </w:tc>
        <w:tc>
          <w:tcPr>
            <w:tcW w:type="dxa" w:w="2045"/>
            <w:shd w:fill="376C93"/>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Schema</w:t>
            </w:r>
          </w:p>
        </w:tc>
        <w:tc>
          <w:tcPr>
            <w:tcW w:type="dxa" w:w="2045"/>
            <w:shd w:fill="082A4A"/>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color w:val="FFFFFF"/>
                <w:sz w:val="16"/>
              </w:rPr>
              <w:t>Application</w:t>
            </w:r>
          </w:p>
        </w:tc>
      </w:tr>
      <w:tr>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Docker, npm, Python environment, backend dependencies, frontend node_modules</w:t>
            </w:r>
          </w:p>
        </w:tc>
        <w:tc>
          <w:tcPr>
            <w:tcW w:type="dxa" w:w="2045"/>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Create backend/.env from example only when absent; never overwrite existing secrets</w:t>
            </w:r>
          </w:p>
        </w:tc>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docker compose up -d db; wait until pg_isready succeeds</w:t>
            </w:r>
          </w:p>
        </w:tc>
        <w:tc>
          <w:tcPr>
            <w:tcW w:type="dxa" w:w="2045"/>
            <w:shd w:fill="F4F8FB"/>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Run alembic upgrade head using backend virtual environment</w:t>
            </w:r>
          </w:p>
        </w:tc>
        <w:tc>
          <w:tcPr>
            <w:tcW w:type="dxa" w:w="2045"/>
            <w:shd w:fill="EAF2F8"/>
            <w:tcMar>
              <w:top w:w="120" w:type="dxa"/>
              <w:start w:w="80" w:type="dxa"/>
              <w:bottom w:w="120" w:type="dxa"/>
              <w:end w:w="8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vAlign w:val="center"/>
          </w:tcPr>
          <w:p>
            <w:pPr>
              <w:spacing w:after="0" w:line="259" w:lineRule="auto"/>
              <w:jc w:val="center"/>
            </w:pPr>
            <w:r/>
            <w:r>
              <w:rPr>
                <w:rFonts w:ascii="Helvetica Neue" w:hAnsi="Helvetica Neue"/>
                <w:b w:val="0"/>
                <w:color w:val="263746"/>
                <w:sz w:val="15"/>
              </w:rPr>
              <w:t>Reuse or start Uvicorn :8000 and Vite :5173, then verify HTTP readiness</w:t>
            </w:r>
          </w:p>
        </w:tc>
      </w:tr>
    </w:tbl>
    <w:p>
      <w:pPr>
        <w:spacing w:before="20" w:after="140"/>
        <w:jc w:val="center"/>
      </w:pPr>
      <w:r>
        <w:rPr>
          <w:rFonts w:ascii="Helvetica Neue" w:hAnsi="Helvetica Neue"/>
          <w:i/>
          <w:color w:val="5B7085"/>
          <w:sz w:val="15"/>
        </w:rPr>
        <w:t>Figure 5  One-click Windows startup pipeline executed by Start-KrishiMitra.cmd and the PowerShell launcher.</w:t>
      </w:r>
    </w:p>
    <w:p>
      <w:pPr>
        <w:pStyle w:val="Heading2"/>
        <w:keepNext/>
        <w:pageBreakBefore w:val="0"/>
        <w:spacing w:before="100" w:after="100"/>
      </w:pPr>
      <w:r>
        <w:rPr>
          <w:rFonts w:ascii="Helvetica Neue" w:hAnsi="Helvetica Neue"/>
          <w:b/>
          <w:color w:val="082A4A"/>
          <w:sz w:val="21"/>
        </w:rPr>
        <w:t>Development commands</w:t>
      </w:r>
    </w:p>
    <w:tbl>
      <w:tblPr>
        <w:tblW w:type="auto" w:w="0"/>
        <w:jc w:val="center"/>
        <w:tblLook w:firstColumn="1" w:firstRow="1" w:lastColumn="0" w:lastRow="0" w:noHBand="0" w:noVBand="1" w:val="04A0"/>
      </w:tblPr>
      <w:tblGrid>
        <w:gridCol w:w="10224"/>
      </w:tblGrid>
      <w:tr>
        <w:tc>
          <w:tcPr>
            <w:tcW w:type="dxa" w:w="10224"/>
            <w:shd w:fill="F3F5F7"/>
            <w:tcBorders>
              <w:top w:val="single" w:sz="5" w:space="0" w:color="D5DEE6"/>
              <w:left w:val="single" w:sz="5" w:space="0" w:color="D5DEE6"/>
              <w:bottom w:val="single" w:sz="5" w:space="0" w:color="D5DEE6"/>
              <w:right w:val="single" w:sz="5" w:space="0" w:color="D5DEE6"/>
              <w:insideH w:val="single" w:sz="5" w:space="0" w:color="D5DEE6"/>
              <w:insideV w:val="single" w:sz="5" w:space="0" w:color="D5DEE6"/>
            </w:tcBorders>
            <w:tcMar>
              <w:top w:w="130" w:type="dxa"/>
              <w:start w:w="150" w:type="dxa"/>
              <w:bottom w:w="130" w:type="dxa"/>
              <w:end w:w="150" w:type="dxa"/>
            </w:tcMar>
          </w:tcPr>
          <w:p>
            <w:pPr>
              <w:spacing w:after="0" w:line="240" w:lineRule="auto"/>
            </w:pPr>
            <w:r/>
            <w:r>
              <w:rPr>
                <w:rFonts w:ascii="Consolas" w:hAnsi="Consolas"/>
                <w:color w:val="263746"/>
                <w:sz w:val="15"/>
              </w:rPr>
              <w:t>.\scripts\Start-KrishiMitra.ps1 -InstallMissing   # first setup</w:t>
            </w:r>
            <w:r>
              <w:br/>
            </w:r>
            <w:r>
              <w:rPr>
                <w:rFonts w:ascii="Consolas" w:hAnsi="Consolas"/>
                <w:color w:val="263746"/>
                <w:sz w:val="15"/>
              </w:rPr>
              <w:t>.\Start-KrishiMitra.cmd                            # normal launch</w:t>
            </w:r>
            <w:r>
              <w:br/>
            </w:r>
            <w:r>
              <w:rPr>
                <w:rFonts w:ascii="Consolas" w:hAnsi="Consolas"/>
                <w:color w:val="263746"/>
                <w:sz w:val="15"/>
              </w:rPr>
              <w:t>docker compose ps                                  # database status</w:t>
            </w:r>
            <w:r>
              <w:br/>
            </w:r>
            <w:r>
              <w:rPr>
                <w:rFonts w:ascii="Consolas" w:hAnsi="Consolas"/>
                <w:color w:val="263746"/>
                <w:sz w:val="15"/>
              </w:rPr>
              <w:t>docker compose down                                # stop DB; keep volume</w:t>
            </w:r>
          </w:p>
        </w:tc>
      </w:tr>
    </w:tbl>
    <w:p>
      <w:pPr>
        <w:spacing w:after="0"/>
      </w:pPr>
    </w:p>
    <w:p>
      <w:pPr>
        <w:spacing w:after="104" w:line="276" w:lineRule="auto"/>
        <w:jc w:val="both"/>
      </w:pPr>
      <w:r>
        <w:rPr>
          <w:rFonts w:ascii="Helvetica Neue" w:hAnsi="Helvetica Neue"/>
          <w:color w:val="263746"/>
          <w:sz w:val="18"/>
        </w:rPr>
        <w:t>The launcher is repeatable: it leaves already healthy servers on ports 8000 and 5173 running, but stops when a port is occupied by an unrelated process. It warns if the model checkpoint is missing, waits for PostgreSQL, applies migrations before serving requests, and can optionally open the browser.</w:t>
      </w:r>
    </w:p>
    <w:p>
      <w:r>
        <w:br w:type="page"/>
      </w:r>
    </w:p>
    <w:p>
      <w:pPr>
        <w:pStyle w:val="Heading1"/>
        <w:keepNext/>
        <w:pageBreakBefore w:val="0"/>
        <w:spacing w:before="140" w:after="100"/>
      </w:pPr>
      <w:r>
        <w:rPr>
          <w:rFonts w:ascii="Helvetica Neue" w:hAnsi="Helvetica Neue"/>
          <w:b/>
          <w:color w:val="082A4A"/>
          <w:sz w:val="27"/>
        </w:rPr>
        <w:t>14 Security Privacy and Safety Controls</w:t>
      </w:r>
    </w:p>
    <w:p>
      <w:pPr>
        <w:spacing w:before="20" w:after="140"/>
        <w:pBdr>
          <w:bottom w:val="single" w:sz="8" w:space="1" w:color="C9D8E5"/>
        </w:pBdr>
      </w:pP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Control area</w:t>
            </w:r>
          </w:p>
        </w:tc>
        <w:tc>
          <w:tcPr>
            <w:tcW w:type="dxa" w:w="48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Implemented control</w:t>
            </w:r>
          </w:p>
        </w:tc>
        <w:tc>
          <w:tcPr>
            <w:tcW w:type="dxa" w:w="36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Residual limitation</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Secrets</w:t>
            </w:r>
          </w:p>
        </w:tc>
        <w:tc>
          <w:tcPr>
            <w:tcW w:type="dxa" w:w="48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Gemini key loaded only from backend/.env; no key in response payload</w:t>
            </w:r>
          </w:p>
        </w:tc>
        <w:tc>
          <w:tcPr>
            <w:tcW w:type="dxa" w:w="36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Local file permissions and provider key restrictions must still be managed</w:t>
            </w:r>
          </w:p>
        </w:tc>
      </w:tr>
      <w:tr>
        <w:trPr>
          <w:cantSplit/>
          <w:cantSplit/>
        </w:trPr>
        <w:tc>
          <w:tcPr>
            <w:tcW w:type="dxa" w:w="18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Image privacy</w:t>
            </w:r>
          </w:p>
        </w:tc>
        <w:tc>
          <w:tcPr>
            <w:tcW w:type="dxa" w:w="48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Only SHA-256 reference and prediction metadata are stored</w:t>
            </w:r>
          </w:p>
        </w:tc>
        <w:tc>
          <w:tcPr>
            <w:tcW w:type="dxa" w:w="36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 hash is an identifier, not anonymization if the original image is available elsewhere</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Input safety</w:t>
            </w:r>
          </w:p>
        </w:tc>
        <w:tc>
          <w:tcPr>
            <w:tcW w:type="dxa" w:w="48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Media type, size, decode, chroma, resolution, vegetation, and flatness guards</w:t>
            </w:r>
          </w:p>
        </w:tc>
        <w:tc>
          <w:tcPr>
            <w:tcW w:type="dxa" w:w="36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Heuristics cannot reject every unrelated or adversarial image</w:t>
            </w:r>
          </w:p>
        </w:tc>
      </w:tr>
      <w:tr>
        <w:trPr>
          <w:cantSplit/>
          <w:cantSplit/>
        </w:trPr>
        <w:tc>
          <w:tcPr>
            <w:tcW w:type="dxa" w:w="18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Diagnosis safety</w:t>
            </w:r>
          </w:p>
        </w:tc>
        <w:tc>
          <w:tcPr>
            <w:tcW w:type="dxa" w:w="48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Threshold and crop mismatch mark uncertain results; limited label set is stated</w:t>
            </w:r>
          </w:p>
        </w:tc>
        <w:tc>
          <w:tcPr>
            <w:tcW w:type="dxa" w:w="36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Softmax is not calibrated proof and unsupported diseases can map to known labels</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Chat safety</w:t>
            </w:r>
          </w:p>
        </w:tc>
        <w:tc>
          <w:tcPr>
            <w:tcW w:type="dxa" w:w="48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Agriculture-only system instruction, cautious language, no invented dosage/citations, professional referral</w:t>
            </w:r>
          </w:p>
        </w:tc>
        <w:tc>
          <w:tcPr>
            <w:tcW w:type="dxa" w:w="36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Generated answers can still be incomplete or wrong and require verification</w:t>
            </w:r>
          </w:p>
        </w:tc>
      </w:tr>
      <w:tr>
        <w:trPr>
          <w:cantSplit/>
          <w:cantSplit/>
        </w:trPr>
        <w:tc>
          <w:tcPr>
            <w:tcW w:type="dxa" w:w="18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Browser boundary</w:t>
            </w:r>
          </w:p>
        </w:tc>
        <w:tc>
          <w:tcPr>
            <w:tcW w:type="dxa" w:w="48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Configured local CORS origins; credentials disabled</w:t>
            </w:r>
          </w:p>
        </w:tc>
        <w:tc>
          <w:tcPr>
            <w:tcW w:type="dxa" w:w="36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No user authentication or authorization in the current local prototype</w:t>
            </w:r>
          </w:p>
        </w:tc>
      </w:tr>
      <w:tr>
        <w:trPr>
          <w:cantSplit/>
          <w:cantSplit/>
        </w:trPr>
        <w:tc>
          <w:tcPr>
            <w:tcW w:type="dxa" w:w="18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Database</w:t>
            </w:r>
          </w:p>
        </w:tc>
        <w:tc>
          <w:tcPr>
            <w:tcW w:type="dxa" w:w="48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Transactions, foreign keys, cascade/restrict rules, persistent volume</w:t>
            </w:r>
          </w:p>
        </w:tc>
        <w:tc>
          <w:tcPr>
            <w:tcW w:type="dxa" w:w="36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Development credentials and unencrypted local transport are not production controls</w:t>
            </w:r>
          </w:p>
        </w:tc>
      </w:tr>
    </w:tbl>
    <w:p>
      <w:pPr>
        <w:spacing w:after="0"/>
      </w:pPr>
    </w:p>
    <w:p>
      <w:pPr>
        <w:pStyle w:val="Heading2"/>
        <w:keepNext/>
        <w:pageBreakBefore w:val="0"/>
        <w:spacing w:before="100" w:after="100"/>
      </w:pPr>
      <w:r>
        <w:rPr>
          <w:rFonts w:ascii="Helvetica Neue" w:hAnsi="Helvetica Neue"/>
          <w:b/>
          <w:color w:val="082A4A"/>
          <w:sz w:val="21"/>
        </w:rPr>
        <w:t>Production hardening required</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Add authentication, authorization, HTTPS, secret-manager integration, rate limiting, request logging controls, and backup/restore procedures.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Replace development database credentials and restrict network exposure.</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Define retention and deletion policies for scans and conversations, plus user consent and privacy notices.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Add abuse testing, provider safety review, field-data governance, and a documented human-escalation process.</w:t>
      </w:r>
    </w:p>
    <w:p>
      <w:r>
        <w:br w:type="page"/>
      </w:r>
    </w:p>
    <w:p>
      <w:pPr>
        <w:pStyle w:val="Heading1"/>
        <w:keepNext/>
        <w:pageBreakBefore w:val="0"/>
        <w:spacing w:before="140" w:after="100"/>
      </w:pPr>
      <w:r>
        <w:rPr>
          <w:rFonts w:ascii="Helvetica Neue" w:hAnsi="Helvetica Neue"/>
          <w:b/>
          <w:color w:val="082A4A"/>
          <w:sz w:val="27"/>
        </w:rPr>
        <w:t>15 Failure Modes Observability and Recovery</w:t>
      </w:r>
    </w:p>
    <w:p>
      <w:pPr>
        <w:spacing w:before="20" w:after="140"/>
        <w:pBdr>
          <w:bottom w:val="single" w:sz="8" w:space="1" w:color="C9D8E5"/>
        </w:pBdr>
      </w:pP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Scenario</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Expected behavior</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Recovery or evidence</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Invalid image</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422 with a specific corrective message; no inference or scan commit</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Upload a valid natural colour leaf photo</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Missing model checkpoint</w:t>
            </w:r>
          </w:p>
        </w:tc>
        <w:tc>
          <w:tcPr>
            <w:tcW w:type="dxa" w:w="446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503 crop-health model unavailable</w:t>
            </w:r>
          </w:p>
        </w:tc>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Restore/train best_model.pt; restart or retry</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Low confidence</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201 result remains visible but is marked uncertain</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Retake image and verify with local expert</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Crop hint mismatch</w:t>
            </w:r>
          </w:p>
        </w:tc>
        <w:tc>
          <w:tcPr>
            <w:tcW w:type="dxa" w:w="446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201 result marked uncertain with detected/selected crops</w:t>
            </w:r>
          </w:p>
        </w:tc>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Correct crop selection and resubmit</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Missing Gemini key</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503 advisor not configured</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Set backend/.env and restart backend</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Gemini model unavailable</w:t>
            </w:r>
          </w:p>
        </w:tc>
        <w:tc>
          <w:tcPr>
            <w:tcW w:type="dxa" w:w="446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503 with model-configuration guidance</w:t>
            </w:r>
          </w:p>
        </w:tc>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Use an available model and restart</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Gemini quota/busy</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429 or 503 with retry guidance</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Wait, inspect usage, or retry later</w:t>
            </w:r>
          </w:p>
        </w:tc>
      </w:tr>
      <w:tr>
        <w:trPr>
          <w:cantSplit/>
          <w:cantSplit/>
        </w:trPr>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Database error</w:t>
            </w:r>
          </w:p>
        </w:tc>
        <w:tc>
          <w:tcPr>
            <w:tcW w:type="dxa" w:w="446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Request exception triggers rollback</w:t>
            </w:r>
          </w:p>
        </w:tc>
        <w:tc>
          <w:tcPr>
            <w:tcW w:type="dxa" w:w="28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Inspect container health, connection string and migrations</w:t>
            </w:r>
          </w:p>
        </w:tc>
      </w:tr>
      <w:tr>
        <w:trPr>
          <w:cantSplit/>
          <w:cantSplit/>
        </w:trPr>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Frontend cannot reach API</w:t>
            </w:r>
          </w:p>
        </w:tc>
        <w:tc>
          <w:tcPr>
            <w:tcW w:type="dxa" w:w="446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Health status/error state remains visible</w:t>
            </w:r>
          </w:p>
        </w:tc>
        <w:tc>
          <w:tcPr>
            <w:tcW w:type="dxa" w:w="28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Verify ports, CORS origin, and VITE_API_BASE_URL</w:t>
            </w:r>
          </w:p>
        </w:tc>
      </w:tr>
    </w:tbl>
    <w:p>
      <w:pPr>
        <w:spacing w:after="0"/>
      </w:pPr>
    </w:p>
    <w:p>
      <w:pPr>
        <w:spacing w:after="104" w:line="276" w:lineRule="auto"/>
        <w:jc w:val="both"/>
      </w:pPr>
      <w:r>
        <w:rPr>
          <w:rFonts w:ascii="Helvetica Neue" w:hAnsi="Helvetica Neue"/>
          <w:color w:val="263746"/>
          <w:sz w:val="18"/>
        </w:rPr>
        <w:t>Operational evidence currently includes HTTP status codes, structured response detail, stored scan/message metadata, model/provider version fields, chatbot latency, Docker health status, migration state, and test/build results. A production rollout would add centralized logs, traces, metrics dashboards, alert thresholds, and correlation IDs.</w:t>
      </w:r>
    </w:p>
    <w:p>
      <w:r>
        <w:br w:type="page"/>
      </w:r>
    </w:p>
    <w:p>
      <w:pPr>
        <w:pStyle w:val="Heading1"/>
        <w:keepNext/>
        <w:pageBreakBefore w:val="0"/>
        <w:spacing w:before="140" w:after="100"/>
      </w:pPr>
      <w:r>
        <w:rPr>
          <w:rFonts w:ascii="Helvetica Neue" w:hAnsi="Helvetica Neue"/>
          <w:b/>
          <w:color w:val="082A4A"/>
          <w:sz w:val="27"/>
        </w:rPr>
        <w:t>16 Verification and Demonstration Workflow</w:t>
      </w:r>
    </w:p>
    <w:p>
      <w:pPr>
        <w:spacing w:before="20" w:after="140"/>
        <w:pBdr>
          <w:bottom w:val="single" w:sz="8" w:space="1" w:color="C9D8E5"/>
        </w:pBdr>
      </w:pPr>
    </w:p>
    <w:p>
      <w:pPr>
        <w:spacing w:after="104" w:line="276" w:lineRule="auto"/>
        <w:jc w:val="both"/>
      </w:pPr>
      <w:r>
        <w:rPr>
          <w:rFonts w:ascii="Helvetica Neue" w:hAnsi="Helvetica Neue"/>
          <w:color w:val="263746"/>
          <w:sz w:val="18"/>
        </w:rPr>
        <w:t>The implementation has been checked with eight backend tests and a successful frontend production build. The tests cover service health, image guard rejection, tentative low-confidence behavior, crop mismatch handling, missing Gemini configuration, and chatbot conversation/message creation with provider calls isolated.</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16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Verification area</w:t>
            </w:r>
          </w:p>
        </w:tc>
        <w:tc>
          <w:tcPr>
            <w:tcW w:type="dxa" w:w="34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Evidence</w:t>
            </w:r>
          </w:p>
        </w:tc>
        <w:tc>
          <w:tcPr>
            <w:tcW w:type="dxa" w:w="460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What it demonstrates</w:t>
            </w:r>
          </w:p>
        </w:tc>
      </w:tr>
      <w:tr>
        <w:trPr>
          <w:cantSplit/>
          <w:cantSplit/>
        </w:trPr>
        <w:tc>
          <w:tcPr>
            <w:tcW w:type="dxa" w:w="216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Backend tests</w:t>
            </w:r>
          </w:p>
        </w:tc>
        <w:tc>
          <w:tcPr>
            <w:tcW w:type="dxa" w:w="34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8 pytest tests passed</w:t>
            </w:r>
          </w:p>
        </w:tc>
        <w:tc>
          <w:tcPr>
            <w:tcW w:type="dxa" w:w="460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Core endpoint, validation, transaction-adjacent, and error behavior is reproducible</w:t>
            </w:r>
          </w:p>
        </w:tc>
      </w:tr>
      <w:tr>
        <w:trPr>
          <w:cantSplit/>
          <w:cantSplit/>
        </w:trPr>
        <w:tc>
          <w:tcPr>
            <w:tcW w:type="dxa" w:w="216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Frontend build</w:t>
            </w:r>
          </w:p>
        </w:tc>
        <w:tc>
          <w:tcPr>
            <w:tcW w:type="dxa" w:w="34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TypeScript build and Vite production bundle passed</w:t>
            </w:r>
          </w:p>
        </w:tc>
        <w:tc>
          <w:tcPr>
            <w:tcW w:type="dxa" w:w="460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Client types and bundle compilation are consistent</w:t>
            </w:r>
          </w:p>
        </w:tc>
      </w:tr>
      <w:tr>
        <w:trPr>
          <w:cantSplit/>
          <w:cantSplit/>
        </w:trPr>
        <w:tc>
          <w:tcPr>
            <w:tcW w:type="dxa" w:w="216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Database migrations</w:t>
            </w:r>
          </w:p>
        </w:tc>
        <w:tc>
          <w:tcPr>
            <w:tcW w:type="dxa" w:w="34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Alembic upgrade path with current revision</w:t>
            </w:r>
          </w:p>
        </w:tc>
        <w:tc>
          <w:tcPr>
            <w:tcW w:type="dxa" w:w="460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Schema can be recreated from versioned migrations</w:t>
            </w:r>
          </w:p>
        </w:tc>
      </w:tr>
      <w:tr>
        <w:trPr>
          <w:cantSplit/>
          <w:cantSplit/>
        </w:trPr>
        <w:tc>
          <w:tcPr>
            <w:tcW w:type="dxa" w:w="216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Model registry</w:t>
            </w:r>
          </w:p>
        </w:tc>
        <w:tc>
          <w:tcPr>
            <w:tcW w:type="dxa" w:w="3456"/>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Versioned JSON benchmark record</w:t>
            </w:r>
          </w:p>
        </w:tc>
        <w:tc>
          <w:tcPr>
            <w:tcW w:type="dxa" w:w="4608"/>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Metrics, dataset, seed, selection metric, latency and limitation are reviewable</w:t>
            </w:r>
          </w:p>
        </w:tc>
      </w:tr>
      <w:tr>
        <w:trPr>
          <w:cantSplit/>
          <w:cantSplit/>
        </w:trPr>
        <w:tc>
          <w:tcPr>
            <w:tcW w:type="dxa" w:w="216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API documentation</w:t>
            </w:r>
          </w:p>
        </w:tc>
        <w:tc>
          <w:tcPr>
            <w:tcW w:type="dxa" w:w="3456"/>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FastAPI OpenAPI at /docs</w:t>
            </w:r>
          </w:p>
        </w:tc>
        <w:tc>
          <w:tcPr>
            <w:tcW w:type="dxa" w:w="4608"/>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Requests and response schemas can be exercised interactively</w:t>
            </w:r>
          </w:p>
        </w:tc>
      </w:tr>
    </w:tbl>
    <w:p>
      <w:pPr>
        <w:spacing w:after="0"/>
      </w:pPr>
    </w:p>
    <w:p>
      <w:pPr>
        <w:pStyle w:val="Heading2"/>
        <w:keepNext/>
        <w:pageBreakBefore w:val="0"/>
        <w:spacing w:before="100" w:after="100"/>
      </w:pPr>
      <w:r>
        <w:rPr>
          <w:rFonts w:ascii="Helvetica Neue" w:hAnsi="Helvetica Neue"/>
          <w:b/>
          <w:color w:val="082A4A"/>
          <w:sz w:val="21"/>
        </w:rPr>
        <w:t>Recommended live demonstration sequence</w:t>
      </w:r>
    </w:p>
    <w:p>
      <w:pPr>
        <w:spacing w:after="80" w:line="269" w:lineRule="auto"/>
        <w:ind w:left="317" w:hanging="317"/>
      </w:pPr>
      <w:r>
        <w:rPr>
          <w:rFonts w:ascii="Helvetica Neue" w:hAnsi="Helvetica Neue"/>
          <w:b/>
          <w:color w:val="376C93"/>
          <w:sz w:val="18"/>
        </w:rPr>
        <w:t xml:space="preserve">1. </w:t>
      </w:r>
      <w:r>
        <w:rPr>
          <w:rFonts w:ascii="Helvetica Neue" w:hAnsi="Helvetica Neue"/>
          <w:b/>
          <w:color w:val="082A4A"/>
          <w:sz w:val="18"/>
        </w:rPr>
        <w:t xml:space="preserve">Start the stack — </w:t>
      </w:r>
      <w:r>
        <w:rPr>
          <w:rFonts w:ascii="Helvetica Neue" w:hAnsi="Helvetica Neue"/>
          <w:color w:val="263746"/>
          <w:sz w:val="18"/>
        </w:rPr>
        <w:t>Run the launcher, show the PostgreSQL container is healthy, and open the frontend plus FastAPI documentation.</w:t>
      </w:r>
    </w:p>
    <w:p>
      <w:pPr>
        <w:spacing w:after="80" w:line="269" w:lineRule="auto"/>
        <w:ind w:left="317" w:hanging="317"/>
      </w:pPr>
      <w:r>
        <w:rPr>
          <w:rFonts w:ascii="Helvetica Neue" w:hAnsi="Helvetica Neue"/>
          <w:b/>
          <w:color w:val="376C93"/>
          <w:sz w:val="18"/>
        </w:rPr>
        <w:t xml:space="preserve">2. </w:t>
      </w:r>
      <w:r>
        <w:rPr>
          <w:rFonts w:ascii="Helvetica Neue" w:hAnsi="Helvetica Neue"/>
          <w:b/>
          <w:color w:val="082A4A"/>
          <w:sz w:val="18"/>
        </w:rPr>
        <w:t xml:space="preserve">Show service readiness — </w:t>
      </w:r>
      <w:r>
        <w:rPr>
          <w:rFonts w:ascii="Helvetica Neue" w:hAnsi="Helvetica Neue"/>
          <w:color w:val="263746"/>
          <w:sz w:val="18"/>
        </w:rPr>
        <w:t>Open the application and confirm the health endpoint is reachable.</w:t>
      </w:r>
    </w:p>
    <w:p>
      <w:pPr>
        <w:spacing w:after="80" w:line="269" w:lineRule="auto"/>
        <w:ind w:left="317" w:hanging="317"/>
      </w:pPr>
      <w:r>
        <w:rPr>
          <w:rFonts w:ascii="Helvetica Neue" w:hAnsi="Helvetica Neue"/>
          <w:b/>
          <w:color w:val="376C93"/>
          <w:sz w:val="18"/>
        </w:rPr>
        <w:t xml:space="preserve">3. </w:t>
      </w:r>
      <w:r>
        <w:rPr>
          <w:rFonts w:ascii="Helvetica Neue" w:hAnsi="Helvetica Neue"/>
          <w:b/>
          <w:color w:val="082A4A"/>
          <w:sz w:val="18"/>
        </w:rPr>
        <w:t xml:space="preserve">Demonstrate a supported leaf — </w:t>
      </w:r>
      <w:r>
        <w:rPr>
          <w:rFonts w:ascii="Helvetica Neue" w:hAnsi="Helvetica Neue"/>
          <w:color w:val="263746"/>
          <w:sz w:val="18"/>
        </w:rPr>
        <w:t>Upload a valid image, explain each guard, show the label, score, model version, supported conditions, and stored scan ID.</w:t>
      </w:r>
    </w:p>
    <w:p>
      <w:pPr>
        <w:spacing w:after="80" w:line="269" w:lineRule="auto"/>
        <w:ind w:left="317" w:hanging="317"/>
      </w:pPr>
      <w:r>
        <w:rPr>
          <w:rFonts w:ascii="Helvetica Neue" w:hAnsi="Helvetica Neue"/>
          <w:b/>
          <w:color w:val="376C93"/>
          <w:sz w:val="18"/>
        </w:rPr>
        <w:t xml:space="preserve">4. </w:t>
      </w:r>
      <w:r>
        <w:rPr>
          <w:rFonts w:ascii="Helvetica Neue" w:hAnsi="Helvetica Neue"/>
          <w:b/>
          <w:color w:val="082A4A"/>
          <w:sz w:val="18"/>
        </w:rPr>
        <w:t xml:space="preserve">Demonstrate uncertainty — </w:t>
      </w:r>
      <w:r>
        <w:rPr>
          <w:rFonts w:ascii="Helvetica Neue" w:hAnsi="Helvetica Neue"/>
          <w:color w:val="263746"/>
          <w:sz w:val="18"/>
        </w:rPr>
        <w:t>Use a low-confidence mock/test example or explain crop mismatch so reviewers see that the hint does not override prediction.</w:t>
      </w:r>
    </w:p>
    <w:p>
      <w:pPr>
        <w:spacing w:after="80" w:line="269" w:lineRule="auto"/>
        <w:ind w:left="317" w:hanging="317"/>
      </w:pPr>
      <w:r>
        <w:rPr>
          <w:rFonts w:ascii="Helvetica Neue" w:hAnsi="Helvetica Neue"/>
          <w:b/>
          <w:color w:val="376C93"/>
          <w:sz w:val="18"/>
        </w:rPr>
        <w:t xml:space="preserve">5. </w:t>
      </w:r>
      <w:r>
        <w:rPr>
          <w:rFonts w:ascii="Helvetica Neue" w:hAnsi="Helvetica Neue"/>
          <w:b/>
          <w:color w:val="082A4A"/>
          <w:sz w:val="18"/>
        </w:rPr>
        <w:t xml:space="preserve">Demonstrate the chatbot — </w:t>
      </w:r>
      <w:r>
        <w:rPr>
          <w:rFonts w:ascii="Helvetica Neue" w:hAnsi="Helvetica Neue"/>
          <w:color w:val="263746"/>
          <w:sz w:val="18"/>
        </w:rPr>
        <w:t>Ask an agricultural question, then a follow-up; point out retained conversation context, backend-only key, model name, disclaimer, and stored message record.</w:t>
      </w:r>
    </w:p>
    <w:p>
      <w:pPr>
        <w:spacing w:after="80" w:line="269" w:lineRule="auto"/>
        <w:ind w:left="317" w:hanging="317"/>
      </w:pPr>
      <w:r>
        <w:rPr>
          <w:rFonts w:ascii="Helvetica Neue" w:hAnsi="Helvetica Neue"/>
          <w:b/>
          <w:color w:val="376C93"/>
          <w:sz w:val="18"/>
        </w:rPr>
        <w:t xml:space="preserve">6. </w:t>
      </w:r>
      <w:r>
        <w:rPr>
          <w:rFonts w:ascii="Helvetica Neue" w:hAnsi="Helvetica Neue"/>
          <w:b/>
          <w:color w:val="082A4A"/>
          <w:sz w:val="18"/>
        </w:rPr>
        <w:t xml:space="preserve">Close with evidence — </w:t>
      </w:r>
      <w:r>
        <w:rPr>
          <w:rFonts w:ascii="Helvetica Neue" w:hAnsi="Helvetica Neue"/>
          <w:color w:val="263746"/>
          <w:sz w:val="18"/>
        </w:rPr>
        <w:t>Present the registered test metrics and immediately state the controlled-dataset limitation and future field-evaluation plan.</w:t>
      </w:r>
    </w:p>
    <w:p>
      <w:r>
        <w:br w:type="page"/>
      </w:r>
    </w:p>
    <w:p>
      <w:pPr>
        <w:pStyle w:val="Heading1"/>
        <w:keepNext/>
        <w:pageBreakBefore w:val="0"/>
        <w:spacing w:before="140" w:after="100"/>
      </w:pPr>
      <w:r>
        <w:rPr>
          <w:rFonts w:ascii="Helvetica Neue" w:hAnsi="Helvetica Neue"/>
          <w:b/>
          <w:color w:val="082A4A"/>
          <w:sz w:val="27"/>
        </w:rPr>
        <w:t>17 Limitations Alternatives and Next Steps</w:t>
      </w:r>
    </w:p>
    <w:p>
      <w:pPr>
        <w:spacing w:before="20" w:after="140"/>
        <w:pBdr>
          <w:bottom w:val="single" w:sz="8" w:space="1" w:color="C9D8E5"/>
        </w:pBdr>
      </w:pPr>
    </w:p>
    <w:p>
      <w:pPr>
        <w:pStyle w:val="Heading2"/>
        <w:keepNext/>
        <w:pageBreakBefore w:val="0"/>
        <w:spacing w:before="100" w:after="100"/>
      </w:pPr>
      <w:r>
        <w:rPr>
          <w:rFonts w:ascii="Helvetica Neue" w:hAnsi="Helvetica Neue"/>
          <w:b/>
          <w:color w:val="082A4A"/>
          <w:sz w:val="21"/>
        </w:rPr>
        <w:t>Known limitations</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Only ten labels are supported. Northern Leaf Blight is absent; an affected maize image may be forced toward Common Rust or Healthy even with a high score.</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The crop classifier has not been validated on a representative field dataset and has no learned leaf/non-leaf or unknown-disease detector.</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The chatbot is general Gemini generation, not citation-grounded retrieval. Important advice requires independent verification.</w:t>
      </w:r>
    </w:p>
    <w:p>
      <w:pPr>
        <w:spacing w:after="52" w:line="264" w:lineRule="auto"/>
        <w:ind w:left="259" w:hanging="173"/>
      </w:pPr>
      <w:r>
        <w:rPr>
          <w:rFonts w:ascii="Helvetica Neue" w:hAnsi="Helvetica Neue"/>
          <w:b/>
          <w:color w:val="376C93"/>
          <w:sz w:val="18"/>
        </w:rPr>
        <w:t xml:space="preserve">•  </w:t>
      </w:r>
      <w:r>
        <w:rPr>
          <w:rFonts w:ascii="Helvetica Neue" w:hAnsi="Helvetica Neue"/>
          <w:color w:val="263746"/>
          <w:sz w:val="18"/>
        </w:rPr>
        <w:t>Docker Compose does not yet build or run the frontend and backend, and the current local configuration is not production hardened.</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Alternative</w:t>
            </w:r>
          </w:p>
        </w:tc>
        <w:tc>
          <w:tcPr>
            <w:tcW w:type="dxa" w:w="324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Why considered</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Reason for current choice</w:t>
            </w:r>
          </w:p>
        </w:tc>
      </w:tr>
      <w:tr>
        <w:trPr>
          <w:cantSplit/>
          <w:cantSplit/>
        </w:trPr>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Train a CNN from scratch</w:t>
            </w:r>
          </w:p>
        </w:tc>
        <w:tc>
          <w:tcPr>
            <w:tcW w:type="dxa" w:w="324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Maximum architecture control</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Transfer learning provides stronger results with less data and training time</w:t>
            </w:r>
          </w:p>
        </w:tc>
      </w:tr>
      <w:tr>
        <w:trPr>
          <w:cantSplit/>
          <w:cantSplit/>
        </w:trPr>
        <w:tc>
          <w:tcPr>
            <w:tcW w:type="dxa" w:w="25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Use a larger vision backbone</w:t>
            </w:r>
          </w:p>
        </w:tc>
        <w:tc>
          <w:tcPr>
            <w:tcW w:type="dxa" w:w="324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Potentially higher capacity</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MobileNetV2 offers a better local CPU latency and footprint tradeoff</w:t>
            </w:r>
          </w:p>
        </w:tc>
      </w:tr>
      <w:tr>
        <w:trPr>
          <w:cantSplit/>
          <w:cantSplit/>
        </w:trPr>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Force inference to the selected crop</w:t>
            </w:r>
          </w:p>
        </w:tc>
        <w:tc>
          <w:tcPr>
            <w:tcW w:type="dxa" w:w="324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Could simplify displayed choices</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Rejected because a wrong hint could create a confidently misleading disease result</w:t>
            </w:r>
          </w:p>
        </w:tc>
      </w:tr>
      <w:tr>
        <w:trPr>
          <w:cantSplit/>
          <w:cantSplit/>
        </w:trPr>
        <w:tc>
          <w:tcPr>
            <w:tcW w:type="dxa" w:w="25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Call Gemini directly from React</w:t>
            </w:r>
          </w:p>
        </w:tc>
        <w:tc>
          <w:tcPr>
            <w:tcW w:type="dxa" w:w="324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Fewer backend lines</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Rejected because it exposes the API key and bypasses persistence and safety controls</w:t>
            </w:r>
          </w:p>
        </w:tc>
      </w:tr>
      <w:tr>
        <w:trPr>
          <w:cantSplit/>
          <w:cantSplit/>
        </w:trPr>
        <w:tc>
          <w:tcPr>
            <w:tcW w:type="dxa" w:w="25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Full RAG immediately</w:t>
            </w:r>
          </w:p>
        </w:tc>
        <w:tc>
          <w:tcPr>
            <w:tcW w:type="dxa" w:w="324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Grounded citations and stronger traceability</w:t>
            </w:r>
          </w:p>
        </w:tc>
        <w:tc>
          <w:tcPr>
            <w:tcW w:type="dxa" w:w="4392"/>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Deferred until an approved, licensed corpus and retrieval evaluation are ready</w:t>
            </w:r>
          </w:p>
        </w:tc>
      </w:tr>
      <w:tr>
        <w:trPr>
          <w:cantSplit/>
          <w:cantSplit/>
        </w:trPr>
        <w:tc>
          <w:tcPr>
            <w:tcW w:type="dxa" w:w="25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5"/>
              </w:rPr>
              <w:t>Containerize every service now</w:t>
            </w:r>
          </w:p>
        </w:tc>
        <w:tc>
          <w:tcPr>
            <w:tcW w:type="dxa" w:w="324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Closer deployment parity</w:t>
            </w:r>
          </w:p>
        </w:tc>
        <w:tc>
          <w:tcPr>
            <w:tcW w:type="dxa" w:w="4392"/>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5"/>
              </w:rPr>
              <w:t>Deferred while host-run services provide faster development iteration</w:t>
            </w:r>
          </w:p>
        </w:tc>
      </w:tr>
    </w:tbl>
    <w:p>
      <w:pPr>
        <w:spacing w:after="0"/>
      </w:pPr>
    </w:p>
    <w:p>
      <w:pPr>
        <w:pStyle w:val="Heading2"/>
        <w:keepNext/>
        <w:pageBreakBefore w:val="0"/>
        <w:spacing w:before="100" w:after="100"/>
      </w:pPr>
      <w:r>
        <w:rPr>
          <w:rFonts w:ascii="Helvetica Neue" w:hAnsi="Helvetica Neue"/>
          <w:b/>
          <w:color w:val="082A4A"/>
          <w:sz w:val="21"/>
        </w:rPr>
        <w:t>Prioritized next milestones</w:t>
      </w:r>
    </w:p>
    <w:tbl>
      <w:tblPr>
        <w:tblW w:type="auto" w:w="0"/>
        <w:jc w:val="center"/>
        <w:tblLayout w:type="fixed"/>
        <w:tblLook w:firstColumn="1" w:firstRow="1" w:lastColumn="0" w:lastRow="0" w:noHBand="0" w:noVBand="1" w:val="04A0"/>
      </w:tblPr>
      <w:tblGrid>
        <w:gridCol w:w="3408"/>
        <w:gridCol w:w="3408"/>
        <w:gridCol w:w="3408"/>
      </w:tblGrid>
      <w:tr>
        <w:trPr>
          <w:cantSplit/>
          <w:tblHeader w:val="true"/>
          <w:cantSplit/>
        </w:trPr>
        <w:tc>
          <w:tcPr>
            <w:tcW w:type="dxa" w:w="12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Milestone</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Deliverable</w:t>
            </w:r>
          </w:p>
        </w:tc>
        <w:tc>
          <w:tcPr>
            <w:tcW w:type="dxa" w:w="43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Exit criteria</w:t>
            </w:r>
          </w:p>
        </w:tc>
      </w:tr>
      <w:tr>
        <w:trPr>
          <w:cantSplit/>
          <w:cantSplit/>
        </w:trPr>
        <w:tc>
          <w:tcPr>
            <w:tcW w:type="dxa" w:w="12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M1 Field evidence</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Consented external field test set with unknown and negative examples</w:t>
            </w:r>
          </w:p>
        </w:tc>
        <w:tc>
          <w:tcPr>
            <w:tcW w:type="dxa" w:w="43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Predefined accuracy, calibration, OOD and subgroup report</w:t>
            </w:r>
          </w:p>
        </w:tc>
      </w:tr>
      <w:tr>
        <w:trPr>
          <w:cantSplit/>
          <w:cantSplit/>
        </w:trPr>
        <w:tc>
          <w:tcPr>
            <w:tcW w:type="dxa" w:w="12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M2 Model expansion</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Add Northern Leaf Blight and other approved conditions</w:t>
            </w:r>
          </w:p>
        </w:tc>
        <w:tc>
          <w:tcPr>
            <w:tcW w:type="dxa" w:w="432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Versioned retraining, confusion analysis and threshold calibration</w:t>
            </w:r>
          </w:p>
        </w:tc>
      </w:tr>
      <w:tr>
        <w:trPr>
          <w:cantSplit/>
          <w:cantSplit/>
        </w:trPr>
        <w:tc>
          <w:tcPr>
            <w:tcW w:type="dxa" w:w="12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M3 Grounded advisor</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Approved corpus ingestion, embeddings, retrieval and page-level citations</w:t>
            </w:r>
          </w:p>
        </w:tc>
        <w:tc>
          <w:tcPr>
            <w:tcW w:type="dxa" w:w="43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Retrieval recall and citation-faithfulness evaluation passes</w:t>
            </w:r>
          </w:p>
        </w:tc>
      </w:tr>
      <w:tr>
        <w:trPr>
          <w:cantSplit/>
          <w:cantSplit/>
        </w:trPr>
        <w:tc>
          <w:tcPr>
            <w:tcW w:type="dxa" w:w="12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M4 Reproducible deployment</w:t>
            </w:r>
          </w:p>
        </w:tc>
        <w:tc>
          <w:tcPr>
            <w:tcW w:type="dxa" w:w="468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Dockerfiles for API and frontend plus full Compose stack</w:t>
            </w:r>
          </w:p>
        </w:tc>
        <w:tc>
          <w:tcPr>
            <w:tcW w:type="dxa" w:w="432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One-command clean-host startup and health checks</w:t>
            </w:r>
          </w:p>
        </w:tc>
      </w:tr>
      <w:tr>
        <w:trPr>
          <w:cantSplit/>
          <w:cantSplit/>
        </w:trPr>
        <w:tc>
          <w:tcPr>
            <w:tcW w:type="dxa" w:w="12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4"/>
              </w:rPr>
              <w:t>M5 Production controls</w:t>
            </w:r>
          </w:p>
        </w:tc>
        <w:tc>
          <w:tcPr>
            <w:tcW w:type="dxa" w:w="468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Identity, authorization, HTTPS, rate limits, secret manager, monitoring and backups</w:t>
            </w:r>
          </w:p>
        </w:tc>
        <w:tc>
          <w:tcPr>
            <w:tcW w:type="dxa" w:w="432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4"/>
              </w:rPr>
              <w:t>Security, privacy and recovery review completed</w:t>
            </w:r>
          </w:p>
        </w:tc>
      </w:tr>
    </w:tbl>
    <w:p>
      <w:pPr>
        <w:spacing w:after="0"/>
      </w:pPr>
    </w:p>
    <w:p>
      <w:r>
        <w:br w:type="page"/>
      </w:r>
    </w:p>
    <w:p>
      <w:pPr>
        <w:pStyle w:val="Heading1"/>
        <w:keepNext/>
        <w:pageBreakBefore w:val="0"/>
        <w:spacing w:before="140" w:after="100"/>
      </w:pPr>
      <w:r>
        <w:rPr>
          <w:rFonts w:ascii="Helvetica Neue" w:hAnsi="Helvetica Neue"/>
          <w:b/>
          <w:color w:val="082A4A"/>
          <w:sz w:val="27"/>
        </w:rPr>
        <w:t>18 Conclusion</w:t>
      </w:r>
    </w:p>
    <w:p>
      <w:pPr>
        <w:spacing w:before="20" w:after="140"/>
        <w:pBdr>
          <w:bottom w:val="single" w:sz="8" w:space="1" w:color="C9D8E5"/>
        </w:pBdr>
      </w:pPr>
    </w:p>
    <w:p>
      <w:pPr>
        <w:spacing w:after="104" w:line="276" w:lineRule="auto"/>
        <w:jc w:val="both"/>
      </w:pPr>
      <w:r>
        <w:rPr>
          <w:rFonts w:ascii="Helvetica Neue" w:hAnsi="Helvetica Neue"/>
          <w:color w:val="263746"/>
          <w:sz w:val="18"/>
        </w:rPr>
        <w:t>KrishiMitra's present design demonstrates two complete application flows on a shared technical foundation. The crop-health module combines deterministic input screening, a versioned MobileNetV2 classifier, confidence-aware interpretation, and privacy-conscious audit storage. The agronomy module combines bounded conversation history, backend-only Gemini access, safety instructions, explicit provider error handling, and durable message records.</w:t>
      </w:r>
    </w:p>
    <w:p>
      <w:pPr>
        <w:spacing w:after="104" w:line="276" w:lineRule="auto"/>
        <w:jc w:val="both"/>
      </w:pPr>
      <w:r>
        <w:rPr>
          <w:rFonts w:ascii="Helvetica Neue" w:hAnsi="Helvetica Neue"/>
          <w:color w:val="263746"/>
          <w:sz w:val="18"/>
        </w:rPr>
        <w:t>The most important technical property is transparency: the system records which model produced each result, distinguishes supported labels from unsupported conditions, exposes uncertainty instead of hiding it, and separates implemented functionality from prepared future infrastructure. The benchmark is strong within its controlled test set, while the document deliberately avoids converting that evidence into an unsupported field-accuracy claim.</w:t>
      </w:r>
    </w:p>
    <w:p>
      <w:pPr>
        <w:pStyle w:val="Heading2"/>
        <w:keepNext/>
        <w:pageBreakBefore w:val="0"/>
        <w:spacing w:before="100" w:after="100"/>
      </w:pPr>
      <w:r>
        <w:rPr>
          <w:rFonts w:ascii="Helvetica Neue" w:hAnsi="Helvetica Neue"/>
          <w:b/>
          <w:color w:val="082A4A"/>
          <w:sz w:val="21"/>
        </w:rPr>
        <w:t>Implementation evidence in the repository</w:t>
      </w:r>
    </w:p>
    <w:tbl>
      <w:tblPr>
        <w:tblW w:type="auto" w:w="0"/>
        <w:jc w:val="center"/>
        <w:tblLayout w:type="fixed"/>
        <w:tblLook w:firstColumn="1" w:firstRow="1" w:lastColumn="0" w:lastRow="0" w:noHBand="0" w:noVBand="1" w:val="04A0"/>
      </w:tblPr>
      <w:tblGrid>
        <w:gridCol w:w="5112"/>
        <w:gridCol w:w="5112"/>
      </w:tblGrid>
      <w:tr>
        <w:trPr>
          <w:cantSplit/>
          <w:tblHeader w:val="true"/>
          <w:cantSplit/>
        </w:trPr>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Evidence</w:t>
            </w:r>
          </w:p>
        </w:tc>
        <w:tc>
          <w:tcPr>
            <w:tcW w:type="dxa" w:w="72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shd w:fill="082A4A"/>
          </w:tcPr>
          <w:p>
            <w:pPr>
              <w:spacing w:after="0" w:line="259" w:lineRule="auto"/>
              <w:jc w:val="left"/>
            </w:pPr>
            <w:r/>
            <w:r>
              <w:rPr>
                <w:rFonts w:ascii="Helvetica Neue" w:hAnsi="Helvetica Neue"/>
                <w:b/>
                <w:color w:val="FFFFFF"/>
                <w:sz w:val="16"/>
              </w:rPr>
              <w:t>Repository location</w:t>
            </w:r>
          </w:p>
        </w:tc>
      </w:tr>
      <w:tr>
        <w:trPr>
          <w:cantSplit/>
          <w:cantSplit/>
        </w:trPr>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Frontend application</w:t>
            </w:r>
          </w:p>
        </w:tc>
        <w:tc>
          <w:tcPr>
            <w:tcW w:type="dxa" w:w="72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frontend/src/App.tsx, frontend/src/main.tsx, frontend/src/styles.css</w:t>
            </w:r>
          </w:p>
        </w:tc>
      </w:tr>
      <w:tr>
        <w:trPr>
          <w:cantSplit/>
          <w:cantSplit/>
        </w:trPr>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API and domain services</w:t>
            </w:r>
          </w:p>
        </w:tc>
        <w:tc>
          <w:tcPr>
            <w:tcW w:type="dxa" w:w="72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backend/app/api/v1/endpoints and backend/app/modules</w:t>
            </w:r>
          </w:p>
        </w:tc>
      </w:tr>
      <w:tr>
        <w:trPr>
          <w:cantSplit/>
          <w:cantSplit/>
        </w:trPr>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Persistence and migrations</w:t>
            </w:r>
          </w:p>
        </w:tc>
        <w:tc>
          <w:tcPr>
            <w:tcW w:type="dxa" w:w="72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backend/app/db and backend/alembic/versions</w:t>
            </w:r>
          </w:p>
        </w:tc>
      </w:tr>
      <w:tr>
        <w:trPr>
          <w:cantSplit/>
          <w:cantSplit/>
        </w:trPr>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Training and data preparation</w:t>
            </w:r>
          </w:p>
        </w:tc>
        <w:tc>
          <w:tcPr>
            <w:tcW w:type="dxa" w:w="72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backend/scripts/train_crop_health.py and data/*.py</w:t>
            </w:r>
          </w:p>
        </w:tc>
      </w:tr>
      <w:tr>
        <w:trPr>
          <w:cantSplit/>
          <w:cantSplit/>
        </w:trPr>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Model benchmark registry</w:t>
            </w:r>
          </w:p>
        </w:tc>
        <w:tc>
          <w:tcPr>
            <w:tcW w:type="dxa" w:w="72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docs/model_registry/mobilenetv2-10class-v1.json</w:t>
            </w:r>
          </w:p>
        </w:tc>
      </w:tr>
      <w:tr>
        <w:trPr>
          <w:cantSplit/>
          <w:cantSplit/>
        </w:trPr>
        <w:tc>
          <w:tcPr>
            <w:tcW w:type="dxa" w:w="3024"/>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Local operations</w:t>
            </w:r>
          </w:p>
        </w:tc>
        <w:tc>
          <w:tcPr>
            <w:tcW w:type="dxa" w:w="7200"/>
            <w:shd w:fill="F4F8FB"/>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compose.yaml, Start-KrishiMitra.cmd, scripts/Start-KrishiMitra.ps1</w:t>
            </w:r>
          </w:p>
        </w:tc>
      </w:tr>
      <w:tr>
        <w:trPr>
          <w:cantSplit/>
          <w:cantSplit/>
        </w:trPr>
        <w:tc>
          <w:tcPr>
            <w:tcW w:type="dxa" w:w="3024"/>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color w:val="263746"/>
                <w:sz w:val="16"/>
              </w:rPr>
              <w:t>Automated verification</w:t>
            </w:r>
          </w:p>
        </w:tc>
        <w:tc>
          <w:tcPr>
            <w:tcW w:type="dxa" w:w="7200"/>
            <w:vAlign w:val="center"/>
            <w:tcMar>
              <w:top w:w="90" w:type="dxa"/>
              <w:start w:w="100" w:type="dxa"/>
              <w:bottom w:w="90" w:type="dxa"/>
              <w:end w:w="100" w:type="dxa"/>
            </w:tcMar>
            <w:tcBorders>
              <w:top w:val="single" w:sz="6" w:space="0" w:color="C9D8E5"/>
              <w:left w:val="single" w:sz="6" w:space="0" w:color="C9D8E5"/>
              <w:bottom w:val="single" w:sz="6" w:space="0" w:color="C9D8E5"/>
              <w:right w:val="single" w:sz="6" w:space="0" w:color="C9D8E5"/>
              <w:insideH w:val="single" w:sz="6" w:space="0" w:color="C9D8E5"/>
              <w:insideV w:val="single" w:sz="6" w:space="0" w:color="C9D8E5"/>
            </w:tcBorders>
          </w:tcPr>
          <w:p>
            <w:pPr>
              <w:spacing w:after="0" w:line="259" w:lineRule="auto"/>
              <w:jc w:val="left"/>
            </w:pPr>
            <w:r/>
            <w:r>
              <w:rPr>
                <w:rFonts w:ascii="Helvetica Neue" w:hAnsi="Helvetica Neue"/>
                <w:b w:val="0"/>
                <w:color w:val="263746"/>
                <w:sz w:val="16"/>
              </w:rPr>
              <w:t>backend/tests and frontend production build configuration</w:t>
            </w:r>
          </w:p>
        </w:tc>
      </w:tr>
    </w:tbl>
    <w:p>
      <w:pPr>
        <w:spacing w:after="0"/>
      </w:pP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pos="10080" w:val="right"/>
      </w:tabs>
      <w:spacing w:before="80" w:after="0"/>
    </w:pPr>
    <w:r>
      <w:rPr>
        <w:rFonts w:ascii="Helvetica Neue" w:hAnsi="Helvetica Neue"/>
        <w:color w:val="5B7085"/>
        <w:sz w:val="15"/>
      </w:rPr>
      <w:t>KrishiMitra | System Design and Technical Methodology</w:t>
    </w:r>
    <w:r>
      <w:tab/>
    </w:r>
    <w:r>
      <w:rPr>
        <w:rFonts w:ascii="Helvetica Neue" w:hAnsi="Helvetica Neue"/>
        <w:color w:val="5B7085"/>
        <w:sz w:val="15"/>
      </w:rPr>
      <w:t xml:space="preserve">Page </w:t>
    </w:r>
    <w:r>
      <w:fldChar w:fldCharType="begin"/>
    </w:r>
    <w:r>
      <w:instrText xml:space="preserve"> PAGE </w:instrText>
    </w:r>
    <w:r>
      <w:fldChar w:fldCharType="separate"/>
    </w:r>
    <w:r>
      <w:rPr>
        <w:rFonts w:ascii="Helvetica Neue" w:hAnsi="Helvetica Neue"/>
        <w:color w:val="5B7085"/>
        <w:sz w:val="15"/>
      </w:rPr>
      <w:t>1</w:t>
    </w:r>
    <w: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263746"/>
      <w:sz w:val="18"/>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Helvetica Neue" w:hAnsi="Helvetica Neue"/>
      <w:b/>
      <w:bCs w:val="1"/>
      <w:color w:val="082A4A"/>
      <w:sz w:val="27"/>
      <w:szCs w:val="27"/>
    </w:rPr>
  </w:style>
  <w:style w:type="paragraph" w:styleId="Heading2">
    <w:name w:val="heading 2"/>
    <w:basedOn w:val="Normal"/>
    <w:next w:val="Normal"/>
    <w:pPr>
      <w:keepNext w:val="1"/>
      <w:keepLines w:val="1"/>
      <w:spacing w:after="0" w:before="200" w:lineRule="auto"/>
    </w:pPr>
    <w:rPr>
      <w:rFonts w:ascii="Helvetica Neue" w:cs="Calibri" w:eastAsia="Calibri" w:hAnsi="Helvetica Neue"/>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bCs w:val="1"/>
      <w:color w:val="082A4A"/>
      <w:sz w:val="44"/>
      <w:szCs w:val="44"/>
    </w:rPr>
  </w:style>
  <w:style w:type="paragraph" w:styleId="Subtitle">
    <w:name w:val="Subtitle"/>
    <w:basedOn w:val="Normal"/>
    <w:next w:val="Normal"/>
    <w:pPr/>
    <w:rPr>
      <w:rFonts w:ascii="Helvetica Neue" w:cs="Calibri" w:eastAsia="Calibri" w:hAnsi="Helvetica Neue"/>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KrishiMitra System Design and Technical Methodology</dc:title>
  <cp:lastModifiedBy>python-docx</cp:lastModifiedBy>
  <cp:revision>1</cp:revision>
  <dcterms:modified xsi:type="dcterms:W3CDTF">2026-09-15T16:50:27Z</dcterms:modified>
  <dc:subject>Architecture, implementation pipelines, machine learning methodology, chatbot integration, and benchmark evidence</dc:subject>
  <dc:creator>KrishiMitra project team</dc:creator>
  <cp:keywords>KrishiMitra, system design, FastAPI, React, MobileNetV2, Gemini, PostgreSQL, Docker</cp:keywords>
  <dc:description>Reviewer-facing technical design document generated from the retained system-design template.</dc:description>
</cp:coreProperties>
</file>