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76"/>
        </w:rPr>
        <w:t>CRYPTIC</w:t>
      </w:r>
    </w:p>
    <w:p>
      <w:pPr>
        <w:jc w:val="center"/>
      </w:pPr>
      <w:r>
        <w:rPr>
          <w:b/>
          <w:sz w:val="36"/>
        </w:rPr>
        <w:t>USER GUIDE</w:t>
      </w:r>
    </w:p>
    <w:p>
      <w:pPr>
        <w:jc w:val="center"/>
      </w:pPr>
      <w:r>
        <w:rPr>
          <w:sz w:val="21"/>
        </w:rPr>
        <w:t>AI Risk Manager • Detect → Investigate → Localize → Explain → Respond → Audit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Document purpose</w:t>
              <w:br/>
            </w:r>
            <w:r>
              <w:rPr>
                <w:sz w:val="18"/>
              </w:rPr>
              <w:t>A practical operating guide for the CRYPTIC risk platform. This guide focuses on what each feature does, how the features connect, how to investigate a risk event, and how to interpret model evaluation and live testing.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Important naming rule</w:t>
              <w:br/>
            </w:r>
            <w:r>
              <w:rPr>
                <w:sz w:val="18"/>
              </w:rPr>
              <w:t>Feature names are used consistently throughout this guide so operators can identify the exact CRYPTIC workspace involved in each step.</w:t>
            </w:r>
          </w:p>
        </w:tc>
      </w:tr>
    </w:tbl>
    <w:p>
      <w:pPr>
        <w:spacing w:after="20"/>
      </w:pPr>
    </w:p>
    <w:p>
      <w:pPr>
        <w:pStyle w:val="Heading1"/>
      </w:pPr>
      <w:r>
        <w:t>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Feature name</w:t>
            </w:r>
          </w:p>
        </w:tc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Primary purpose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Overview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Risk Overview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Live risk posture, KPIs, trends and events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Fraud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Fraud Detection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Transaction-level fraud prediction and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Returns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Order &amp; Return Risk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RTO/return-risk assessment and mitigation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Disputes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Disputes &amp; Chargebacks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Dispute investigation and evidence workflow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Payment Intelligence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Payment volume, channels and transaction intelligence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Simulation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Risk Simulation Lab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Controlled risk scenarios and detection evaluation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Flow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Payment Flow Digital Twin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System-flow health and risk localization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Explainability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Explainable AI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Human-readable model evidence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Operations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Alerts Queue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Prioritized risk events and response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Reporting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Model, transaction, customer, risk, gateway and audit reporting</w:t>
            </w:r>
          </w:p>
        </w:tc>
      </w:tr>
    </w:tbl>
    <w:p>
      <w:r/>
    </w:p>
    <w:p>
      <w:pPr>
        <w:pStyle w:val="Heading1"/>
      </w:pPr>
      <w:r>
        <w:t>1. Platform Purpose &amp; Operating Model</w:t>
      </w:r>
    </w:p>
    <w:p>
      <w:r>
        <w:t>CRYPTIC is an AI-assisted risk management platform designed to help a merchant risk team detect suspicious activity, investigate the affected customer or transaction, localize risk within a payment flow, understand the model evidence, respond, and retain an auditable record.</w:t>
      </w:r>
    </w:p>
    <w:p>
      <w:r>
        <w:t>Core operating loop:</w:t>
      </w:r>
    </w:p>
    <w:p>
      <w:pPr>
        <w:pStyle w:val="ListBullet"/>
        <w:spacing w:after="40"/>
      </w:pPr>
      <w:r>
        <w:t>Detect</w:t>
      </w:r>
    </w:p>
    <w:p>
      <w:pPr>
        <w:pStyle w:val="ListBullet"/>
        <w:spacing w:after="40"/>
      </w:pPr>
      <w:r>
        <w:t>Investigate</w:t>
      </w:r>
    </w:p>
    <w:p>
      <w:pPr>
        <w:pStyle w:val="ListBullet"/>
        <w:spacing w:after="40"/>
      </w:pPr>
      <w:r>
        <w:t>Localize</w:t>
      </w:r>
    </w:p>
    <w:p>
      <w:pPr>
        <w:pStyle w:val="ListBullet"/>
        <w:spacing w:after="40"/>
      </w:pPr>
      <w:r>
        <w:t>Explain</w:t>
      </w:r>
    </w:p>
    <w:p>
      <w:pPr>
        <w:pStyle w:val="ListBullet"/>
        <w:spacing w:after="40"/>
      </w:pPr>
      <w:r>
        <w:t>Respond</w:t>
      </w:r>
    </w:p>
    <w:p>
      <w:pPr>
        <w:pStyle w:val="ListBullet"/>
        <w:spacing w:after="40"/>
      </w:pPr>
      <w:r>
        <w:t>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How the product should be used</w:t>
              <w:br/>
            </w:r>
            <w:r>
              <w:rPr>
                <w:sz w:val="18"/>
              </w:rPr>
              <w:t>Do not treat a single risk score as a final business decision. Use the alert, transaction/customer context, Payment Flow Digital Twin, Explainable AI evidence, and the relevant action workflow together.</w:t>
            </w:r>
          </w:p>
        </w:tc>
      </w:tr>
    </w:tbl>
    <w:p>
      <w:pPr>
        <w:spacing w:after="20"/>
      </w:pPr>
    </w:p>
    <w:p>
      <w:pPr>
        <w:pStyle w:val="Heading1"/>
      </w:pPr>
      <w:r>
        <w:t>2. Getting Started</w:t>
      </w:r>
    </w:p>
    <w:p>
      <w:pPr>
        <w:pStyle w:val="Heading2"/>
      </w:pPr>
      <w:r>
        <w:t>2.1 Sign in and environment</w:t>
      </w:r>
    </w:p>
    <w:p>
      <w:pPr>
        <w:pStyle w:val="ListNumber"/>
        <w:spacing w:after="40"/>
      </w:pPr>
      <w:r>
        <w:t>Open CRYPTIC and sign in using the configured account.</w:t>
      </w:r>
    </w:p>
    <w:p>
      <w:pPr>
        <w:pStyle w:val="ListNumber"/>
        <w:spacing w:after="40"/>
      </w:pPr>
      <w:r>
        <w:t>Confirm the environment shown in the top navigation before performing live/sandbox testing.</w:t>
      </w:r>
    </w:p>
    <w:p>
      <w:pPr>
        <w:pStyle w:val="ListNumber"/>
        <w:spacing w:after="40"/>
      </w:pPr>
      <w:r>
        <w:t>Use the live/test controls as provided by the deployment.</w:t>
      </w:r>
    </w:p>
    <w:p>
      <w:pPr>
        <w:pStyle w:val="ListNumber"/>
        <w:spacing w:after="40"/>
      </w:pPr>
      <w:r>
        <w:t>Open Risk Overview to confirm that the platform is receiving events.</w:t>
      </w:r>
    </w:p>
    <w:p>
      <w:pPr>
        <w:pStyle w:val="Heading2"/>
      </w:pPr>
      <w:r>
        <w:t>2.2 Recommended first check</w:t>
      </w:r>
    </w:p>
    <w:p>
      <w:pPr>
        <w:pStyle w:val="ListBullet"/>
        <w:spacing w:after="40"/>
      </w:pPr>
      <w:r>
        <w:t>Open Alerts Queue and review the highest-priority event.</w:t>
      </w:r>
    </w:p>
    <w:p>
      <w:pPr>
        <w:pStyle w:val="ListBullet"/>
        <w:spacing w:after="40"/>
      </w:pPr>
      <w:r>
        <w:t>Open the associated customer or transaction investigation.</w:t>
      </w:r>
    </w:p>
    <w:p>
      <w:pPr>
        <w:pStyle w:val="ListBullet"/>
        <w:spacing w:after="40"/>
      </w:pPr>
      <w:r>
        <w:t>Open Payment Flow Digital Twin to see the affected payment-flow layer.</w:t>
      </w:r>
    </w:p>
    <w:p>
      <w:pPr>
        <w:pStyle w:val="ListBullet"/>
        <w:spacing w:after="40"/>
      </w:pPr>
      <w:r>
        <w:t>Open Explainable AI for model evidence.</w:t>
      </w:r>
    </w:p>
    <w:p>
      <w:pPr>
        <w:pStyle w:val="ListBullet"/>
        <w:spacing w:after="40"/>
      </w:pPr>
      <w:r>
        <w:t>Take the appropriate response action and verify the event is recorded.</w:t>
      </w:r>
    </w:p>
    <w:p>
      <w:pPr>
        <w:pStyle w:val="Heading1"/>
      </w:pPr>
      <w:r>
        <w:t>3. Navigation &amp; Feature Map</w:t>
      </w:r>
    </w:p>
    <w:p>
      <w:r>
        <w:t>The following feature names are the reference names used throughout the guide:</w:t>
      </w:r>
    </w:p>
    <w:p>
      <w:pPr>
        <w:pStyle w:val="ListBullet"/>
        <w:spacing w:after="40"/>
      </w:pPr>
      <w:r>
        <w:t>Risk Overview</w:t>
      </w:r>
    </w:p>
    <w:p>
      <w:pPr>
        <w:pStyle w:val="ListBullet"/>
        <w:spacing w:after="40"/>
      </w:pPr>
      <w:r>
        <w:t>Disputes &amp; Chargebacks</w:t>
      </w:r>
    </w:p>
    <w:p>
      <w:pPr>
        <w:pStyle w:val="ListBullet"/>
        <w:spacing w:after="40"/>
      </w:pPr>
      <w:r>
        <w:t>Order &amp; Return Risk</w:t>
      </w:r>
    </w:p>
    <w:p>
      <w:pPr>
        <w:pStyle w:val="ListBullet"/>
        <w:spacing w:after="40"/>
      </w:pPr>
      <w:r>
        <w:t>Fraud Detection</w:t>
      </w:r>
    </w:p>
    <w:p>
      <w:pPr>
        <w:pStyle w:val="ListBullet"/>
        <w:spacing w:after="40"/>
      </w:pPr>
      <w:r>
        <w:t>Payment Intelligence</w:t>
      </w:r>
    </w:p>
    <w:p>
      <w:pPr>
        <w:pStyle w:val="ListBullet"/>
        <w:spacing w:after="40"/>
      </w:pPr>
      <w:r>
        <w:t>Alerts Queue</w:t>
      </w:r>
    </w:p>
    <w:p>
      <w:pPr>
        <w:pStyle w:val="ListBullet"/>
        <w:spacing w:after="40"/>
      </w:pPr>
      <w:r>
        <w:t>Risk Simulation Lab</w:t>
      </w:r>
    </w:p>
    <w:p>
      <w:pPr>
        <w:pStyle w:val="ListBullet"/>
        <w:spacing w:after="40"/>
      </w:pPr>
      <w:r>
        <w:t>Reports</w:t>
      </w:r>
    </w:p>
    <w:p>
      <w:pPr>
        <w:pStyle w:val="ListBullet"/>
        <w:spacing w:after="40"/>
      </w:pPr>
      <w:r>
        <w:t>Razorpay Settings</w:t>
      </w:r>
    </w:p>
    <w:p>
      <w:pPr>
        <w:pStyle w:val="ListBullet"/>
        <w:spacing w:after="40"/>
      </w:pPr>
      <w:r>
        <w:t>Merchant Store</w:t>
      </w:r>
    </w:p>
    <w:p>
      <w:pPr>
        <w:pStyle w:val="ListBullet"/>
        <w:spacing w:after="40"/>
      </w:pPr>
      <w:r>
        <w:t>Customer Investigation Mode</w:t>
      </w:r>
    </w:p>
    <w:p>
      <w:pPr>
        <w:pStyle w:val="ListBullet"/>
        <w:spacing w:after="40"/>
      </w:pPr>
      <w:r>
        <w:t>Payment Flow Digital Twin</w:t>
      </w:r>
    </w:p>
    <w:p>
      <w:pPr>
        <w:pStyle w:val="ListBullet"/>
        <w:spacing w:after="40"/>
      </w:pPr>
      <w:r>
        <w:t>Explainable AI</w:t>
      </w:r>
    </w:p>
    <w:p>
      <w:pPr>
        <w:pStyle w:val="Heading1"/>
      </w:pPr>
      <w:r>
        <w:t>4. Risk Overview</w:t>
      </w:r>
    </w:p>
    <w:p>
      <w:r>
        <w:t>Risk Overview is the operational home screen. It provides the quickest view of platform-wide risk activity.</w:t>
      </w:r>
    </w:p>
    <w:p>
      <w:pPr>
        <w:pStyle w:val="Heading2"/>
      </w:pPr>
      <w:r>
        <w:t>What to review</w:t>
      </w:r>
    </w:p>
    <w:p>
      <w:pPr>
        <w:pStyle w:val="ListBullet"/>
        <w:spacing w:after="40"/>
      </w:pPr>
      <w:r>
        <w:t>Total evaluated volume</w:t>
      </w:r>
    </w:p>
    <w:p>
      <w:pPr>
        <w:pStyle w:val="ListBullet"/>
        <w:spacing w:after="40"/>
      </w:pPr>
      <w:r>
        <w:t>Checked payments</w:t>
      </w:r>
    </w:p>
    <w:p>
      <w:pPr>
        <w:pStyle w:val="ListBullet"/>
        <w:spacing w:after="40"/>
      </w:pPr>
      <w:r>
        <w:t>High-risk/blocked activity</w:t>
      </w:r>
    </w:p>
    <w:p>
      <w:pPr>
        <w:pStyle w:val="ListBullet"/>
        <w:spacing w:after="40"/>
      </w:pPr>
      <w:r>
        <w:t>Dispute exposure</w:t>
      </w:r>
    </w:p>
    <w:p>
      <w:pPr>
        <w:pStyle w:val="ListBullet"/>
        <w:spacing w:after="40"/>
      </w:pPr>
      <w:r>
        <w:t>Risk distribution</w:t>
      </w:r>
    </w:p>
    <w:p>
      <w:pPr>
        <w:pStyle w:val="ListBullet"/>
        <w:spacing w:after="40"/>
      </w:pPr>
      <w:r>
        <w:t>Risk trend</w:t>
      </w:r>
    </w:p>
    <w:p>
      <w:pPr>
        <w:pStyle w:val="ListBullet"/>
        <w:spacing w:after="40"/>
      </w:pPr>
      <w:r>
        <w:t>Live transaction stream</w:t>
      </w:r>
    </w:p>
    <w:p>
      <w:pPr>
        <w:pStyle w:val="ListBullet"/>
        <w:spacing w:after="40"/>
      </w:pPr>
      <w:r>
        <w:t>High-priority risk events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Operator priority</w:t>
              <w:br/>
            </w:r>
            <w:r>
              <w:rPr>
                <w:sz w:val="18"/>
              </w:rPr>
              <w:t>When a critical event appears, move from Risk Overview to Alerts Queue and then into the specific customer/transaction investigation instead of relying only on aggregate charts.</w:t>
            </w:r>
          </w:p>
        </w:tc>
      </w:tr>
    </w:tbl>
    <w:p>
      <w:pPr>
        <w:spacing w:after="20"/>
      </w:pPr>
    </w:p>
    <w:p>
      <w:pPr>
        <w:pStyle w:val="Heading1"/>
      </w:pPr>
      <w:r>
        <w:t>5. Alerts Queue &amp; Critical Alert Workflow</w:t>
      </w:r>
    </w:p>
    <w:p>
      <w:r>
        <w:t>Alerts Queue is the entry point for prioritized operational response.</w:t>
      </w:r>
    </w:p>
    <w:p>
      <w:pPr>
        <w:pStyle w:val="Heading2"/>
      </w:pPr>
      <w:r>
        <w:t>5.1 Critical Alert → Customer Investigation → Digital Twin</w:t>
      </w:r>
    </w:p>
    <w:p>
      <w:pPr>
        <w:pStyle w:val="ListNumber"/>
        <w:spacing w:after="40"/>
      </w:pPr>
      <w:r>
        <w:t>Open the critical alert from Alerts Queue.</w:t>
      </w:r>
    </w:p>
    <w:p>
      <w:pPr>
        <w:pStyle w:val="ListNumber"/>
        <w:spacing w:after="40"/>
      </w:pPr>
      <w:r>
        <w:t>Confirm the transaction ID, amount, risk score and event reason.</w:t>
      </w:r>
    </w:p>
    <w:p>
      <w:pPr>
        <w:pStyle w:val="ListNumber"/>
        <w:spacing w:after="40"/>
      </w:pPr>
      <w:r>
        <w:t>Open the linked customer in Customer Investigation Mode.</w:t>
      </w:r>
    </w:p>
    <w:p>
      <w:pPr>
        <w:pStyle w:val="ListNumber"/>
        <w:spacing w:after="40"/>
      </w:pPr>
      <w:r>
        <w:t>Review only that customer's transactions, activity, payment usage and risk context.</w:t>
      </w:r>
    </w:p>
    <w:p>
      <w:pPr>
        <w:pStyle w:val="ListNumber"/>
        <w:spacing w:after="40"/>
      </w:pPr>
      <w:r>
        <w:t>Open Payment Flow Digital Twin.</w:t>
      </w:r>
    </w:p>
    <w:p>
      <w:pPr>
        <w:pStyle w:val="ListNumber"/>
        <w:spacing w:after="40"/>
      </w:pPr>
      <w:r>
        <w:t>Identify the highlighted or affected payment-flow layer.</w:t>
      </w:r>
    </w:p>
    <w:p>
      <w:pPr>
        <w:pStyle w:val="ListNumber"/>
        <w:spacing w:after="40"/>
      </w:pPr>
      <w:r>
        <w:t>Open Explainable AI to understand the model evidence.</w:t>
      </w:r>
    </w:p>
    <w:p>
      <w:pPr>
        <w:pStyle w:val="ListNumber"/>
        <w:spacing w:after="40"/>
      </w:pPr>
      <w:r>
        <w:t>Choose the appropriate response action.</w:t>
      </w:r>
    </w:p>
    <w:p>
      <w:pPr>
        <w:pStyle w:val="ListNumber"/>
        <w:spacing w:after="40"/>
      </w:pPr>
      <w:r>
        <w:t>Confirm the event/action is available in the audit trail.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Primary CRYPTIC investigation pattern</w:t>
              <w:br/>
            </w:r>
            <w:r>
              <w:rPr>
                <w:sz w:val="18"/>
              </w:rPr>
              <w:t>Critical Alert → Customer Investigation Mode → Payment Flow Digital Twin → Explainable AI → Action → Audit. This is the central connected workflow of the platform.</w:t>
            </w:r>
          </w:p>
        </w:tc>
      </w:tr>
    </w:tbl>
    <w:p>
      <w:pPr>
        <w:spacing w:after="20"/>
      </w:pPr>
    </w:p>
    <w:p>
      <w:pPr>
        <w:pStyle w:val="Heading1"/>
      </w:pPr>
      <w:r>
        <w:t>6. Customer Investigation Mode</w:t>
      </w:r>
    </w:p>
    <w:p>
      <w:r>
        <w:t>Customer Investigation Mode isolates a customer context so an operator can investigate without mixing unrelated merchant activity.</w:t>
      </w:r>
    </w:p>
    <w:p>
      <w:pPr>
        <w:pStyle w:val="Heading2"/>
      </w:pPr>
      <w:r>
        <w:t>Review areas</w:t>
      </w:r>
    </w:p>
    <w:p>
      <w:pPr>
        <w:pStyle w:val="ListBullet"/>
        <w:spacing w:after="40"/>
      </w:pPr>
      <w:r>
        <w:t>Customer identity/reference</w:t>
      </w:r>
    </w:p>
    <w:p>
      <w:pPr>
        <w:pStyle w:val="ListBullet"/>
        <w:spacing w:after="40"/>
      </w:pPr>
      <w:r>
        <w:t>Risk score and status</w:t>
      </w:r>
    </w:p>
    <w:p>
      <w:pPr>
        <w:pStyle w:val="ListBullet"/>
        <w:spacing w:after="40"/>
      </w:pPr>
      <w:r>
        <w:t>Customer-specific transaction activity</w:t>
      </w:r>
    </w:p>
    <w:p>
      <w:pPr>
        <w:pStyle w:val="ListBullet"/>
        <w:spacing w:after="40"/>
      </w:pPr>
      <w:r>
        <w:t>Payment amounts and usage</w:t>
      </w:r>
    </w:p>
    <w:p>
      <w:pPr>
        <w:pStyle w:val="ListBullet"/>
        <w:spacing w:after="40"/>
      </w:pPr>
      <w:r>
        <w:t>Recent risk events</w:t>
      </w:r>
    </w:p>
    <w:p>
      <w:pPr>
        <w:pStyle w:val="ListBullet"/>
        <w:spacing w:after="40"/>
      </w:pPr>
      <w:r>
        <w:t>Customer timeline/activity</w:t>
      </w:r>
    </w:p>
    <w:p>
      <w:pPr>
        <w:pStyle w:val="ListBullet"/>
        <w:spacing w:after="40"/>
      </w:pPr>
      <w:r>
        <w:t>Payment Flow Digital Twin state</w:t>
      </w:r>
    </w:p>
    <w:p>
      <w:pPr>
        <w:pStyle w:val="Heading2"/>
      </w:pPr>
      <w:r>
        <w:t>Best practice</w:t>
      </w:r>
    </w:p>
    <w:p>
      <w:r>
        <w:t>Use the customer view after opening a critical alert. The customer view should answer: Who is affected? What happened? What changed? Which payment-flow layer is involved? What evidence supports the risk decision?</w:t>
      </w:r>
    </w:p>
    <w:p>
      <w:pPr>
        <w:pStyle w:val="Heading1"/>
      </w:pPr>
      <w:r>
        <w:t>7. Transaction Investigation</w:t>
      </w:r>
    </w:p>
    <w:p>
      <w:r>
        <w:t>Transaction investigation is used when a specific payment needs deeper review.</w:t>
      </w:r>
    </w:p>
    <w:p>
      <w:pPr>
        <w:pStyle w:val="ListBullet"/>
        <w:spacing w:after="40"/>
      </w:pPr>
      <w:r>
        <w:t>Transaction identifier and amount</w:t>
      </w:r>
    </w:p>
    <w:p>
      <w:pPr>
        <w:pStyle w:val="ListBullet"/>
        <w:spacing w:after="40"/>
      </w:pPr>
      <w:r>
        <w:t>Risk result</w:t>
      </w:r>
    </w:p>
    <w:p>
      <w:pPr>
        <w:pStyle w:val="ListBullet"/>
        <w:spacing w:after="40"/>
      </w:pPr>
      <w:r>
        <w:t>Relevant risk factors/signals</w:t>
      </w:r>
    </w:p>
    <w:p>
      <w:pPr>
        <w:pStyle w:val="ListBullet"/>
        <w:spacing w:after="40"/>
      </w:pPr>
      <w:r>
        <w:t>Customer context</w:t>
      </w:r>
    </w:p>
    <w:p>
      <w:pPr>
        <w:pStyle w:val="ListBullet"/>
        <w:spacing w:after="40"/>
      </w:pPr>
      <w:r>
        <w:t>Payment-flow context</w:t>
      </w:r>
    </w:p>
    <w:p>
      <w:pPr>
        <w:pStyle w:val="ListBullet"/>
        <w:spacing w:after="40"/>
      </w:pPr>
      <w:r>
        <w:t>Explanation/evidence</w:t>
      </w:r>
    </w:p>
    <w:p>
      <w:pPr>
        <w:pStyle w:val="ListBullet"/>
        <w:spacing w:after="40"/>
      </w:pPr>
      <w:r>
        <w:t>Recommended response</w:t>
      </w:r>
    </w:p>
    <w:p>
      <w:pPr>
        <w:pStyle w:val="Heading1"/>
      </w:pPr>
      <w:r>
        <w:t>8. Fraud Detection</w:t>
      </w:r>
    </w:p>
    <w:p>
      <w:r>
        <w:t>Fraud Detection is the primary transaction-level fraud evaluation workspace.</w:t>
      </w:r>
    </w:p>
    <w:p>
      <w:pPr>
        <w:pStyle w:val="Heading2"/>
      </w:pPr>
      <w:r>
        <w:t>Feature capabilities</w:t>
      </w:r>
    </w:p>
    <w:p>
      <w:pPr>
        <w:pStyle w:val="ListBullet"/>
        <w:spacing w:after="40"/>
      </w:pPr>
      <w:r>
        <w:t>Transaction parameter review</w:t>
      </w:r>
    </w:p>
    <w:p>
      <w:pPr>
        <w:pStyle w:val="ListBullet"/>
        <w:spacing w:after="40"/>
      </w:pPr>
      <w:r>
        <w:t>Fraud probability/risk score</w:t>
      </w:r>
    </w:p>
    <w:p>
      <w:pPr>
        <w:pStyle w:val="ListBullet"/>
        <w:spacing w:after="40"/>
      </w:pPr>
      <w:r>
        <w:t>Risk-factor presentation</w:t>
      </w:r>
    </w:p>
    <w:p>
      <w:pPr>
        <w:pStyle w:val="ListBullet"/>
        <w:spacing w:after="40"/>
      </w:pPr>
      <w:r>
        <w:t>Model recommendation</w:t>
      </w:r>
    </w:p>
    <w:p>
      <w:pPr>
        <w:pStyle w:val="ListBullet"/>
        <w:spacing w:after="40"/>
      </w:pPr>
      <w:r>
        <w:t>Holdout evaluation evidence</w:t>
      </w:r>
    </w:p>
    <w:p>
      <w:pPr>
        <w:pStyle w:val="ListBullet"/>
        <w:spacing w:after="40"/>
      </w:pPr>
      <w:r>
        <w:t>Fraud Injection Lab integration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Interpretation</w:t>
              <w:br/>
            </w:r>
            <w:r>
              <w:rPr>
                <w:sz w:val="18"/>
              </w:rPr>
              <w:t>Fraud Detection presents a model output for investigation and controlled evaluation. The displayed probability/risk score should be interpreted together with the model evidence and operating context.</w:t>
            </w:r>
          </w:p>
        </w:tc>
      </w:tr>
    </w:tbl>
    <w:p>
      <w:pPr>
        <w:spacing w:after="20"/>
      </w:pPr>
    </w:p>
    <w:p>
      <w:pPr>
        <w:pStyle w:val="Heading1"/>
      </w:pPr>
      <w:r>
        <w:t>9. Model Evaluation Metrics</w:t>
      </w:r>
    </w:p>
    <w:p>
      <w:r>
        <w:t>The recorded holdout evaluation for the current transaction fraud model 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r/>
            <w:r>
              <w:rPr>
                <w:b/>
                <w:sz w:val="17"/>
              </w:rPr>
              <w:t>Evaluation metric</w:t>
            </w:r>
          </w:p>
        </w:tc>
        <w:tc>
          <w:tcPr>
            <w:tcW w:type="dxa" w:w="5040"/>
            <w:vAlign w:val="center"/>
            <w:shd w:fill="EAF2FF"/>
          </w:tcPr>
          <w:p>
            <w:r/>
            <w:r>
              <w:rPr>
                <w:b/>
                <w:sz w:val="17"/>
              </w:rPr>
              <w:t>Recorded 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Accuracy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99.9884%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Precision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98.3122%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Recall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98.7288%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F1 Score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98.5201%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ROC-AUC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99.8922%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PR-AUC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99.2663%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False Positive Rate (FPR)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0.0067%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False Negative Rate (FNR)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1.2712%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Average inference latency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0.503 ms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P95 inference latency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0.698 ms</w:t>
            </w:r>
          </w:p>
        </w:tc>
      </w:tr>
    </w:tbl>
    <w:p>
      <w:pPr>
        <w:pStyle w:val="Heading2"/>
      </w:pPr>
      <w:r>
        <w:t>9.1 Holdout confusion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Actual / Predicted</w:t>
            </w:r>
          </w:p>
        </w:tc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Negative</w:t>
            </w:r>
          </w:p>
        </w:tc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Positive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Negative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59,960 (TN)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4 (FP)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Positive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3 (FN)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233 (TP)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Metric meaning</w:t>
              <w:br/>
            </w:r>
            <w:r>
              <w:rPr>
                <w:sz w:val="18"/>
              </w:rPr>
              <w:t>Accuracy measures overall correctness. Precision measures how often positive predictions were correct. Recall measures how many actual positives were detected. F1 balances precision and recall. ROC-AUC and PR-AUC summarize ranking performance. FPR captures false alarms; FNR captures missed positives.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Important qualification</w:t>
              <w:br/>
            </w:r>
            <w:r>
              <w:rPr>
                <w:sz w:val="18"/>
              </w:rPr>
              <w:t>These figures are the recorded holdout evaluation for the current model build. They are benchmark/model-evaluation results, not a guarantee of future production performance.</w:t>
            </w:r>
          </w:p>
        </w:tc>
      </w:tr>
    </w:tbl>
    <w:p>
      <w:pPr>
        <w:spacing w:after="20"/>
      </w:pPr>
    </w:p>
    <w:p>
      <w:pPr>
        <w:pStyle w:val="Heading1"/>
      </w:pPr>
      <w:r>
        <w:t>10. Training Data vs Live Testing Data</w:t>
      </w:r>
    </w:p>
    <w:p>
      <w:r>
        <w:t>CRYPTIC separates model training/evaluation from live payment-gateway testing. Historical training/evaluation data is used to build and validate the model. For testing the connected application flow, CRYPTIC can receive live data generated through a testing payment gateway.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Data source type</w:t>
            </w:r>
          </w:p>
        </w:tc>
        <w:tc>
          <w:tcPr>
            <w:tcW w:type="dxa" w:w="3360"/>
            <w:vAlign w:val="center"/>
            <w:shd w:fill="EAF2FF"/>
          </w:tcPr>
          <w:p>
            <w:r/>
            <w:r>
              <w:rPr>
                <w:b/>
                <w:sz w:val="17"/>
              </w:rPr>
              <w:t>Role in CRYPTIC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Model training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Historical training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Train the fraud model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Model evaluation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Isolated holdout data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Measure model performance</w:t>
            </w:r>
          </w:p>
        </w:tc>
      </w:tr>
      <w:tr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Application testing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Testing payment gateway</w:t>
            </w:r>
          </w:p>
        </w:tc>
        <w:tc>
          <w:tcPr>
            <w:tcW w:type="dxa" w:w="3360"/>
            <w:vAlign w:val="center"/>
          </w:tcPr>
          <w:p>
            <w:r/>
            <w:r>
              <w:rPr>
                <w:b w:val="0"/>
                <w:sz w:val="17"/>
              </w:rPr>
              <w:t>Generate live test payment events and validate the connected workflow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Boundary</w:t>
              <w:br/>
            </w:r>
            <w:r>
              <w:rPr>
                <w:sz w:val="18"/>
              </w:rPr>
              <w:t>Live testing data is used to validate the payment-to-risk-to-dashboard workflow. It is not presented in this guide as the training benchmark or as replacement ground truth for model evaluation.</w:t>
            </w:r>
          </w:p>
        </w:tc>
      </w:tr>
    </w:tbl>
    <w:p>
      <w:pPr>
        <w:spacing w:after="20"/>
      </w:pPr>
    </w:p>
    <w:p>
      <w:pPr>
        <w:pStyle w:val="Heading1"/>
      </w:pPr>
      <w:r>
        <w:t>11. Real-Time Risk Intelligence</w:t>
      </w:r>
    </w:p>
    <w:p>
      <w:r>
        <w:t>The connected operational flow is:</w:t>
      </w:r>
    </w:p>
    <w:p>
      <w:r>
        <w:t>Payment/Event → FastAPI → Risk Evaluation → Risk Event → Customer/Transaction Context → Payment Flow Digital Twin → Alert/Action → Audit</w:t>
      </w:r>
    </w:p>
    <w:p>
      <w:pPr>
        <w:pStyle w:val="ListBullet"/>
        <w:spacing w:after="40"/>
      </w:pPr>
      <w:r>
        <w:t>REST APIs support application operations.</w:t>
      </w:r>
    </w:p>
    <w:p>
      <w:pPr>
        <w:pStyle w:val="ListBullet"/>
        <w:spacing w:after="40"/>
      </w:pPr>
      <w:r>
        <w:t>WebSockets support real-time event delivery where configured.</w:t>
      </w:r>
    </w:p>
    <w:p>
      <w:pPr>
        <w:pStyle w:val="ListBullet"/>
        <w:spacing w:after="40"/>
      </w:pPr>
      <w:r>
        <w:t>Redis supports live Digital Twin state/overrides where configured.</w:t>
      </w:r>
    </w:p>
    <w:p>
      <w:pPr>
        <w:pStyle w:val="ListBullet"/>
        <w:spacing w:after="40"/>
      </w:pPr>
      <w:r>
        <w:t>Testing payment-gateway events can be synchronized into the connected risk workflow.</w:t>
      </w:r>
    </w:p>
    <w:p>
      <w:pPr>
        <w:pStyle w:val="ListBullet"/>
        <w:spacing w:after="40"/>
      </w:pPr>
      <w:r>
        <w:t>Risk events can be linked back to transaction/customer context.</w:t>
      </w:r>
    </w:p>
    <w:p>
      <w:pPr>
        <w:pStyle w:val="Heading1"/>
      </w:pPr>
      <w:r>
        <w:t>12. Payment Flow Digital Twin</w:t>
      </w:r>
    </w:p>
    <w:p>
      <w:r>
        <w:t>Payment Flow Digital Twin represents the payment path as connected system layers so an operator can see where risk or degradation is occurring.</w:t>
      </w:r>
    </w:p>
    <w:p>
      <w:pPr>
        <w:pStyle w:val="Heading2"/>
      </w:pPr>
      <w:r>
        <w:t>Payment-flow layers</w:t>
      </w:r>
    </w:p>
    <w:p>
      <w:pPr>
        <w:pStyle w:val="ListNumber"/>
        <w:spacing w:after="40"/>
      </w:pPr>
      <w:r>
        <w:t>1. API Entry Gateway</w:t>
      </w:r>
    </w:p>
    <w:p>
      <w:pPr>
        <w:pStyle w:val="ListNumber"/>
        <w:spacing w:after="40"/>
      </w:pPr>
      <w:r>
        <w:t>2. Auth &amp; Tokenization</w:t>
      </w:r>
    </w:p>
    <w:p>
      <w:pPr>
        <w:pStyle w:val="ListNumber"/>
        <w:spacing w:after="40"/>
      </w:pPr>
      <w:r>
        <w:t>3. CRYPTIC Risk Engine</w:t>
      </w:r>
    </w:p>
    <w:p>
      <w:pPr>
        <w:pStyle w:val="ListNumber"/>
        <w:spacing w:after="40"/>
      </w:pPr>
      <w:r>
        <w:t>4. Smart Payment Router</w:t>
      </w:r>
    </w:p>
    <w:p>
      <w:pPr>
        <w:pStyle w:val="ListNumber"/>
        <w:spacing w:after="40"/>
      </w:pPr>
      <w:r>
        <w:t>5. Acquiring Processor</w:t>
      </w:r>
    </w:p>
    <w:p>
      <w:pPr>
        <w:pStyle w:val="ListNumber"/>
        <w:spacing w:after="40"/>
      </w:pPr>
      <w:r>
        <w:t>6. Card Scheme &amp; Issuer</w:t>
      </w:r>
    </w:p>
    <w:p>
      <w:pPr>
        <w:pStyle w:val="ListNumber"/>
        <w:spacing w:after="40"/>
      </w:pPr>
      <w:r>
        <w:t>7. Settlement &amp; Clearing</w:t>
      </w:r>
    </w:p>
    <w:p>
      <w:pPr>
        <w:pStyle w:val="Heading2"/>
      </w:pPr>
      <w:r>
        <w:t>What the Digital Twin shows</w:t>
      </w:r>
    </w:p>
    <w:p>
      <w:pPr>
        <w:pStyle w:val="ListBullet"/>
        <w:spacing w:after="40"/>
      </w:pPr>
      <w:r>
        <w:t>Node status</w:t>
      </w:r>
    </w:p>
    <w:p>
      <w:pPr>
        <w:pStyle w:val="ListBullet"/>
        <w:spacing w:after="40"/>
      </w:pPr>
      <w:r>
        <w:t>Transactions-per-second (TPS) context</w:t>
      </w:r>
    </w:p>
    <w:p>
      <w:pPr>
        <w:pStyle w:val="ListBullet"/>
        <w:spacing w:after="40"/>
      </w:pPr>
      <w:r>
        <w:t>Error rate</w:t>
      </w:r>
    </w:p>
    <w:p>
      <w:pPr>
        <w:pStyle w:val="ListBullet"/>
        <w:spacing w:after="40"/>
      </w:pPr>
      <w:r>
        <w:t>Latency</w:t>
      </w:r>
    </w:p>
    <w:p>
      <w:pPr>
        <w:pStyle w:val="ListBullet"/>
        <w:spacing w:after="40"/>
      </w:pPr>
      <w:r>
        <w:t>Risk level</w:t>
      </w:r>
    </w:p>
    <w:p>
      <w:pPr>
        <w:pStyle w:val="ListBullet"/>
        <w:spacing w:after="40"/>
      </w:pPr>
      <w:r>
        <w:t>Overall system health</w:t>
      </w:r>
    </w:p>
    <w:p>
      <w:pPr>
        <w:pStyle w:val="ListBullet"/>
        <w:spacing w:after="40"/>
      </w:pPr>
      <w:r>
        <w:t>Active risk level</w:t>
      </w:r>
    </w:p>
    <w:p>
      <w:pPr>
        <w:pStyle w:val="ListBullet"/>
        <w:spacing w:after="40"/>
      </w:pPr>
      <w:r>
        <w:t>Risk propagation/affected node state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How to use it</w:t>
              <w:br/>
            </w:r>
            <w:r>
              <w:rPr>
                <w:sz w:val="18"/>
              </w:rPr>
              <w:t>If an alert identifies a customer or transaction risk, use Payment Flow Digital Twin to answer where in the payment path the issue is concentrated. The goal is localization, not just visualization.</w:t>
            </w:r>
          </w:p>
        </w:tc>
      </w:tr>
    </w:tbl>
    <w:p>
      <w:pPr>
        <w:spacing w:after="20"/>
      </w:pPr>
    </w:p>
    <w:p>
      <w:pPr>
        <w:pStyle w:val="Heading1"/>
      </w:pPr>
      <w:r>
        <w:t>13. Risk Localization</w:t>
      </w:r>
    </w:p>
    <w:p>
      <w:r>
        <w:t>Risk localization connects a business-level alert to the system layer most relevant to the event.</w:t>
      </w:r>
    </w:p>
    <w:p>
      <w:pPr>
        <w:pStyle w:val="ListNumber"/>
        <w:spacing w:after="40"/>
      </w:pPr>
      <w:r>
        <w:t>Find the affected alert/customer/transaction.</w:t>
      </w:r>
    </w:p>
    <w:p>
      <w:pPr>
        <w:pStyle w:val="ListNumber"/>
        <w:spacing w:after="40"/>
      </w:pPr>
      <w:r>
        <w:t>Open Payment Flow Digital Twin.</w:t>
      </w:r>
    </w:p>
    <w:p>
      <w:pPr>
        <w:pStyle w:val="ListNumber"/>
        <w:spacing w:after="40"/>
      </w:pPr>
      <w:r>
        <w:t>Identify the affected/high-risk node.</w:t>
      </w:r>
    </w:p>
    <w:p>
      <w:pPr>
        <w:pStyle w:val="ListNumber"/>
        <w:spacing w:after="40"/>
      </w:pPr>
      <w:r>
        <w:t>Review node health, latency, error and risk context.</w:t>
      </w:r>
    </w:p>
    <w:p>
      <w:pPr>
        <w:pStyle w:val="ListNumber"/>
        <w:spacing w:after="40"/>
      </w:pPr>
      <w:r>
        <w:t>Use Explainable AI to understand transaction-level model evidence.</w:t>
      </w:r>
    </w:p>
    <w:p>
      <w:pPr>
        <w:pStyle w:val="ListNumber"/>
        <w:spacing w:after="40"/>
      </w:pPr>
      <w:r>
        <w:t>Respond at the appropriate operational layer.</w:t>
      </w:r>
    </w:p>
    <w:p>
      <w:pPr>
        <w:pStyle w:val="Heading1"/>
      </w:pPr>
      <w:r>
        <w:t>14. Explainable AI</w:t>
      </w:r>
    </w:p>
    <w:p>
      <w:r>
        <w:t>Explainable AI converts a risk prediction into structured evidence that an operator can inspect.</w:t>
      </w:r>
    </w:p>
    <w:p>
      <w:pPr>
        <w:pStyle w:val="Heading2"/>
      </w:pPr>
      <w:r>
        <w:t>Use Explainable AI to answer</w:t>
      </w:r>
    </w:p>
    <w:p>
      <w:pPr>
        <w:pStyle w:val="ListBullet"/>
        <w:spacing w:after="40"/>
      </w:pPr>
      <w:r>
        <w:t>Why was this transaction considered risky?</w:t>
      </w:r>
    </w:p>
    <w:p>
      <w:pPr>
        <w:pStyle w:val="ListBullet"/>
        <w:spacing w:after="40"/>
      </w:pPr>
      <w:r>
        <w:t>Which observed signals contributed to the decision?</w:t>
      </w:r>
    </w:p>
    <w:p>
      <w:pPr>
        <w:pStyle w:val="ListBullet"/>
        <w:spacing w:after="40"/>
      </w:pPr>
      <w:r>
        <w:t>How strong is the model evidence?</w:t>
      </w:r>
    </w:p>
    <w:p>
      <w:pPr>
        <w:pStyle w:val="ListBullet"/>
        <w:spacing w:after="40"/>
      </w:pPr>
      <w:r>
        <w:t>What additional context should be reviewed before action?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Responsible use</w:t>
              <w:br/>
            </w:r>
            <w:r>
              <w:rPr>
                <w:sz w:val="18"/>
              </w:rPr>
              <w:t>Explanations are decision support. Operators should avoid interpreting a single feature as proof of fraud without reviewing the complete transaction and customer context.</w:t>
            </w:r>
          </w:p>
        </w:tc>
      </w:tr>
    </w:tbl>
    <w:p>
      <w:pPr>
        <w:spacing w:after="20"/>
      </w:pPr>
    </w:p>
    <w:p>
      <w:pPr>
        <w:pStyle w:val="Heading1"/>
      </w:pPr>
      <w:r>
        <w:t>15. Order &amp; Return Risk</w:t>
      </w:r>
    </w:p>
    <w:p>
      <w:r>
        <w:t>Order &amp; Return Risk evaluates return/RTO-related risk and provides a risk assessment workflow.</w:t>
      </w:r>
    </w:p>
    <w:p>
      <w:pPr>
        <w:pStyle w:val="ListNumber"/>
        <w:spacing w:after="40"/>
      </w:pPr>
      <w:r>
        <w:t>Enter or review order telemetry.</w:t>
      </w:r>
    </w:p>
    <w:p>
      <w:pPr>
        <w:pStyle w:val="ListNumber"/>
        <w:spacing w:after="40"/>
      </w:pPr>
      <w:r>
        <w:t>Run the risk assessment.</w:t>
      </w:r>
    </w:p>
    <w:p>
      <w:pPr>
        <w:pStyle w:val="ListNumber"/>
        <w:spacing w:after="40"/>
      </w:pPr>
      <w:r>
        <w:t>Review RTO/return probability and risk state.</w:t>
      </w:r>
    </w:p>
    <w:p>
      <w:pPr>
        <w:pStyle w:val="ListNumber"/>
        <w:spacing w:after="40"/>
      </w:pPr>
      <w:r>
        <w:t>Review mitigation guidance.</w:t>
      </w:r>
    </w:p>
    <w:p>
      <w:pPr>
        <w:pStyle w:val="ListNumber"/>
        <w:spacing w:after="40"/>
      </w:pPr>
      <w:r>
        <w:t>Record or act on the result according to merchant policy.</w:t>
      </w:r>
    </w:p>
    <w:p>
      <w:pPr>
        <w:pStyle w:val="Heading1"/>
      </w:pPr>
      <w:r>
        <w:t>16. Disputes &amp; Chargebacks</w:t>
      </w:r>
    </w:p>
    <w:p>
      <w:r>
        <w:t>Disputes &amp; Chargebacks provides the dispute queue and AI-assisted defense workflow.</w:t>
      </w:r>
    </w:p>
    <w:p>
      <w:pPr>
        <w:pStyle w:val="ListNumber"/>
        <w:spacing w:after="40"/>
      </w:pPr>
      <w:r>
        <w:t>Review dispute details.</w:t>
      </w:r>
    </w:p>
    <w:p>
      <w:pPr>
        <w:pStyle w:val="ListNumber"/>
        <w:spacing w:after="40"/>
      </w:pPr>
      <w:r>
        <w:t>Inspect the AI defense workspace.</w:t>
      </w:r>
    </w:p>
    <w:p>
      <w:pPr>
        <w:pStyle w:val="ListNumber"/>
        <w:spacing w:after="40"/>
      </w:pPr>
      <w:r>
        <w:t>Generate the formal evidence/defense packet.</w:t>
      </w:r>
    </w:p>
    <w:p>
      <w:pPr>
        <w:pStyle w:val="ListNumber"/>
        <w:spacing w:after="40"/>
      </w:pPr>
      <w:r>
        <w:t>Review the generated evidence before submission.</w:t>
      </w:r>
    </w:p>
    <w:p>
      <w:pPr>
        <w:pStyle w:val="ListNumber"/>
        <w:spacing w:after="40"/>
      </w:pPr>
      <w:r>
        <w:t>Submit the defense when authorized.</w:t>
      </w:r>
    </w:p>
    <w:p>
      <w:pPr>
        <w:pStyle w:val="ListNumber"/>
        <w:spacing w:after="40"/>
      </w:pPr>
      <w:r>
        <w:t>Retain the resulting record for audit.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Operator control</w:t>
              <w:br/>
            </w:r>
            <w:r>
              <w:rPr>
                <w:sz w:val="18"/>
              </w:rPr>
              <w:t>Generated defense material should be reviewed by an authorized operator before submission. CRYPTIC is an assistance and evidence workflow, not an automatic legal decision-maker.</w:t>
            </w:r>
          </w:p>
        </w:tc>
      </w:tr>
    </w:tbl>
    <w:p>
      <w:pPr>
        <w:spacing w:after="20"/>
      </w:pPr>
    </w:p>
    <w:p>
      <w:pPr>
        <w:pStyle w:val="Heading1"/>
      </w:pPr>
      <w:r>
        <w:t>17. Payment Intelligence</w:t>
      </w:r>
    </w:p>
    <w:p>
      <w:r>
        <w:t>Payment Intelligence provides a consolidated view of payment activity.</w:t>
      </w:r>
    </w:p>
    <w:p>
      <w:pPr>
        <w:pStyle w:val="ListBullet"/>
        <w:spacing w:after="40"/>
      </w:pPr>
      <w:r>
        <w:t>Filter payment activity.</w:t>
      </w:r>
    </w:p>
    <w:p>
      <w:pPr>
        <w:pStyle w:val="ListBullet"/>
        <w:spacing w:after="40"/>
      </w:pPr>
      <w:r>
        <w:t>Review payment volume trends.</w:t>
      </w:r>
    </w:p>
    <w:p>
      <w:pPr>
        <w:pStyle w:val="ListBullet"/>
        <w:spacing w:after="40"/>
      </w:pPr>
      <w:r>
        <w:t>Review channel distribution.</w:t>
      </w:r>
    </w:p>
    <w:p>
      <w:pPr>
        <w:pStyle w:val="ListBullet"/>
        <w:spacing w:after="40"/>
      </w:pPr>
      <w:r>
        <w:t>Inspect transaction-level records.</w:t>
      </w:r>
    </w:p>
    <w:p>
      <w:pPr>
        <w:pStyle w:val="ListBullet"/>
        <w:spacing w:after="40"/>
      </w:pPr>
      <w:r>
        <w:t>Review clusters and concentration patterns.</w:t>
      </w:r>
    </w:p>
    <w:p>
      <w:pPr>
        <w:pStyle w:val="Heading1"/>
      </w:pPr>
      <w:r>
        <w:t>18. Risk Simulation Lab</w:t>
      </w:r>
    </w:p>
    <w:p>
      <w:r>
        <w:t>Risk Simulation Lab is the controlled environment for testing how the risk system responds to defined risk scenarios.</w:t>
      </w:r>
    </w:p>
    <w:p>
      <w:pPr>
        <w:pStyle w:val="Heading2"/>
      </w:pPr>
      <w:r>
        <w:t>Simulation name</w:t>
      </w:r>
    </w:p>
    <w:p>
      <w:r>
        <w:rPr>
          <w:b/>
        </w:rPr>
        <w:t>Fraud Injection Lab</w:t>
      </w:r>
    </w:p>
    <w:p>
      <w:r>
        <w:t>Fraud Injection Lab is the simulation/testing feature used to inject controlled risk patterns and evaluate detection behavior.</w:t>
      </w:r>
    </w:p>
    <w:p>
      <w:pPr>
        <w:pStyle w:val="Heading2"/>
      </w:pPr>
      <w:r>
        <w:t>Simulation scenarios</w:t>
      </w:r>
    </w:p>
    <w:p>
      <w:pPr>
        <w:pStyle w:val="ListBullet"/>
        <w:spacing w:after="40"/>
      </w:pPr>
      <w:r>
        <w:t>Fraud Spike</w:t>
      </w:r>
    </w:p>
    <w:p>
      <w:pPr>
        <w:pStyle w:val="ListBullet"/>
        <w:spacing w:after="40"/>
      </w:pPr>
      <w:r>
        <w:t>High Velocity</w:t>
      </w:r>
    </w:p>
    <w:p>
      <w:pPr>
        <w:pStyle w:val="ListBullet"/>
        <w:spacing w:after="40"/>
      </w:pPr>
      <w:r>
        <w:t>Coordinated Activity</w:t>
      </w:r>
    </w:p>
    <w:p>
      <w:pPr>
        <w:pStyle w:val="ListBullet"/>
        <w:spacing w:after="40"/>
      </w:pPr>
      <w:r>
        <w:t>Behavioral Anomaly</w:t>
      </w:r>
    </w:p>
    <w:p>
      <w:pPr>
        <w:pStyle w:val="Heading2"/>
      </w:pPr>
      <w:r>
        <w:t>Fraud Injection Lab measurements</w:t>
      </w:r>
    </w:p>
    <w:p>
      <w:pPr>
        <w:pStyle w:val="ListBullet"/>
        <w:spacing w:after="40"/>
      </w:pPr>
      <w:r>
        <w:t>Injected events</w:t>
      </w:r>
    </w:p>
    <w:p>
      <w:pPr>
        <w:pStyle w:val="ListBullet"/>
        <w:spacing w:after="40"/>
      </w:pPr>
      <w:r>
        <w:t>Detected events</w:t>
      </w:r>
    </w:p>
    <w:p>
      <w:pPr>
        <w:pStyle w:val="ListBullet"/>
        <w:spacing w:after="40"/>
      </w:pPr>
      <w:r>
        <w:t>Missed events</w:t>
      </w:r>
    </w:p>
    <w:p>
      <w:pPr>
        <w:pStyle w:val="ListBullet"/>
        <w:spacing w:after="40"/>
      </w:pPr>
      <w:r>
        <w:t>Detection rate</w:t>
      </w:r>
    </w:p>
    <w:p>
      <w:pPr>
        <w:pStyle w:val="ListBullet"/>
        <w:spacing w:after="40"/>
      </w:pPr>
      <w:r>
        <w:t>False-positive rate (FPR)</w:t>
      </w:r>
    </w:p>
    <w:p>
      <w:pPr>
        <w:pStyle w:val="ListBullet"/>
        <w:spacing w:after="40"/>
      </w:pPr>
      <w:r>
        <w:t>Detection latency</w:t>
      </w:r>
    </w:p>
    <w:p>
      <w:pPr>
        <w:pStyle w:val="ListBullet"/>
        <w:spacing w:after="40"/>
      </w:pPr>
      <w:r>
        <w:t>Risk score</w:t>
      </w:r>
    </w:p>
    <w:p>
      <w:pPr>
        <w:pStyle w:val="ListBullet"/>
        <w:spacing w:after="40"/>
      </w:pPr>
      <w:r>
        <w:t>Affected component</w:t>
      </w:r>
    </w:p>
    <w:p>
      <w:pPr>
        <w:pStyle w:val="ListBullet"/>
        <w:spacing w:after="40"/>
      </w:pPr>
      <w:r>
        <w:t>Event timeline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Why the simulation matters</w:t>
              <w:br/>
            </w:r>
            <w:r>
              <w:rPr>
                <w:sz w:val="18"/>
              </w:rPr>
              <w:t>Fraud Injection Lab provides a controlled way to demonstrate detection behavior and system response without presenting the simulation as real-world ground truth.</w:t>
            </w:r>
          </w:p>
        </w:tc>
      </w:tr>
    </w:tbl>
    <w:p>
      <w:pPr>
        <w:spacing w:after="20"/>
      </w:pPr>
    </w:p>
    <w:p>
      <w:pPr>
        <w:pStyle w:val="Heading1"/>
      </w:pPr>
      <w:r>
        <w:t>19. Reports &amp; Audit</w:t>
      </w:r>
    </w:p>
    <w:p>
      <w:r>
        <w:t>Reports is the evidence and reporting workspace.</w:t>
      </w:r>
    </w:p>
    <w:p>
      <w:pPr>
        <w:pStyle w:val="ListBullet"/>
        <w:spacing w:after="40"/>
      </w:pPr>
      <w:r>
        <w:t>Overview</w:t>
      </w:r>
    </w:p>
    <w:p>
      <w:pPr>
        <w:pStyle w:val="ListBullet"/>
        <w:spacing w:after="40"/>
      </w:pPr>
      <w:r>
        <w:t>Model Evaluation</w:t>
      </w:r>
    </w:p>
    <w:p>
      <w:pPr>
        <w:pStyle w:val="ListBullet"/>
        <w:spacing w:after="40"/>
      </w:pPr>
      <w:r>
        <w:t>Transaction Reports</w:t>
      </w:r>
    </w:p>
    <w:p>
      <w:pPr>
        <w:pStyle w:val="ListBullet"/>
        <w:spacing w:after="40"/>
      </w:pPr>
      <w:r>
        <w:t>Customer Reports</w:t>
      </w:r>
    </w:p>
    <w:p>
      <w:pPr>
        <w:pStyle w:val="ListBullet"/>
        <w:spacing w:after="40"/>
      </w:pPr>
      <w:r>
        <w:t>Fraud &amp; Risk Reports</w:t>
      </w:r>
    </w:p>
    <w:p>
      <w:pPr>
        <w:pStyle w:val="ListBullet"/>
        <w:spacing w:after="40"/>
      </w:pPr>
      <w:r>
        <w:t>Gateway Reports</w:t>
      </w:r>
    </w:p>
    <w:p>
      <w:pPr>
        <w:pStyle w:val="ListBullet"/>
        <w:spacing w:after="40"/>
      </w:pPr>
      <w:r>
        <w:t>Audit Reports</w:t>
      </w:r>
    </w:p>
    <w:p>
      <w:pPr>
        <w:pStyle w:val="Heading2"/>
      </w:pPr>
      <w:r>
        <w:t>Model Evaluation reporting</w:t>
      </w:r>
    </w:p>
    <w:p>
      <w:r>
        <w:t>Use Model Evaluation to review the recorded metrics in Section 9, confusion matrix, and related model-evaluation evidence. Keep the holdout figures clearly separated from live testing observations.</w:t>
      </w:r>
    </w:p>
    <w:p>
      <w:pPr>
        <w:pStyle w:val="Heading1"/>
      </w:pPr>
      <w:r>
        <w:t>20. Razorpay Settings</w:t>
      </w:r>
    </w:p>
    <w:p>
      <w:r>
        <w:t>Razorpay Settings provides the configured connectivity workspace for gateway integration and testing.</w:t>
      </w:r>
    </w:p>
    <w:p>
      <w:pPr>
        <w:pStyle w:val="ListNumber"/>
        <w:spacing w:after="40"/>
      </w:pPr>
      <w:r>
        <w:t>Review connector status.</w:t>
      </w:r>
    </w:p>
    <w:p>
      <w:pPr>
        <w:pStyle w:val="ListNumber"/>
        <w:spacing w:after="40"/>
      </w:pPr>
      <w:r>
        <w:t>Configure the required API credentials in the deployment.</w:t>
      </w:r>
    </w:p>
    <w:p>
      <w:pPr>
        <w:pStyle w:val="ListNumber"/>
        <w:spacing w:after="40"/>
      </w:pPr>
      <w:r>
        <w:t>Configure/inspect webhook listener settings.</w:t>
      </w:r>
    </w:p>
    <w:p>
      <w:pPr>
        <w:pStyle w:val="ListNumber"/>
        <w:spacing w:after="40"/>
      </w:pPr>
      <w:r>
        <w:t>Test the connection.</w:t>
      </w:r>
    </w:p>
    <w:p>
      <w:pPr>
        <w:pStyle w:val="ListNumber"/>
        <w:spacing w:after="40"/>
      </w:pPr>
      <w:r>
        <w:t>Synchronize supported payment data when configured.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Security</w:t>
              <w:br/>
            </w:r>
            <w:r>
              <w:rPr>
                <w:sz w:val="18"/>
              </w:rPr>
              <w:t>Never place real credentials, tokens, signing secrets, or private keys in this user guide, screenshots, source-controlled documentation, or chat.</w:t>
            </w:r>
          </w:p>
        </w:tc>
      </w:tr>
    </w:tbl>
    <w:p>
      <w:pPr>
        <w:spacing w:after="20"/>
      </w:pPr>
    </w:p>
    <w:p>
      <w:pPr>
        <w:pStyle w:val="Heading1"/>
      </w:pPr>
      <w:r>
        <w:t>21. Gemini-Assisted Intelligence</w:t>
      </w:r>
    </w:p>
    <w:p>
      <w:r>
        <w:t>Where configured, Gemini-assisted capabilities can support investigation and narrative generation. Treat generated text as decision support and verify important claims against the underlying transaction, model, and system evidence.</w:t>
      </w:r>
    </w:p>
    <w:p>
      <w:pPr>
        <w:pStyle w:val="Heading1"/>
      </w:pPr>
      <w:r>
        <w:t>22. Recommended High-Risk Operating Procedure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5040"/>
            <w:vAlign w:val="center"/>
            <w:shd w:fill="EAF2FF"/>
          </w:tcPr>
          <w:p>
            <w:r/>
            <w:r>
              <w:rPr>
                <w:b/>
                <w:sz w:val="17"/>
              </w:rPr>
              <w:t>Operator action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Identify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Open Alerts Queue and select the highest-priority event.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Investigate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Open Customer Investigation Mode and review the isolated customer 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Localize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Open Payment Flow Digital Twin and identify the affected layer.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Explain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Open Explainable AI and review the model evidence.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Validate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 the transaction, recent activity, and relevant operational context.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Respond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Apply the appropriate action using the relevant feature workflow.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17"/>
              </w:rPr>
              <w:t>Audit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Confirm the event/action is retained in Reports/Audit where configured.</w:t>
            </w:r>
          </w:p>
        </w:tc>
      </w:tr>
    </w:tbl>
    <w:p>
      <w:pPr>
        <w:pStyle w:val="Heading1"/>
      </w:pPr>
      <w:r>
        <w:t>23. Responsible Interpretation of Risk</w:t>
      </w:r>
    </w:p>
    <w:p>
      <w:pPr>
        <w:pStyle w:val="ListBullet"/>
        <w:spacing w:after="40"/>
      </w:pPr>
      <w:r>
        <w:t>A high model score is a signal for investigation, not proof by itself.</w:t>
      </w:r>
    </w:p>
    <w:p>
      <w:pPr>
        <w:pStyle w:val="ListBullet"/>
        <w:spacing w:after="40"/>
      </w:pPr>
      <w:r>
        <w:t>Review false-positive and false-negative trade-offs when evaluating model performance.</w:t>
      </w:r>
    </w:p>
    <w:p>
      <w:pPr>
        <w:pStyle w:val="ListBullet"/>
        <w:spacing w:after="40"/>
      </w:pPr>
      <w:r>
        <w:t>Do not transfer holdout benchmark percentages directly to every live testing condition.</w:t>
      </w:r>
    </w:p>
    <w:p>
      <w:pPr>
        <w:pStyle w:val="ListBullet"/>
        <w:spacing w:after="40"/>
      </w:pPr>
      <w:r>
        <w:t>Use customer and transaction context before taking consequential action.</w:t>
      </w:r>
    </w:p>
    <w:p>
      <w:pPr>
        <w:pStyle w:val="ListBullet"/>
        <w:spacing w:after="40"/>
      </w:pPr>
      <w:r>
        <w:t>Use simulation results to understand controlled behavior, not to claim universal real-world performance.</w:t>
      </w:r>
    </w:p>
    <w:p>
      <w:pPr>
        <w:pStyle w:val="ListBullet"/>
        <w:spacing w:after="40"/>
      </w:pPr>
      <w:r>
        <w:t>Keep credentials and sensitive operational data out of documentation.</w:t>
      </w:r>
    </w:p>
    <w:p>
      <w:pPr>
        <w:pStyle w:val="Heading1"/>
      </w:pPr>
      <w:r>
        <w:t>24.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r/>
            <w:r>
              <w:rPr>
                <w:b/>
                <w:sz w:val="17"/>
              </w:rPr>
              <w:t>Symptom</w:t>
            </w:r>
          </w:p>
        </w:tc>
        <w:tc>
          <w:tcPr>
            <w:tcW w:type="dxa" w:w="5040"/>
            <w:vAlign w:val="center"/>
            <w:shd w:fill="EAF2FF"/>
          </w:tcPr>
          <w:p>
            <w:r/>
            <w:r>
              <w:rPr>
                <w:b/>
                <w:sz w:val="17"/>
              </w:rPr>
              <w:t>First checks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No live events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 testing payment-gateway connectivity, webhook configuration, environment and backend health.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Risk prediction unavailable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 backend health, active model registration and API response.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Digital Twin looks stale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 live state/Redis configuration and event flow.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Alert has no customer context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 transaction/customer linkage and synchronization.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Report values look unexpected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Confirm report scope, environment and whether the values are holdout evaluation or live testing observations.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Connection test fails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 configured credentials, endpoint settings and backend logs without exposing secrets.</w:t>
            </w:r>
          </w:p>
        </w:tc>
      </w:tr>
    </w:tbl>
    <w:p>
      <w:pPr>
        <w:pStyle w:val="Heading1"/>
      </w:pPr>
      <w:r>
        <w:t>25. Quick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AF2FF"/>
          </w:tcPr>
          <w:p>
            <w:r/>
            <w:r>
              <w:rPr>
                <w:b/>
                <w:sz w:val="17"/>
              </w:rPr>
              <w:t>Need to…</w:t>
            </w:r>
          </w:p>
        </w:tc>
        <w:tc>
          <w:tcPr>
            <w:tcW w:type="dxa" w:w="5040"/>
            <w:vAlign w:val="center"/>
            <w:shd w:fill="EAF2FF"/>
          </w:tcPr>
          <w:p>
            <w:r/>
            <w:r>
              <w:rPr>
                <w:b/>
                <w:sz w:val="17"/>
              </w:rPr>
              <w:t>Open this feature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See overall risk posture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Risk Overview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Investigate a critical event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Alerts Queue → Customer Investigation Mode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Locate payment-flow risk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Payment Flow Digital Twin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Understand model evidence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Explainable AI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Evaluate fraud detection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Fraud Detection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Run controlled scenarios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Risk Simulation Lab → Fraud Injection Lab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Assess return/RTO risk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Order &amp; Return Risk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Work a dispute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Disputes &amp; Chargebacks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Inspect payment activity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Payment Intelligence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Review model/report evidence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Reports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Check gateway connectivity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7"/>
              </w:rPr>
              <w:t>Razorpay Settings</w:t>
            </w:r>
          </w:p>
        </w:tc>
      </w:tr>
    </w:tbl>
    <w:p>
      <w:pPr>
        <w:pStyle w:val="Heading1"/>
      </w:pPr>
      <w:r>
        <w:t>26. Product &amp; Data Boundaries</w:t>
      </w:r>
    </w:p>
    <w:p>
      <w:r>
        <w:t>This guide documents the current CRYPTIC operating model and the recorded evaluation figures available for the current model build. The historical training/evaluation data and the live testing payment-gateway stream serve different purposes. CRYPTIC should not represent testing-gateway events as the source of the model's benchmark metrics.</w:t>
      </w:r>
    </w:p>
    <w:p>
      <w:r>
        <w:t>The platform is intended for defense-oriented risk detection, investigation, explanation, simulation, response assistance, and audit workflows. Production decisions should remain subject to the merchant's controls, policies, authorization, and review.</w:t>
      </w:r>
    </w:p>
    <w:p>
      <w:pPr>
        <w:pStyle w:val="Heading1"/>
      </w:pPr>
      <w:r>
        <w:t>27. Technical Reference</w:t>
      </w:r>
    </w:p>
    <w:p>
      <w:pPr>
        <w:pStyle w:val="ListBullet"/>
        <w:spacing w:after="40"/>
      </w:pPr>
      <w:r>
        <w:t>Frontend: React-based web application with routing, charts, flow visualization and motion components.</w:t>
      </w:r>
    </w:p>
    <w:p>
      <w:pPr>
        <w:pStyle w:val="ListBullet"/>
        <w:spacing w:after="40"/>
      </w:pPr>
      <w:r>
        <w:t>Backend: FastAPI application with REST APIs and WebSocket support.</w:t>
      </w:r>
    </w:p>
    <w:p>
      <w:pPr>
        <w:pStyle w:val="ListBullet"/>
        <w:spacing w:after="40"/>
      </w:pPr>
      <w:r>
        <w:t>Data layer: SQLAlchemy with PostgreSQL support and local SQLite fallback.</w:t>
      </w:r>
    </w:p>
    <w:p>
      <w:pPr>
        <w:pStyle w:val="ListBullet"/>
        <w:spacing w:after="40"/>
      </w:pPr>
      <w:r>
        <w:t>Live state: Redis support for Digital Twin live state/overrides where configured.</w:t>
      </w:r>
    </w:p>
    <w:p>
      <w:pPr>
        <w:pStyle w:val="ListBullet"/>
        <w:spacing w:after="40"/>
      </w:pPr>
      <w:r>
        <w:t>ML: XGBoost-based transaction fraud model with a recorded isolated holdout evaluation.</w:t>
      </w:r>
    </w:p>
    <w:p>
      <w:pPr>
        <w:pStyle w:val="ListBullet"/>
        <w:spacing w:after="40"/>
      </w:pPr>
      <w:r>
        <w:t>Integration: Razorpay connectivity endpoints and webhook/synchronization workflows where configured.</w:t>
      </w:r>
    </w:p>
    <w:p>
      <w:pPr>
        <w:pStyle w:val="Heading1"/>
      </w:pPr>
      <w:r>
        <w:t>28. Closing Reference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3F7FC"/>
          </w:tcPr>
          <w:p>
            <w:r>
              <w:rPr>
                <w:b/>
                <w:sz w:val="19"/>
              </w:rPr>
              <w:t>CRYPTIC operating principle</w:t>
              <w:br/>
            </w:r>
            <w:r>
              <w:rPr>
                <w:sz w:val="18"/>
              </w:rPr>
              <w:t>The strongest investigation is connected: detect the event, isolate the customer or transaction, localize the affected payment-flow layer, explain the model signal, respond through the correct workflow, and retain the evidence.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b/>
          <w:sz w:val="22"/>
        </w:rPr>
        <w:t>CRYPTIC USER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CRYPTIC  |  Risk Intelligence &amp; Digital Twin Platform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sz w:val="16"/>
      </w:rPr>
      <w:t>CRYPTIC  • 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Kryptic User Guide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