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30"/>
          <w:szCs w:val="30"/>
        </w:rPr>
        <w:t xml:space="preserve">Next Four Quarters: Portfolio Return Scenarios</w:t>
      </w:r>
    </w:p>
    <w:p>
      <w:pPr>
        <w:spacing w:after="200"/>
      </w:pPr>
      <w:r>
        <w:rPr>
          <w:i/>
          <w:iCs/>
          <w:color w:val="6B7280"/>
          <w:sz w:val="18"/>
          <w:szCs w:val="18"/>
        </w:rPr>
        <w:t xml:space="preserve">CVaR-sized 25-name long book, Kalman v2 screen  ·  base case anchored to the model's own forward-return estimate, scenarios shift by ±1 book-weighted standard deviation</w:t>
      </w:r>
    </w:p>
    <w:p>
      <w:pPr>
        <w:spacing w:after="80" w:before="200"/>
      </w:pPr>
      <w:r>
        <w:rPr>
          <w:b/>
          <w:bCs/>
          <w:color w:val="1F2937"/>
          <w:sz w:val="20"/>
          <w:szCs w:val="20"/>
        </w:rPr>
        <w:t xml:space="preserve">Bottom line</w:t>
      </w:r>
    </w:p>
    <w:p>
      <w:pPr>
        <w:spacing w:after="100"/>
      </w:pPr>
      <w:r>
        <w:rPr>
          <w:color w:val="111827"/>
          <w:sz w:val="20"/>
          <w:szCs w:val="20"/>
        </w:rPr>
        <w:t xml:space="preserve">Over the next four quarters, the model's base case puts the current 25-name book up about 22%, compounding to roughly 5% a quarter. The realistic range runs from about +9% (downside) to about +35% (upside) over the same four quarters — a spread of roughly 26 percentage points between the two, driven entirely by how much of the book's own return dispersion actually shows up. Nothing in this quarter's live diagnostics points to the model being unreliable: convergence is clean and the screen still separates itself from simple analyst consensus.</w:t>
      </w:r>
    </w:p>
    <w:p>
      <w:pPr>
        <w:spacing w:after="80" w:before="200"/>
      </w:pPr>
      <w:r>
        <w:rPr>
          <w:b/>
          <w:bCs/>
          <w:color w:val="1F2937"/>
          <w:sz w:val="20"/>
          <w:szCs w:val="20"/>
        </w:rPr>
        <w:t xml:space="preserve">What's actually driving the difference</w:t>
      </w:r>
    </w:p>
    <w:p>
      <w:pPr>
        <w:spacing w:after="100"/>
      </w:pPr>
      <w:r>
        <w:rPr>
          <w:color w:val="111827"/>
          <w:sz w:val="20"/>
          <w:szCs w:val="20"/>
        </w:rPr>
        <w:t xml:space="preserve">The three scenarios are not three different stories about the market — they're one story (the book's expected return) with the volatility already built into that estimate either working for the book or against it. The Kalman model doesn't just predict a return for each of the 25 names; it also estimates how uncertain that prediction is, name by name. Pooling that uncertainty across the book gives a single number — currently about 12.7 percentage points of return — that says "the actual outcome could plausibly land this far from our central guess, in either direction, over the next year." Upside is what happens if the book's names broadly land at the favorable edge of that uncertainty; downside is the unfavorable edge. The quarterly path in the table just spreads that four-quarter number out evenly (compounded, not linear) so it's easier to track against actuals quarter by quarter — the underlying model itself does not forecast a specific number for Q1 vs Q4 separately.</w:t>
      </w:r>
    </w:p>
    <w:p>
      <w:pPr>
        <w:spacing w:after="80" w:before="200"/>
      </w:pPr>
      <w:r>
        <w:rPr>
          <w:b/>
          <w:bCs/>
          <w:color w:val="1F2937"/>
          <w:sz w:val="20"/>
          <w:szCs w:val="20"/>
        </w:rPr>
        <w:t xml:space="preserve">Four-quarter path by scenario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1700"/>
      </w:tblGrid>
      <w:tr>
        <w:tc>
          <w:tcPr>
            <w:tcW w:type="dxa" w:w="1700"/>
            <w:shd w:fill="1F2937" w:color="auto" w:val="clear"/>
            <w:tcMar>
              <w:top w:type="dxa" w:w="60"/>
              <w:left w:type="dxa" w:w="100"/>
              <w:bottom w:type="dxa" w:w="60"/>
              <w:right w:type="dxa" w:w="100"/>
            </w:tcMar>
          </w:tcPr>
          <w:p>
            <w:pPr>
              <w:jc w:val="left"/>
            </w:pPr>
            <w:r>
              <w:rPr>
                <w:b/>
                <w:bCs/>
                <w:color w:val="FFFFFF"/>
                <w:sz w:val="18"/>
                <w:szCs w:val="18"/>
              </w:rPr>
              <w:t xml:space="preserve">Scenario</w:t>
            </w:r>
          </w:p>
        </w:tc>
        <w:tc>
          <w:tcPr>
            <w:tcW w:type="dxa" w:w="1700"/>
            <w:shd w:fill="1F2937" w:color="auto" w:val="clear"/>
            <w:tcMar>
              <w:top w:type="dxa" w:w="60"/>
              <w:left w:type="dxa" w:w="100"/>
              <w:bottom w:type="dxa" w:w="60"/>
              <w:right w:type="dxa" w:w="100"/>
            </w:tcMar>
          </w:tcPr>
          <w:p>
            <w:pPr>
              <w:jc w:val="center"/>
            </w:pPr>
            <w:r>
              <w:rPr>
                <w:b/>
                <w:bCs/>
                <w:color w:val="FFFFFF"/>
                <w:sz w:val="18"/>
                <w:szCs w:val="18"/>
              </w:rPr>
              <w:t xml:space="preserve">Q1</w:t>
            </w:r>
          </w:p>
        </w:tc>
        <w:tc>
          <w:tcPr>
            <w:tcW w:type="dxa" w:w="1700"/>
            <w:shd w:fill="1F2937" w:color="auto" w:val="clear"/>
            <w:tcMar>
              <w:top w:type="dxa" w:w="60"/>
              <w:left w:type="dxa" w:w="100"/>
              <w:bottom w:type="dxa" w:w="60"/>
              <w:right w:type="dxa" w:w="100"/>
            </w:tcMar>
          </w:tcPr>
          <w:p>
            <w:pPr>
              <w:jc w:val="center"/>
            </w:pPr>
            <w:r>
              <w:rPr>
                <w:b/>
                <w:bCs/>
                <w:color w:val="FFFFFF"/>
                <w:sz w:val="18"/>
                <w:szCs w:val="18"/>
              </w:rPr>
              <w:t xml:space="preserve">Q2</w:t>
            </w:r>
          </w:p>
        </w:tc>
        <w:tc>
          <w:tcPr>
            <w:tcW w:type="dxa" w:w="1700"/>
            <w:shd w:fill="1F2937" w:color="auto" w:val="clear"/>
            <w:tcMar>
              <w:top w:type="dxa" w:w="60"/>
              <w:left w:type="dxa" w:w="100"/>
              <w:bottom w:type="dxa" w:w="60"/>
              <w:right w:type="dxa" w:w="100"/>
            </w:tcMar>
          </w:tcPr>
          <w:p>
            <w:pPr>
              <w:jc w:val="center"/>
            </w:pPr>
            <w:r>
              <w:rPr>
                <w:b/>
                <w:bCs/>
                <w:color w:val="FFFFFF"/>
                <w:sz w:val="18"/>
                <w:szCs w:val="18"/>
              </w:rPr>
              <w:t xml:space="preserve">Q3</w:t>
            </w:r>
          </w:p>
        </w:tc>
        <w:tc>
          <w:tcPr>
            <w:tcW w:type="dxa" w:w="1700"/>
            <w:shd w:fill="1F2937" w:color="auto" w:val="clear"/>
            <w:tcMar>
              <w:top w:type="dxa" w:w="60"/>
              <w:left w:type="dxa" w:w="100"/>
              <w:bottom w:type="dxa" w:w="60"/>
              <w:right w:type="dxa" w:w="100"/>
            </w:tcMar>
          </w:tcPr>
          <w:p>
            <w:pPr>
              <w:jc w:val="center"/>
            </w:pPr>
            <w:r>
              <w:rPr>
                <w:b/>
                <w:bCs/>
                <w:color w:val="FFFFFF"/>
                <w:sz w:val="18"/>
                <w:szCs w:val="18"/>
              </w:rPr>
              <w:t xml:space="preserve">Q4 (cumulative)</w:t>
            </w:r>
          </w:p>
        </w:tc>
        <w:tc>
          <w:tcPr>
            <w:tcW w:type="dxa" w:w="1700"/>
            <w:shd w:fill="1F2937" w:color="auto" w:val="clear"/>
            <w:tcMar>
              <w:top w:type="dxa" w:w="60"/>
              <w:left w:type="dxa" w:w="100"/>
              <w:bottom w:type="dxa" w:w="60"/>
              <w:right w:type="dxa" w:w="100"/>
            </w:tcMar>
          </w:tcPr>
          <w:p>
            <w:pPr>
              <w:jc w:val="center"/>
            </w:pPr>
            <w:r>
              <w:rPr>
                <w:b/>
                <w:bCs/>
                <w:color w:val="FFFFFF"/>
                <w:sz w:val="18"/>
                <w:szCs w:val="18"/>
              </w:rPr>
              <w:t xml:space="preserve">Implied quarterly rate</w:t>
            </w:r>
          </w:p>
        </w:tc>
      </w:tr>
      <w:tr>
        <w:tc>
          <w:tcPr>
            <w:tcW w:type="dxa" w:w="1700"/>
            <w:shd w:fill="FDECEC" w:color="auto" w:val="clear"/>
            <w:tcMar>
              <w:top w:type="dxa" w:w="60"/>
              <w:left w:type="dxa" w:w="100"/>
              <w:bottom w:type="dxa" w:w="60"/>
              <w:right w:type="dxa" w:w="100"/>
            </w:tcMar>
          </w:tcPr>
          <w:p>
            <w:pPr>
              <w:jc w:val="left"/>
            </w:pPr>
            <w:r>
              <w:rPr>
                <w:b/>
                <w:bCs/>
                <w:color w:val="9F1239"/>
                <w:sz w:val="18"/>
                <w:szCs w:val="18"/>
              </w:rPr>
              <w:t xml:space="preserve">Downside</w:t>
            </w:r>
          </w:p>
        </w:tc>
        <w:tc>
          <w:tcPr>
            <w:tcW w:type="dxa" w:w="1700"/>
            <w:shd w:fill="FDECEC" w:color="auto" w:val="clear"/>
            <w:tcMar>
              <w:top w:type="dxa" w:w="60"/>
              <w:left w:type="dxa" w:w="100"/>
              <w:bottom w:type="dxa" w:w="60"/>
              <w:right w:type="dxa" w:w="100"/>
            </w:tcMar>
          </w:tcPr>
          <w:p>
            <w:pPr>
              <w:jc w:val="center"/>
            </w:pPr>
            <w:r>
              <w:rPr>
                <w:b w:val="false"/>
                <w:bCs w:val="false"/>
                <w:color w:val="111827"/>
                <w:sz w:val="18"/>
                <w:szCs w:val="18"/>
              </w:rPr>
              <w:t xml:space="preserve">+2.24%</w:t>
            </w:r>
          </w:p>
        </w:tc>
        <w:tc>
          <w:tcPr>
            <w:tcW w:type="dxa" w:w="1700"/>
            <w:shd w:fill="FDECEC" w:color="auto" w:val="clear"/>
            <w:tcMar>
              <w:top w:type="dxa" w:w="60"/>
              <w:left w:type="dxa" w:w="100"/>
              <w:bottom w:type="dxa" w:w="60"/>
              <w:right w:type="dxa" w:w="100"/>
            </w:tcMar>
          </w:tcPr>
          <w:p>
            <w:pPr>
              <w:jc w:val="center"/>
            </w:pPr>
            <w:r>
              <w:rPr>
                <w:b w:val="false"/>
                <w:bCs w:val="false"/>
                <w:color w:val="111827"/>
                <w:sz w:val="18"/>
                <w:szCs w:val="18"/>
              </w:rPr>
              <w:t xml:space="preserve">+4.52%</w:t>
            </w:r>
          </w:p>
        </w:tc>
        <w:tc>
          <w:tcPr>
            <w:tcW w:type="dxa" w:w="1700"/>
            <w:shd w:fill="FDECEC" w:color="auto" w:val="clear"/>
            <w:tcMar>
              <w:top w:type="dxa" w:w="60"/>
              <w:left w:type="dxa" w:w="100"/>
              <w:bottom w:type="dxa" w:w="60"/>
              <w:right w:type="dxa" w:w="100"/>
            </w:tcMar>
          </w:tcPr>
          <w:p>
            <w:pPr>
              <w:jc w:val="center"/>
            </w:pPr>
            <w:r>
              <w:rPr>
                <w:b w:val="false"/>
                <w:bCs w:val="false"/>
                <w:color w:val="111827"/>
                <w:sz w:val="18"/>
                <w:szCs w:val="18"/>
              </w:rPr>
              <w:t xml:space="preserve">+6.86%</w:t>
            </w:r>
          </w:p>
        </w:tc>
        <w:tc>
          <w:tcPr>
            <w:tcW w:type="dxa" w:w="1700"/>
            <w:shd w:fill="FDECEC" w:color="auto" w:val="clear"/>
            <w:tcMar>
              <w:top w:type="dxa" w:w="60"/>
              <w:left w:type="dxa" w:w="100"/>
              <w:bottom w:type="dxa" w:w="60"/>
              <w:right w:type="dxa" w:w="100"/>
            </w:tcMar>
          </w:tcPr>
          <w:p>
            <w:pPr>
              <w:jc w:val="center"/>
            </w:pPr>
            <w:r>
              <w:rPr>
                <w:b/>
                <w:bCs/>
                <w:color w:val="111827"/>
                <w:sz w:val="18"/>
                <w:szCs w:val="18"/>
              </w:rPr>
              <w:t xml:space="preserve">+9.25%</w:t>
            </w:r>
          </w:p>
        </w:tc>
        <w:tc>
          <w:tcPr>
            <w:tcW w:type="dxa" w:w="1700"/>
            <w:shd w:fill="FDECEC" w:color="auto" w:val="clear"/>
            <w:tcMar>
              <w:top w:type="dxa" w:w="60"/>
              <w:left w:type="dxa" w:w="100"/>
              <w:bottom w:type="dxa" w:w="60"/>
              <w:right w:type="dxa" w:w="100"/>
            </w:tcMar>
          </w:tcPr>
          <w:p>
            <w:pPr>
              <w:jc w:val="center"/>
            </w:pPr>
            <w:r>
              <w:rPr>
                <w:b w:val="false"/>
                <w:bCs w:val="false"/>
                <w:color w:val="111827"/>
                <w:sz w:val="18"/>
                <w:szCs w:val="18"/>
              </w:rPr>
              <w:t xml:space="preserve">+2.24%/q</w:t>
            </w:r>
          </w:p>
        </w:tc>
      </w:tr>
      <w:tr>
        <w:tc>
          <w:tcPr>
            <w:tcW w:type="dxa" w:w="1700"/>
            <w:shd w:fill="EEF2F7" w:color="auto" w:val="clear"/>
            <w:tcMar>
              <w:top w:type="dxa" w:w="60"/>
              <w:left w:type="dxa" w:w="100"/>
              <w:bottom w:type="dxa" w:w="60"/>
              <w:right w:type="dxa" w:w="100"/>
            </w:tcMar>
          </w:tcPr>
          <w:p>
            <w:pPr>
              <w:jc w:val="left"/>
            </w:pPr>
            <w:r>
              <w:rPr>
                <w:b/>
                <w:bCs/>
                <w:color w:val="1F2937"/>
                <w:sz w:val="18"/>
                <w:szCs w:val="18"/>
              </w:rPr>
              <w:t xml:space="preserve">Base</w:t>
            </w:r>
          </w:p>
        </w:tc>
        <w:tc>
          <w:tcPr>
            <w:tcW w:type="dxa" w:w="1700"/>
            <w:shd w:fill="EEF2F7" w:color="auto" w:val="clear"/>
            <w:tcMar>
              <w:top w:type="dxa" w:w="60"/>
              <w:left w:type="dxa" w:w="100"/>
              <w:bottom w:type="dxa" w:w="60"/>
              <w:right w:type="dxa" w:w="100"/>
            </w:tcMar>
          </w:tcPr>
          <w:p>
            <w:pPr>
              <w:jc w:val="center"/>
            </w:pPr>
            <w:r>
              <w:rPr>
                <w:b w:val="false"/>
                <w:bCs w:val="false"/>
                <w:color w:val="111827"/>
                <w:sz w:val="18"/>
                <w:szCs w:val="18"/>
              </w:rPr>
              <w:t xml:space="preserve">+5.09%</w:t>
            </w:r>
          </w:p>
        </w:tc>
        <w:tc>
          <w:tcPr>
            <w:tcW w:type="dxa" w:w="1700"/>
            <w:shd w:fill="EEF2F7" w:color="auto" w:val="clear"/>
            <w:tcMar>
              <w:top w:type="dxa" w:w="60"/>
              <w:left w:type="dxa" w:w="100"/>
              <w:bottom w:type="dxa" w:w="60"/>
              <w:right w:type="dxa" w:w="100"/>
            </w:tcMar>
          </w:tcPr>
          <w:p>
            <w:pPr>
              <w:jc w:val="center"/>
            </w:pPr>
            <w:r>
              <w:rPr>
                <w:b w:val="false"/>
                <w:bCs w:val="false"/>
                <w:color w:val="111827"/>
                <w:sz w:val="18"/>
                <w:szCs w:val="18"/>
              </w:rPr>
              <w:t xml:space="preserve">+10.44%</w:t>
            </w:r>
          </w:p>
        </w:tc>
        <w:tc>
          <w:tcPr>
            <w:tcW w:type="dxa" w:w="1700"/>
            <w:shd w:fill="EEF2F7" w:color="auto" w:val="clear"/>
            <w:tcMar>
              <w:top w:type="dxa" w:w="60"/>
              <w:left w:type="dxa" w:w="100"/>
              <w:bottom w:type="dxa" w:w="60"/>
              <w:right w:type="dxa" w:w="100"/>
            </w:tcMar>
          </w:tcPr>
          <w:p>
            <w:pPr>
              <w:jc w:val="center"/>
            </w:pPr>
            <w:r>
              <w:rPr>
                <w:b w:val="false"/>
                <w:bCs w:val="false"/>
                <w:color w:val="111827"/>
                <w:sz w:val="18"/>
                <w:szCs w:val="18"/>
              </w:rPr>
              <w:t xml:space="preserve">+16.06%</w:t>
            </w:r>
          </w:p>
        </w:tc>
        <w:tc>
          <w:tcPr>
            <w:tcW w:type="dxa" w:w="1700"/>
            <w:shd w:fill="EEF2F7" w:color="auto" w:val="clear"/>
            <w:tcMar>
              <w:top w:type="dxa" w:w="60"/>
              <w:left w:type="dxa" w:w="100"/>
              <w:bottom w:type="dxa" w:w="60"/>
              <w:right w:type="dxa" w:w="100"/>
            </w:tcMar>
          </w:tcPr>
          <w:p>
            <w:pPr>
              <w:jc w:val="center"/>
            </w:pPr>
            <w:r>
              <w:rPr>
                <w:b/>
                <w:bCs/>
                <w:color w:val="111827"/>
                <w:sz w:val="18"/>
                <w:szCs w:val="18"/>
              </w:rPr>
              <w:t xml:space="preserve">+21.97%</w:t>
            </w:r>
          </w:p>
        </w:tc>
        <w:tc>
          <w:tcPr>
            <w:tcW w:type="dxa" w:w="1700"/>
            <w:shd w:fill="EEF2F7" w:color="auto" w:val="clear"/>
            <w:tcMar>
              <w:top w:type="dxa" w:w="60"/>
              <w:left w:type="dxa" w:w="100"/>
              <w:bottom w:type="dxa" w:w="60"/>
              <w:right w:type="dxa" w:w="100"/>
            </w:tcMar>
          </w:tcPr>
          <w:p>
            <w:pPr>
              <w:jc w:val="center"/>
            </w:pPr>
            <w:r>
              <w:rPr>
                <w:b w:val="false"/>
                <w:bCs w:val="false"/>
                <w:color w:val="111827"/>
                <w:sz w:val="18"/>
                <w:szCs w:val="18"/>
              </w:rPr>
              <w:t xml:space="preserve">+5.09%/q</w:t>
            </w:r>
          </w:p>
        </w:tc>
      </w:tr>
      <w:tr>
        <w:tc>
          <w:tcPr>
            <w:tcW w:type="dxa" w:w="1700"/>
            <w:shd w:fill="E8F5F2" w:color="auto" w:val="clear"/>
            <w:tcMar>
              <w:top w:type="dxa" w:w="60"/>
              <w:left w:type="dxa" w:w="100"/>
              <w:bottom w:type="dxa" w:w="60"/>
              <w:right w:type="dxa" w:w="100"/>
            </w:tcMar>
          </w:tcPr>
          <w:p>
            <w:pPr>
              <w:jc w:val="left"/>
            </w:pPr>
            <w:r>
              <w:rPr>
                <w:b/>
                <w:bCs/>
                <w:color w:val="0F6E63"/>
                <w:sz w:val="18"/>
                <w:szCs w:val="18"/>
              </w:rPr>
              <w:t xml:space="preserve">Upside</w:t>
            </w:r>
          </w:p>
        </w:tc>
        <w:tc>
          <w:tcPr>
            <w:tcW w:type="dxa" w:w="1700"/>
            <w:shd w:fill="E8F5F2" w:color="auto" w:val="clear"/>
            <w:tcMar>
              <w:top w:type="dxa" w:w="60"/>
              <w:left w:type="dxa" w:w="100"/>
              <w:bottom w:type="dxa" w:w="60"/>
              <w:right w:type="dxa" w:w="100"/>
            </w:tcMar>
          </w:tcPr>
          <w:p>
            <w:pPr>
              <w:jc w:val="center"/>
            </w:pPr>
            <w:r>
              <w:rPr>
                <w:b w:val="false"/>
                <w:bCs w:val="false"/>
                <w:color w:val="111827"/>
                <w:sz w:val="18"/>
                <w:szCs w:val="18"/>
              </w:rPr>
              <w:t xml:space="preserve">+7.73%</w:t>
            </w:r>
          </w:p>
        </w:tc>
        <w:tc>
          <w:tcPr>
            <w:tcW w:type="dxa" w:w="1700"/>
            <w:shd w:fill="E8F5F2" w:color="auto" w:val="clear"/>
            <w:tcMar>
              <w:top w:type="dxa" w:w="60"/>
              <w:left w:type="dxa" w:w="100"/>
              <w:bottom w:type="dxa" w:w="60"/>
              <w:right w:type="dxa" w:w="100"/>
            </w:tcMar>
          </w:tcPr>
          <w:p>
            <w:pPr>
              <w:jc w:val="center"/>
            </w:pPr>
            <w:r>
              <w:rPr>
                <w:b w:val="false"/>
                <w:bCs w:val="false"/>
                <w:color w:val="111827"/>
                <w:sz w:val="18"/>
                <w:szCs w:val="18"/>
              </w:rPr>
              <w:t xml:space="preserve">+16.06%</w:t>
            </w:r>
          </w:p>
        </w:tc>
        <w:tc>
          <w:tcPr>
            <w:tcW w:type="dxa" w:w="1700"/>
            <w:shd w:fill="E8F5F2" w:color="auto" w:val="clear"/>
            <w:tcMar>
              <w:top w:type="dxa" w:w="60"/>
              <w:left w:type="dxa" w:w="100"/>
              <w:bottom w:type="dxa" w:w="60"/>
              <w:right w:type="dxa" w:w="100"/>
            </w:tcMar>
          </w:tcPr>
          <w:p>
            <w:pPr>
              <w:jc w:val="center"/>
            </w:pPr>
            <w:r>
              <w:rPr>
                <w:b w:val="false"/>
                <w:bCs w:val="false"/>
                <w:color w:val="111827"/>
                <w:sz w:val="18"/>
                <w:szCs w:val="18"/>
              </w:rPr>
              <w:t xml:space="preserve">+25.03%</w:t>
            </w:r>
          </w:p>
        </w:tc>
        <w:tc>
          <w:tcPr>
            <w:tcW w:type="dxa" w:w="1700"/>
            <w:shd w:fill="E8F5F2" w:color="auto" w:val="clear"/>
            <w:tcMar>
              <w:top w:type="dxa" w:w="60"/>
              <w:left w:type="dxa" w:w="100"/>
              <w:bottom w:type="dxa" w:w="60"/>
              <w:right w:type="dxa" w:w="100"/>
            </w:tcMar>
          </w:tcPr>
          <w:p>
            <w:pPr>
              <w:jc w:val="center"/>
            </w:pPr>
            <w:r>
              <w:rPr>
                <w:b/>
                <w:bCs/>
                <w:color w:val="111827"/>
                <w:sz w:val="18"/>
                <w:szCs w:val="18"/>
              </w:rPr>
              <w:t xml:space="preserve">+34.69%</w:t>
            </w:r>
          </w:p>
        </w:tc>
        <w:tc>
          <w:tcPr>
            <w:tcW w:type="dxa" w:w="1700"/>
            <w:shd w:fill="E8F5F2" w:color="auto" w:val="clear"/>
            <w:tcMar>
              <w:top w:type="dxa" w:w="60"/>
              <w:left w:type="dxa" w:w="100"/>
              <w:bottom w:type="dxa" w:w="60"/>
              <w:right w:type="dxa" w:w="100"/>
            </w:tcMar>
          </w:tcPr>
          <w:p>
            <w:pPr>
              <w:jc w:val="center"/>
            </w:pPr>
            <w:r>
              <w:rPr>
                <w:b w:val="false"/>
                <w:bCs w:val="false"/>
                <w:color w:val="111827"/>
                <w:sz w:val="18"/>
                <w:szCs w:val="18"/>
              </w:rPr>
              <w:t xml:space="preserve">+7.73%/q</w:t>
            </w:r>
          </w:p>
        </w:tc>
      </w:tr>
    </w:tbl>
    <w:p>
      <w:pPr>
        <w:spacing w:after="80" w:before="200"/>
      </w:pPr>
      <w:r>
        <w:rPr>
          <w:b/>
          <w:bCs/>
          <w:color w:val="1F2937"/>
          <w:sz w:val="20"/>
          <w:szCs w:val="20"/>
        </w:rPr>
        <w:t xml:space="preserve">Assumptions changed, and by how much</w:t>
      </w:r>
    </w:p>
    <w:p>
      <w:pPr>
        <w:spacing w:after="40" w:before="120"/>
      </w:pPr>
      <w:r>
        <w:rPr>
          <w:b/>
          <w:bCs/>
          <w:color w:val="9F1239"/>
          <w:sz w:val="19"/>
          <w:szCs w:val="19"/>
        </w:rPr>
        <w:t xml:space="preserve">Downside</w:t>
      </w:r>
    </w:p>
    <w:p>
      <w:pPr>
        <w:spacing w:after="20"/>
        <w:ind w:left="200"/>
      </w:pPr>
      <w:r>
        <w:rPr>
          <w:color w:val="1F2937"/>
          <w:sz w:val="18"/>
          <w:szCs w:val="18"/>
        </w:rPr>
        <w:t xml:space="preserve">•  Expected four-quarter book return cut from +21.97% to +9.25% — a ‒12.72 percentage-point shift, exactly one book-weighted standard deviation below the base case.</w:t>
      </w:r>
    </w:p>
    <w:p>
      <w:pPr>
        <w:spacing w:after="20"/>
        <w:ind w:left="200"/>
      </w:pPr>
      <w:r>
        <w:rPr>
          <w:color w:val="1F2937"/>
          <w:sz w:val="18"/>
          <w:szCs w:val="18"/>
        </w:rPr>
        <w:t xml:space="preserve">•  No other input changed: same 25 names, same weights, same risk model.</w:t>
      </w:r>
    </w:p>
    <w:p>
      <w:pPr>
        <w:spacing w:after="40" w:before="120"/>
      </w:pPr>
      <w:r>
        <w:rPr>
          <w:b/>
          <w:bCs/>
          <w:color w:val="0F6E63"/>
          <w:sz w:val="19"/>
          <w:szCs w:val="19"/>
        </w:rPr>
        <w:t xml:space="preserve">Upside</w:t>
      </w:r>
    </w:p>
    <w:p>
      <w:pPr>
        <w:spacing w:after="20"/>
        <w:ind w:left="200"/>
      </w:pPr>
      <w:r>
        <w:rPr>
          <w:color w:val="1F2937"/>
          <w:sz w:val="18"/>
          <w:szCs w:val="18"/>
        </w:rPr>
        <w:t xml:space="preserve">•  Expected four-quarter book return raised from +21.97% to +34.69% — a +12.72 percentage-point shift, one book-weighted standard deviation above the base case.</w:t>
      </w:r>
    </w:p>
    <w:p>
      <w:pPr>
        <w:spacing w:after="20"/>
        <w:ind w:left="200"/>
      </w:pPr>
      <w:r>
        <w:rPr>
          <w:color w:val="1F2937"/>
          <w:sz w:val="18"/>
          <w:szCs w:val="18"/>
        </w:rPr>
        <w:t xml:space="preserve">•  Same names, same weights, same risk model — only the return assumption moves.</w:t>
      </w:r>
    </w:p>
    <w:p>
      <w:pPr>
        <w:spacing w:after="40" w:before="120"/>
      </w:pPr>
      <w:r>
        <w:rPr>
          <w:b/>
          <w:bCs/>
          <w:color w:val="1F2937"/>
          <w:sz w:val="19"/>
          <w:szCs w:val="19"/>
        </w:rPr>
        <w:t xml:space="preserve">Base</w:t>
      </w:r>
    </w:p>
    <w:p>
      <w:pPr>
        <w:spacing w:after="20"/>
        <w:ind w:left="200"/>
      </w:pPr>
      <w:r>
        <w:rPr>
          <w:color w:val="1F2937"/>
          <w:sz w:val="18"/>
          <w:szCs w:val="18"/>
        </w:rPr>
        <w:t xml:space="preserve">•  Unmodified: the book-weighted expected return produced directly by the Kalman v2 screen for the current 25-name CVaR-sized book.</w:t>
      </w:r>
    </w:p>
    <w:p>
      <w:pPr>
        <w:pBdr>
          <w:top w:val="single" w:color="D1D5DB" w:sz="4" w:space="6"/>
        </w:pBdr>
        <w:spacing w:after="20" w:before="220"/>
      </w:pPr>
      <w:r>
        <w:rPr>
          <w:b/>
          <w:bCs/>
          <w:color w:val="6B7280"/>
          <w:sz w:val="15"/>
          <w:szCs w:val="15"/>
        </w:rPr>
        <w:t xml:space="preserve">Data provenance</w:t>
      </w:r>
    </w:p>
    <w:p>
      <w:pPr>
        <w:spacing w:after="100"/>
      </w:pPr>
      <w:r>
        <w:rPr>
          <w:i/>
          <w:iCs/>
          <w:color w:val="374151"/>
          <w:sz w:val="15"/>
          <w:szCs w:val="15"/>
        </w:rPr>
        <w:t xml:space="preserve">Base-case return (+21.97%) and its ± shift is the book-weighted structural-TS Monte-Carlo forward return from the last full local export (run 512a53fd43eb, exported 2026-08-20). The ±12.72pp dispersion and the health check below are from the most recent run captured in the post-run history (run 02a1f2a641ef, exported today, 2026-08-25, 18:32 CEST) — this session could not reach the live database directly to pull a fully current book-level export, so the two figures are five days apart in vintage. As a cross-check, today's run's own 5th-percentile book return is +9.87%, close to this memo's downside case of +9.25% — consistent rather than contradictory.</w:t>
      </w:r>
    </w:p>
    <w:p>
      <w:pPr>
        <w:spacing w:after="100"/>
      </w:pPr>
      <w:r>
        <w:rPr>
          <w:i/>
          <w:iCs/>
          <w:color w:val="374151"/>
          <w:sz w:val="15"/>
          <w:szCs w:val="15"/>
        </w:rPr>
        <w:t xml:space="preserve">Today's run: 22 gates pass, 2 warn, 0 fail; zero divergences; max R-hat 1.002; the screen still separates from analyst consensus (Spearman 0.993, median revision +0.98pp) rather than reproducing it outright. Full detail available on request.</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Prepared for leadership review  —  25 August 2026  —  page 1 of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6" w:space="4"/>
      </w:pBdr>
      <w:spacing w:after="0"/>
    </w:pPr>
    <w:r>
      <w:rPr>
        <w:b/>
        <w:bCs/>
        <w:color w:val="6B7280"/>
        <w:sz w:val="16"/>
        <w:szCs w:val="16"/>
      </w:rPr>
      <w:t xml:space="preserve">PML FINANCE  |  KALMAN v2 CVaR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2026-08-25T19:13:29.790Z</dcterms:created>
  <dcterms:modified xsi:type="dcterms:W3CDTF">2026-08-25T19:13:29.805Z</dcterms:modified>
</cp:coreProperties>
</file>

<file path=docProps/custom.xml><?xml version="1.0" encoding="utf-8"?>
<Properties xmlns="http://schemas.openxmlformats.org/officeDocument/2006/custom-properties" xmlns:vt="http://schemas.openxmlformats.org/officeDocument/2006/docPropsVTypes"/>
</file>