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FE0" w:rsidRDefault="00126B0A" w:rsidP="006E0E77">
      <w:r w:rsidRPr="006E0E77">
        <w:t xml:space="preserve"> </w:t>
      </w:r>
      <w:r w:rsidR="00D90FE0">
        <w:t>Know our offered courses in detail, pick that suits your need.</w:t>
      </w:r>
    </w:p>
    <w:tbl>
      <w:tblPr>
        <w:tblStyle w:val="TableGrid"/>
        <w:tblW w:w="0" w:type="auto"/>
        <w:tblLook w:val="04A0"/>
      </w:tblPr>
      <w:tblGrid>
        <w:gridCol w:w="5058"/>
      </w:tblGrid>
      <w:tr w:rsidR="00D90FE0" w:rsidTr="003E058E">
        <w:trPr>
          <w:trHeight w:val="2276"/>
        </w:trPr>
        <w:tc>
          <w:tcPr>
            <w:tcW w:w="5058" w:type="dxa"/>
          </w:tcPr>
          <w:p w:rsidR="00D90FE0" w:rsidRPr="00D90FE0" w:rsidRDefault="00651E28" w:rsidP="00651E28">
            <w:pPr>
              <w:rPr>
                <w:b/>
              </w:rPr>
            </w:pPr>
            <w:r>
              <w:rPr>
                <w:b/>
                <w:noProof/>
              </w:rPr>
              <w:pict>
                <v:rect id="_x0000_s1031" style="position:absolute;margin-left:257pt;margin-top:.65pt;width:277.35pt;height:115.2pt;z-index:251659264">
                  <v:textbox style="mso-next-textbox:#_x0000_s1031">
                    <w:txbxContent>
                      <w:p w:rsidR="00651E28" w:rsidRPr="00651E28" w:rsidRDefault="00651E28" w:rsidP="00651E28">
                        <w:pPr>
                          <w:pStyle w:val="NormalWeb"/>
                          <w:shd w:val="clear" w:color="auto" w:fill="FFFFFF"/>
                          <w:spacing w:before="0" w:beforeAutospacing="0" w:after="0" w:afterAutospacing="0"/>
                          <w:jc w:val="center"/>
                          <w:rPr>
                            <w:rFonts w:ascii="Arial" w:hAnsi="Arial" w:cs="Arial"/>
                            <w:b/>
                            <w:color w:val="333333"/>
                            <w:spacing w:val="6"/>
                            <w:sz w:val="16"/>
                            <w:szCs w:val="18"/>
                          </w:rPr>
                        </w:pPr>
                        <w:r w:rsidRPr="00651E28">
                          <w:rPr>
                            <w:rFonts w:ascii="Arial" w:hAnsi="Arial" w:cs="Arial"/>
                            <w:b/>
                            <w:color w:val="333333"/>
                            <w:spacing w:val="6"/>
                            <w:sz w:val="16"/>
                            <w:szCs w:val="18"/>
                          </w:rPr>
                          <w:t>IELTS Academic</w:t>
                        </w:r>
                      </w:p>
                      <w:p w:rsidR="00651E28" w:rsidRDefault="00651E28" w:rsidP="00651E28">
                        <w:pPr>
                          <w:pStyle w:val="NormalWeb"/>
                          <w:shd w:val="clear" w:color="auto" w:fill="FFFFFF"/>
                          <w:spacing w:before="0" w:beforeAutospacing="0" w:after="0" w:afterAutospacing="0"/>
                          <w:rPr>
                            <w:rFonts w:asciiTheme="minorHAnsi" w:hAnsiTheme="minorHAnsi" w:cstheme="minorHAnsi"/>
                            <w:color w:val="333333"/>
                            <w:spacing w:val="6"/>
                            <w:sz w:val="18"/>
                            <w:szCs w:val="18"/>
                          </w:rPr>
                        </w:pPr>
                        <w:r w:rsidRPr="00651E28">
                          <w:rPr>
                            <w:rFonts w:asciiTheme="minorHAnsi" w:hAnsiTheme="minorHAnsi" w:cstheme="minorHAnsi"/>
                            <w:color w:val="333333"/>
                            <w:spacing w:val="6"/>
                            <w:sz w:val="18"/>
                            <w:szCs w:val="18"/>
                          </w:rPr>
                          <w:t>The IELTS Academic test is for people applying for higher education or professional registration in an English speaking environment. It reflects some of the features of academic language and assesses whether you are ready to begin studying or training.</w:t>
                        </w:r>
                      </w:p>
                      <w:p w:rsidR="00651E28" w:rsidRDefault="00651E28" w:rsidP="00651E28">
                        <w:pPr>
                          <w:pStyle w:val="NormalWeb"/>
                          <w:shd w:val="clear" w:color="auto" w:fill="FFFFFF"/>
                          <w:spacing w:before="0" w:beforeAutospacing="0" w:after="0" w:afterAutospacing="0"/>
                          <w:rPr>
                            <w:rFonts w:asciiTheme="minorHAnsi" w:hAnsiTheme="minorHAnsi" w:cstheme="minorHAnsi"/>
                            <w:color w:val="333333"/>
                            <w:spacing w:val="6"/>
                            <w:sz w:val="18"/>
                            <w:szCs w:val="18"/>
                          </w:rPr>
                        </w:pPr>
                      </w:p>
                      <w:p w:rsidR="00651E28" w:rsidRDefault="00651E28" w:rsidP="00651E28">
                        <w:pPr>
                          <w:pStyle w:val="NormalWeb"/>
                          <w:shd w:val="clear" w:color="auto" w:fill="FFFFFF"/>
                          <w:spacing w:before="0" w:beforeAutospacing="0" w:after="0" w:afterAutospacing="0"/>
                          <w:rPr>
                            <w:rFonts w:asciiTheme="minorHAnsi" w:hAnsiTheme="minorHAnsi" w:cstheme="minorHAnsi"/>
                            <w:color w:val="333333"/>
                            <w:spacing w:val="6"/>
                            <w:sz w:val="18"/>
                            <w:szCs w:val="18"/>
                          </w:rPr>
                        </w:pPr>
                        <w:r w:rsidRPr="00651E28">
                          <w:rPr>
                            <w:rFonts w:asciiTheme="minorHAnsi" w:hAnsiTheme="minorHAnsi" w:cstheme="minorHAnsi"/>
                            <w:color w:val="333333"/>
                            <w:spacing w:val="6"/>
                            <w:sz w:val="18"/>
                            <w:szCs w:val="18"/>
                          </w:rPr>
                          <w:t>IELTS Academic is widely recognized by several institutions globally.</w:t>
                        </w:r>
                        <w:r>
                          <w:rPr>
                            <w:rFonts w:asciiTheme="minorHAnsi" w:hAnsiTheme="minorHAnsi" w:cstheme="minorHAnsi"/>
                            <w:color w:val="333333"/>
                            <w:spacing w:val="6"/>
                            <w:sz w:val="18"/>
                            <w:szCs w:val="18"/>
                          </w:rPr>
                          <w:t xml:space="preserve">                                  </w:t>
                        </w:r>
                      </w:p>
                      <w:p w:rsidR="00651E28" w:rsidRDefault="00651E28" w:rsidP="00651E28">
                        <w:pPr>
                          <w:pStyle w:val="NormalWeb"/>
                          <w:shd w:val="clear" w:color="auto" w:fill="FFFFFF"/>
                          <w:spacing w:before="0" w:beforeAutospacing="0" w:after="0" w:afterAutospacing="0"/>
                          <w:ind w:left="3600"/>
                          <w:rPr>
                            <w:rFonts w:asciiTheme="minorHAnsi" w:hAnsiTheme="minorHAnsi" w:cstheme="minorHAnsi"/>
                            <w:color w:val="333333"/>
                            <w:spacing w:val="6"/>
                            <w:sz w:val="18"/>
                            <w:szCs w:val="18"/>
                          </w:rPr>
                        </w:pPr>
                        <w:r>
                          <w:rPr>
                            <w:rFonts w:asciiTheme="minorHAnsi" w:hAnsiTheme="minorHAnsi" w:cstheme="minorHAnsi"/>
                            <w:color w:val="333333"/>
                            <w:spacing w:val="6"/>
                            <w:sz w:val="18"/>
                            <w:szCs w:val="18"/>
                          </w:rPr>
                          <w:t>Explore</w:t>
                        </w:r>
                      </w:p>
                      <w:p w:rsidR="00651E28" w:rsidRPr="00651E28" w:rsidRDefault="00651E28" w:rsidP="00651E28">
                        <w:pPr>
                          <w:pStyle w:val="NormalWeb"/>
                          <w:shd w:val="clear" w:color="auto" w:fill="FFFFFF"/>
                          <w:spacing w:before="0" w:beforeAutospacing="0" w:after="0" w:afterAutospacing="0"/>
                          <w:rPr>
                            <w:rFonts w:asciiTheme="minorHAnsi" w:hAnsiTheme="minorHAnsi" w:cstheme="minorHAnsi"/>
                            <w:color w:val="333333"/>
                            <w:spacing w:val="6"/>
                            <w:sz w:val="18"/>
                            <w:szCs w:val="18"/>
                          </w:rPr>
                        </w:pPr>
                      </w:p>
                      <w:p w:rsidR="00651E28" w:rsidRPr="00651E28" w:rsidRDefault="00651E28">
                        <w:pPr>
                          <w:rPr>
                            <w:sz w:val="20"/>
                          </w:rPr>
                        </w:pPr>
                      </w:p>
                    </w:txbxContent>
                  </v:textbox>
                </v:rect>
              </w:pict>
            </w:r>
            <w:r w:rsidR="00D90FE0" w:rsidRPr="00D90FE0">
              <w:rPr>
                <w:b/>
              </w:rPr>
              <w:t>IELTS General</w:t>
            </w:r>
          </w:p>
          <w:p w:rsidR="00D90FE0" w:rsidRDefault="00D90FE0" w:rsidP="00651E28">
            <w:pPr>
              <w:rPr>
                <w:sz w:val="18"/>
              </w:rPr>
            </w:pPr>
            <w:r w:rsidRPr="00D90FE0">
              <w:rPr>
                <w:sz w:val="18"/>
              </w:rPr>
              <w:t>The IELTS General Training test is for those who are going to English speaking countries for secondary education, work experience or training programs. It is also a requirement for migration to Australia, Canada, New Zealand and the UK. The test focuses on basic survival skills in broad social and workplace contexts.</w:t>
            </w:r>
          </w:p>
          <w:p w:rsidR="00D90FE0" w:rsidRDefault="00651E28" w:rsidP="00D90FE0">
            <w:pPr>
              <w:jc w:val="center"/>
              <w:rPr>
                <w:sz w:val="18"/>
              </w:rPr>
            </w:pPr>
            <w:r>
              <w:rPr>
                <w:noProof/>
                <w:sz w:val="18"/>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139.85pt;margin-top:1.5pt;width:36.3pt;height:7.15pt;z-index:251658240"/>
              </w:pict>
            </w:r>
            <w:r>
              <w:rPr>
                <w:sz w:val="18"/>
              </w:rPr>
              <w:t>Explore</w:t>
            </w:r>
          </w:p>
          <w:p w:rsidR="00D90FE0" w:rsidRDefault="00651E28" w:rsidP="00D90FE0">
            <w:pPr>
              <w:jc w:val="center"/>
            </w:pPr>
            <w:r>
              <w:rPr>
                <w:b/>
                <w:noProof/>
              </w:rPr>
              <w:pict>
                <v:shape id="_x0000_s1032" type="#_x0000_t13" style="position:absolute;left:0;text-align:left;margin-left:475.5pt;margin-top:12.65pt;width:36.3pt;height:7.15pt;z-index:251660288"/>
              </w:pict>
            </w:r>
          </w:p>
        </w:tc>
      </w:tr>
    </w:tbl>
    <w:tbl>
      <w:tblPr>
        <w:tblStyle w:val="TableGrid"/>
        <w:tblpPr w:leftFromText="180" w:rightFromText="180" w:vertAnchor="text" w:horzAnchor="margin" w:tblpY="284"/>
        <w:tblW w:w="0" w:type="auto"/>
        <w:tblLook w:val="04A0"/>
      </w:tblPr>
      <w:tblGrid>
        <w:gridCol w:w="5058"/>
      </w:tblGrid>
      <w:tr w:rsidR="00EE1BEB" w:rsidTr="00EE1BEB">
        <w:trPr>
          <w:trHeight w:val="2330"/>
        </w:trPr>
        <w:tc>
          <w:tcPr>
            <w:tcW w:w="5058" w:type="dxa"/>
          </w:tcPr>
          <w:p w:rsidR="00EE1BEB" w:rsidRDefault="00EE1BEB" w:rsidP="00EE1BEB">
            <w:r>
              <w:t>PTE</w:t>
            </w:r>
          </w:p>
          <w:p w:rsidR="00C7141C" w:rsidRDefault="00C7141C" w:rsidP="00EE1BEB"/>
          <w:p w:rsidR="00C7141C" w:rsidRDefault="00C7141C" w:rsidP="00EE1BEB"/>
          <w:p w:rsidR="00C7141C" w:rsidRDefault="00C7141C" w:rsidP="00EE1BEB"/>
          <w:p w:rsidR="00C7141C" w:rsidRDefault="00C7141C" w:rsidP="00EE1BEB"/>
          <w:p w:rsidR="00C7141C" w:rsidRDefault="00C7141C" w:rsidP="00EE1BEB"/>
          <w:p w:rsidR="00C7141C" w:rsidRDefault="00C7141C" w:rsidP="00EE1BEB"/>
          <w:p w:rsidR="00C7141C" w:rsidRDefault="00C7141C" w:rsidP="00EE1BEB">
            <w:r>
              <w:rPr>
                <w:rFonts w:cstheme="minorHAnsi"/>
                <w:color w:val="333333"/>
                <w:spacing w:val="6"/>
                <w:sz w:val="18"/>
                <w:szCs w:val="18"/>
              </w:rPr>
              <w:t xml:space="preserve">                                                                      Explore </w:t>
            </w:r>
            <w:r w:rsidRPr="00C7141C">
              <w:rPr>
                <w:rFonts w:cstheme="minorHAnsi"/>
                <w:color w:val="333333"/>
                <w:spacing w:val="6"/>
                <w:sz w:val="18"/>
                <w:szCs w:val="18"/>
              </w:rPr>
              <w:drawing>
                <wp:inline distT="0" distB="0" distL="0" distR="0">
                  <wp:extent cx="485140" cy="11112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5140" cy="111125"/>
                          </a:xfrm>
                          <a:prstGeom prst="rect">
                            <a:avLst/>
                          </a:prstGeom>
                          <a:noFill/>
                          <a:ln w="9525">
                            <a:noFill/>
                            <a:miter lim="800000"/>
                            <a:headEnd/>
                            <a:tailEnd/>
                          </a:ln>
                        </pic:spPr>
                      </pic:pic>
                    </a:graphicData>
                  </a:graphic>
                </wp:inline>
              </w:drawing>
            </w:r>
          </w:p>
        </w:tc>
      </w:tr>
    </w:tbl>
    <w:p w:rsidR="00126B0A" w:rsidRDefault="00EE1BEB" w:rsidP="006E0E77">
      <w:r>
        <w:rPr>
          <w:noProof/>
        </w:rPr>
        <w:pict>
          <v:rect id="_x0000_s1034" style="position:absolute;margin-left:3.45pt;margin-top:13.55pt;width:277.35pt;height:115.2pt;z-index:251661312;mso-position-horizontal-relative:text;mso-position-vertical-relative:text">
            <v:textbox style="mso-next-textbox:#_x0000_s1034">
              <w:txbxContent>
                <w:p w:rsidR="00EE1BEB" w:rsidRPr="00651E28" w:rsidRDefault="00EE1BEB" w:rsidP="00EE1BEB">
                  <w:pPr>
                    <w:pStyle w:val="NormalWeb"/>
                    <w:shd w:val="clear" w:color="auto" w:fill="FFFFFF"/>
                    <w:spacing w:before="0" w:beforeAutospacing="0" w:after="0" w:afterAutospacing="0"/>
                    <w:jc w:val="center"/>
                    <w:rPr>
                      <w:rFonts w:ascii="Arial" w:hAnsi="Arial" w:cs="Arial"/>
                      <w:b/>
                      <w:color w:val="333333"/>
                      <w:spacing w:val="6"/>
                      <w:sz w:val="16"/>
                      <w:szCs w:val="18"/>
                    </w:rPr>
                  </w:pPr>
                  <w:r>
                    <w:rPr>
                      <w:rFonts w:ascii="Arial" w:hAnsi="Arial" w:cs="Arial"/>
                      <w:b/>
                      <w:color w:val="333333"/>
                      <w:spacing w:val="6"/>
                      <w:sz w:val="16"/>
                      <w:szCs w:val="18"/>
                    </w:rPr>
                    <w:t>CELPIP</w:t>
                  </w:r>
                </w:p>
                <w:p w:rsidR="00EE1BEB" w:rsidRDefault="00EE1BEB" w:rsidP="00EE1BEB">
                  <w:pPr>
                    <w:pStyle w:val="NormalWeb"/>
                    <w:shd w:val="clear" w:color="auto" w:fill="FFFFFF"/>
                    <w:spacing w:before="0" w:beforeAutospacing="0" w:after="0" w:afterAutospacing="0"/>
                    <w:rPr>
                      <w:rFonts w:asciiTheme="minorHAnsi" w:hAnsiTheme="minorHAnsi" w:cstheme="minorHAnsi"/>
                      <w:color w:val="333333"/>
                      <w:spacing w:val="6"/>
                      <w:sz w:val="18"/>
                      <w:szCs w:val="18"/>
                    </w:rPr>
                  </w:pPr>
                  <w:r w:rsidRPr="00651E28">
                    <w:rPr>
                      <w:rFonts w:asciiTheme="minorHAnsi" w:hAnsiTheme="minorHAnsi" w:cstheme="minorHAnsi"/>
                      <w:color w:val="333333"/>
                      <w:spacing w:val="6"/>
                      <w:sz w:val="18"/>
                      <w:szCs w:val="18"/>
                    </w:rPr>
                    <w:t>The IELTS Academic test is for people applying for higher education or professional registration in an English speaking environment. It reflects some of the features of academic language and assesses whether you are ready to begin studying or training.</w:t>
                  </w:r>
                </w:p>
                <w:p w:rsidR="00EE1BEB" w:rsidRDefault="00EE1BEB" w:rsidP="00EE1BEB">
                  <w:pPr>
                    <w:pStyle w:val="NormalWeb"/>
                    <w:shd w:val="clear" w:color="auto" w:fill="FFFFFF"/>
                    <w:spacing w:before="0" w:beforeAutospacing="0" w:after="0" w:afterAutospacing="0"/>
                    <w:rPr>
                      <w:rFonts w:asciiTheme="minorHAnsi" w:hAnsiTheme="minorHAnsi" w:cstheme="minorHAnsi"/>
                      <w:color w:val="333333"/>
                      <w:spacing w:val="6"/>
                      <w:sz w:val="18"/>
                      <w:szCs w:val="18"/>
                    </w:rPr>
                  </w:pPr>
                </w:p>
                <w:p w:rsidR="00EE1BEB" w:rsidRDefault="00EE1BEB" w:rsidP="00EE1BEB">
                  <w:pPr>
                    <w:pStyle w:val="NormalWeb"/>
                    <w:shd w:val="clear" w:color="auto" w:fill="FFFFFF"/>
                    <w:spacing w:before="0" w:beforeAutospacing="0" w:after="0" w:afterAutospacing="0"/>
                    <w:rPr>
                      <w:rFonts w:asciiTheme="minorHAnsi" w:hAnsiTheme="minorHAnsi" w:cstheme="minorHAnsi"/>
                      <w:color w:val="333333"/>
                      <w:spacing w:val="6"/>
                      <w:sz w:val="18"/>
                      <w:szCs w:val="18"/>
                    </w:rPr>
                  </w:pPr>
                  <w:r w:rsidRPr="00651E28">
                    <w:rPr>
                      <w:rFonts w:asciiTheme="minorHAnsi" w:hAnsiTheme="minorHAnsi" w:cstheme="minorHAnsi"/>
                      <w:color w:val="333333"/>
                      <w:spacing w:val="6"/>
                      <w:sz w:val="18"/>
                      <w:szCs w:val="18"/>
                    </w:rPr>
                    <w:t>IELTS Academic is widely recognized by several institutions globally.</w:t>
                  </w:r>
                  <w:r>
                    <w:rPr>
                      <w:rFonts w:asciiTheme="minorHAnsi" w:hAnsiTheme="minorHAnsi" w:cstheme="minorHAnsi"/>
                      <w:color w:val="333333"/>
                      <w:spacing w:val="6"/>
                      <w:sz w:val="18"/>
                      <w:szCs w:val="18"/>
                    </w:rPr>
                    <w:t xml:space="preserve">                                  </w:t>
                  </w:r>
                </w:p>
                <w:p w:rsidR="00EE1BEB" w:rsidRDefault="00EE1BEB" w:rsidP="00EE1BEB">
                  <w:pPr>
                    <w:pStyle w:val="NormalWeb"/>
                    <w:shd w:val="clear" w:color="auto" w:fill="FFFFFF"/>
                    <w:spacing w:before="0" w:beforeAutospacing="0" w:after="0" w:afterAutospacing="0"/>
                    <w:ind w:left="3600"/>
                    <w:rPr>
                      <w:rFonts w:asciiTheme="minorHAnsi" w:hAnsiTheme="minorHAnsi" w:cstheme="minorHAnsi"/>
                      <w:color w:val="333333"/>
                      <w:spacing w:val="6"/>
                      <w:sz w:val="18"/>
                      <w:szCs w:val="18"/>
                    </w:rPr>
                  </w:pPr>
                  <w:r>
                    <w:rPr>
                      <w:rFonts w:asciiTheme="minorHAnsi" w:hAnsiTheme="minorHAnsi" w:cstheme="minorHAnsi"/>
                      <w:color w:val="333333"/>
                      <w:spacing w:val="6"/>
                      <w:sz w:val="18"/>
                      <w:szCs w:val="18"/>
                    </w:rPr>
                    <w:t>Explore</w:t>
                  </w:r>
                  <w:r w:rsidR="00C7141C">
                    <w:rPr>
                      <w:rFonts w:asciiTheme="minorHAnsi" w:hAnsiTheme="minorHAnsi" w:cstheme="minorHAnsi"/>
                      <w:color w:val="333333"/>
                      <w:spacing w:val="6"/>
                      <w:sz w:val="18"/>
                      <w:szCs w:val="18"/>
                    </w:rPr>
                    <w:t xml:space="preserve"> </w:t>
                  </w:r>
                  <w:r w:rsidR="00C7141C">
                    <w:rPr>
                      <w:rFonts w:asciiTheme="minorHAnsi" w:hAnsiTheme="minorHAnsi" w:cstheme="minorHAnsi"/>
                      <w:noProof/>
                      <w:color w:val="333333"/>
                      <w:spacing w:val="6"/>
                      <w:sz w:val="18"/>
                      <w:szCs w:val="18"/>
                    </w:rPr>
                    <w:drawing>
                      <wp:inline distT="0" distB="0" distL="0" distR="0">
                        <wp:extent cx="485140" cy="1111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85140" cy="111125"/>
                                </a:xfrm>
                                <a:prstGeom prst="rect">
                                  <a:avLst/>
                                </a:prstGeom>
                                <a:noFill/>
                                <a:ln w="9525">
                                  <a:noFill/>
                                  <a:miter lim="800000"/>
                                  <a:headEnd/>
                                  <a:tailEnd/>
                                </a:ln>
                              </pic:spPr>
                            </pic:pic>
                          </a:graphicData>
                        </a:graphic>
                      </wp:inline>
                    </w:drawing>
                  </w:r>
                </w:p>
                <w:p w:rsidR="00EE1BEB" w:rsidRPr="00651E28" w:rsidRDefault="00EE1BEB" w:rsidP="00EE1BEB">
                  <w:pPr>
                    <w:pStyle w:val="NormalWeb"/>
                    <w:shd w:val="clear" w:color="auto" w:fill="FFFFFF"/>
                    <w:spacing w:before="0" w:beforeAutospacing="0" w:after="0" w:afterAutospacing="0"/>
                    <w:rPr>
                      <w:rFonts w:asciiTheme="minorHAnsi" w:hAnsiTheme="minorHAnsi" w:cstheme="minorHAnsi"/>
                      <w:color w:val="333333"/>
                      <w:spacing w:val="6"/>
                      <w:sz w:val="18"/>
                      <w:szCs w:val="18"/>
                    </w:rPr>
                  </w:pPr>
                </w:p>
                <w:p w:rsidR="00EE1BEB" w:rsidRPr="00651E28" w:rsidRDefault="00EE1BEB" w:rsidP="00EE1BEB">
                  <w:pPr>
                    <w:rPr>
                      <w:sz w:val="20"/>
                    </w:rPr>
                  </w:pPr>
                </w:p>
              </w:txbxContent>
            </v:textbox>
          </v:rect>
        </w:pict>
      </w:r>
      <w:r w:rsidR="00651E28">
        <w:t xml:space="preserve">   </w:t>
      </w:r>
      <w:r w:rsidR="00D90FE0">
        <w:t xml:space="preserve"> </w:t>
      </w:r>
    </w:p>
    <w:p w:rsidR="00EE1BEB" w:rsidRDefault="00EE1BEB" w:rsidP="006E0E77"/>
    <w:p w:rsidR="00EE1BEB" w:rsidRPr="006E0E77" w:rsidRDefault="008F5E6E" w:rsidP="006E0E77">
      <w:r>
        <w:rPr>
          <w:noProof/>
        </w:rPr>
        <w:pict>
          <v:shapetype id="_x0000_t202" coordsize="21600,21600" o:spt="202" path="m,l,21600r21600,l21600,xe">
            <v:stroke joinstyle="miter"/>
            <v:path gradientshapeok="t" o:connecttype="rect"/>
          </v:shapetype>
          <v:shape id="_x0000_s1035" type="#_x0000_t202" style="position:absolute;margin-left:-275.25pt;margin-top:105.95pt;width:540.95pt;height:35.1pt;z-index:251662336" strokecolor="white [3212]">
            <v:textbox>
              <w:txbxContent>
                <w:p w:rsidR="008F5E6E" w:rsidRDefault="00103EE2" w:rsidP="00103EE2">
                  <w:r>
                    <w:t>*</w:t>
                  </w:r>
                  <w:r w:rsidR="008F5E6E">
                    <w:t>After clicking on Explore – it lands on a new page</w:t>
                  </w:r>
                  <w:r>
                    <w:t>,</w:t>
                  </w:r>
                  <w:r w:rsidR="008F5E6E">
                    <w:t xml:space="preserve"> contents for which are mentioned in PRICING named Doc</w:t>
                  </w:r>
                  <w:r>
                    <w:t>.</w:t>
                  </w:r>
                </w:p>
              </w:txbxContent>
            </v:textbox>
          </v:shape>
        </w:pict>
      </w:r>
    </w:p>
    <w:sectPr w:rsidR="00EE1BEB" w:rsidRPr="006E0E77" w:rsidSect="00126B0A">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89161C"/>
    <w:multiLevelType w:val="hybridMultilevel"/>
    <w:tmpl w:val="7540AE1A"/>
    <w:lvl w:ilvl="0" w:tplc="C4A8D838">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B50418"/>
    <w:rsid w:val="000634C9"/>
    <w:rsid w:val="00103EE2"/>
    <w:rsid w:val="00126B0A"/>
    <w:rsid w:val="003E058E"/>
    <w:rsid w:val="004D5050"/>
    <w:rsid w:val="00651E28"/>
    <w:rsid w:val="006E0E77"/>
    <w:rsid w:val="00892CBD"/>
    <w:rsid w:val="008F1E72"/>
    <w:rsid w:val="008F5E6E"/>
    <w:rsid w:val="00B50418"/>
    <w:rsid w:val="00C351F8"/>
    <w:rsid w:val="00C7141C"/>
    <w:rsid w:val="00D90FE0"/>
    <w:rsid w:val="00EE1B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4C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0FE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651E2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03EE2"/>
    <w:pPr>
      <w:ind w:left="720"/>
      <w:contextualSpacing/>
    </w:pPr>
  </w:style>
  <w:style w:type="paragraph" w:styleId="BalloonText">
    <w:name w:val="Balloon Text"/>
    <w:basedOn w:val="Normal"/>
    <w:link w:val="BalloonTextChar"/>
    <w:uiPriority w:val="99"/>
    <w:semiHidden/>
    <w:unhideWhenUsed/>
    <w:rsid w:val="00C714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141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1651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TotalTime>
  <Pages>1</Pages>
  <Words>76</Words>
  <Characters>434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10</cp:revision>
  <dcterms:created xsi:type="dcterms:W3CDTF">2020-04-30T11:14:00Z</dcterms:created>
  <dcterms:modified xsi:type="dcterms:W3CDTF">2020-04-30T16:25:00Z</dcterms:modified>
</cp:coreProperties>
</file>