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659F2" w14:textId="77777777" w:rsidR="00012482" w:rsidRPr="005835F7" w:rsidRDefault="00000000" w:rsidP="006E6660">
      <w:pPr>
        <w:pStyle w:val="Title"/>
        <w:spacing w:after="120" w:line="276" w:lineRule="auto"/>
        <w:jc w:val="both"/>
        <w:rPr>
          <w:rFonts w:ascii="Times New Roman" w:hAnsi="Times New Roman" w:cs="Times New Roman"/>
          <w:color w:val="000000" w:themeColor="text1"/>
          <w:sz w:val="24"/>
          <w:szCs w:val="24"/>
        </w:rPr>
      </w:pPr>
      <w:r w:rsidRPr="005835F7">
        <w:rPr>
          <w:rFonts w:ascii="Times New Roman" w:hAnsi="Times New Roman" w:cs="Times New Roman"/>
          <w:color w:val="000000" w:themeColor="text1"/>
          <w:sz w:val="24"/>
          <w:szCs w:val="24"/>
          <w:highlight w:val="yellow"/>
        </w:rPr>
        <w:t>Retrospective Development of TECR-Net for Ranking Next-Year Recorded Incidents of Non-Compliance on U.S. Offshore Platforms</w:t>
      </w:r>
    </w:p>
    <w:p w14:paraId="2D257215" w14:textId="77777777" w:rsidR="00012482" w:rsidRPr="005835F7" w:rsidRDefault="00000000" w:rsidP="006E6660">
      <w:pPr>
        <w:pStyle w:val="Heading1"/>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Abstract</w:t>
      </w:r>
    </w:p>
    <w:p w14:paraId="109648F4" w14:textId="606760A0" w:rsidR="00E01EB4" w:rsidRPr="005835F7" w:rsidRDefault="009A4EB4" w:rsidP="00E01EB4">
      <w:pPr>
        <w:spacing w:after="100"/>
        <w:rPr>
          <w:rFonts w:cs="Times New Roman"/>
          <w:color w:val="000000" w:themeColor="text1"/>
          <w:sz w:val="24"/>
          <w:szCs w:val="24"/>
          <w:lang w:val="en-IN"/>
        </w:rPr>
      </w:pPr>
      <w:r w:rsidRPr="003B2D0D">
        <w:rPr>
          <w:rFonts w:cs="Times New Roman"/>
          <w:color w:val="000000" w:themeColor="text1"/>
          <w:sz w:val="24"/>
          <w:szCs w:val="24"/>
          <w:highlight w:val="yellow"/>
        </w:rPr>
        <w:t>A risk-based offshore regulation regime could potentially profit from employing methods of ranking recorded administrative results while maintaining the separation between the record of enforcement and the state of the platform itself. This retrospective development study examines TECR-Net, a multi-branch temporal neural network designed to estimate whether a U.S. offshore platform-year leads to a recorded Bureau of Safety and Environmental Enforcement Incident of Noncompliance (INC). The archived production-based study uses exactly three-year histories with 26 dynamic, 3 static numerical and 8 categorical predictors. Several static and administrative predictors come from later records or do not have source-specific dates of publication; thus, the full-feature analysis is a case of retrospective association modelling without the proof that all inputs were known at the time of a historical forecast origin. The 2020-2021 development cohort consisted of 1,884 histories from 982 platforms, of which 67 resulted in positive outcomes (3.56%). In seven separately trained archived seeds, average AP was 0.07401 ± 0.00775, average ROC-AUC was 0.63115 ± 0.01119.</w:t>
      </w:r>
      <w:r w:rsidRPr="003B2D0D">
        <w:rPr>
          <w:highlight w:val="yellow"/>
        </w:rPr>
        <w:t xml:space="preserve"> </w:t>
      </w:r>
      <w:r w:rsidRPr="003B2D0D">
        <w:rPr>
          <w:rFonts w:cs="Times New Roman"/>
          <w:color w:val="000000" w:themeColor="text1"/>
          <w:sz w:val="24"/>
          <w:szCs w:val="24"/>
          <w:highlight w:val="yellow"/>
        </w:rPr>
        <w:t>The probability mapped ensemble with archival training developed AP 0.07518 and ROC-AUC 0.63855 through adaptive development. An independent run with an eight-model symmetric design, utilizing the same selection of 2018 and 2019 years, identical rows in 2020 and 2021 years and protocol gave TECR-Net the results of AP 0.05897 and ROC-AUC 0.64408. Such comparison stays developmental and does not prove any external superiority. The corrected-cohort study has interrupted the production continuity in t+1 year and produced 22,957 records with calendar exact histories, but the data on predictor time validity, completeness of ascertainment of negative outcomes, corrected data comparator reruns and intact mature-outcome cohort are not available.</w:t>
      </w:r>
    </w:p>
    <w:p w14:paraId="70796A64" w14:textId="77777777" w:rsidR="00012482" w:rsidRPr="005835F7" w:rsidRDefault="00000000" w:rsidP="006E6660">
      <w:pPr>
        <w:spacing w:after="100"/>
        <w:rPr>
          <w:rFonts w:cs="Times New Roman"/>
          <w:color w:val="000000" w:themeColor="text1"/>
          <w:sz w:val="24"/>
          <w:szCs w:val="24"/>
        </w:rPr>
      </w:pPr>
      <w:r w:rsidRPr="005835F7">
        <w:rPr>
          <w:rFonts w:cs="Times New Roman"/>
          <w:b/>
          <w:bCs/>
          <w:color w:val="000000" w:themeColor="text1"/>
          <w:sz w:val="24"/>
          <w:szCs w:val="24"/>
        </w:rPr>
        <w:t>Keywords:</w:t>
      </w:r>
      <w:r w:rsidRPr="005835F7">
        <w:rPr>
          <w:rFonts w:cs="Times New Roman"/>
          <w:color w:val="000000" w:themeColor="text1"/>
          <w:sz w:val="24"/>
          <w:szCs w:val="24"/>
        </w:rPr>
        <w:t xml:space="preserve"> offshore platforms; recorded incident of non-compliance; temporal modelling; cross-modal learning; rare-event prediction; inspection prioritization; development study</w:t>
      </w:r>
    </w:p>
    <w:p w14:paraId="7CF36F8B" w14:textId="77777777" w:rsidR="00B71BC0" w:rsidRPr="005835F7" w:rsidRDefault="00B71BC0" w:rsidP="006E6660">
      <w:pPr>
        <w:pStyle w:val="Heading1"/>
        <w:tabs>
          <w:tab w:val="left" w:pos="1630"/>
        </w:tabs>
        <w:spacing w:line="276" w:lineRule="auto"/>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1. Introduction</w:t>
      </w:r>
    </w:p>
    <w:p w14:paraId="220B1305" w14:textId="77777777" w:rsidR="00BB210B" w:rsidRPr="005835F7" w:rsidRDefault="00BB210B"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In the oil and gas industry, there are many technical, safety, environmental, and operational standards that must be applied to manage the risks associated with such complicated infrastructure. It is quite difficult to utilize the traditional method of supervision by means of periodic inspection and static checklist due to the heterogeneous standards and huge data involved in the operations. Liu et al. [1] suggested an LLM-assessment framework including semantic indicator extraction, integration weighting, and cloud-model assessment for international pipeline standards. Hui et al. [2] also revealed how the knowledge graph built from over 3,000 pipeline standards could enhance the semantic organization and intelligent retrieval of technical standards. However, both of the research works are about standard creation and knowledge retrieval but not the compliance of the facilities.</w:t>
      </w:r>
    </w:p>
    <w:p w14:paraId="1DE57378" w14:textId="77777777" w:rsidR="00BB210B" w:rsidRPr="005835F7" w:rsidRDefault="00BB210B"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A further critical aspect of standardization evaluation that is essential to its effectiveness involves reliable data and sound performance measures. Xia et al. [3] proposed multidimensional control rules for the evaluation of normative compliance, integrity, consistency, accuracy, and timeliness of oil-and-gas surface engineering data using a combination of Analytic Hierarchy Process and entropy weighting. Khordoustan et al. [4] proposed fuzzy Analytic Network Process with machine learning feature importance for the evaluation of contractors’ health, safety, environment, and quality performance. The two studies highlight the utility of heterogeneous evidence in enabling systematic supervision. In this specific context of public BSEE, however, a review of relevant literature does not provide us with a comparable study using platform-year data to jointly model temporally ordered production exposure, operator inspection activity, accidents, platform attributes, and next-year INCs. This is a specific limitation of data and task; it does not suggest that there are no oil-and-gas industry studies combining heterogeneous data sources.</w:t>
      </w:r>
    </w:p>
    <w:p w14:paraId="068B9578" w14:textId="77777777" w:rsidR="00B71BC0" w:rsidRPr="005835F7" w:rsidRDefault="00BB210B"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highlight w:val="yellow"/>
        </w:rPr>
        <w:t xml:space="preserve">Risk-based asset integrity management offers an effective basis for the current study. According to Wahono et al. [5], integrity evaluation is shifting from its qualitative and deterministic form towards a dynamic and probabilistic form through machine learning techniques. A specific unresolved question is </w:t>
      </w:r>
      <w:r w:rsidRPr="005835F7">
        <w:rPr>
          <w:rFonts w:cs="Times New Roman"/>
          <w:color w:val="000000" w:themeColor="text1"/>
          <w:sz w:val="24"/>
          <w:szCs w:val="24"/>
          <w:highlight w:val="yellow"/>
        </w:rPr>
        <w:lastRenderedPageBreak/>
        <w:t>how publicly available administrative platform histories behave as retrospectively assembled indicators of subsequent recorded INC outcomes; this paper does not claim that prior studies uniformly omitted longitudinal or heterogeneous data. Therefore, the current study examines TECR-Net as a framework for retrospective risk ranking before subsequent recorded INCs. The focus of the study will be on identifying the temporal and contextual relationships in the administrative records. The study is not geared towards discovering latent violation, establishing causality, or substituting regulatory decision-making.</w:t>
      </w:r>
    </w:p>
    <w:p w14:paraId="33F1CC06" w14:textId="77777777" w:rsidR="004774F1" w:rsidRPr="005835F7" w:rsidRDefault="00000000">
      <w:pPr>
        <w:pStyle w:val="Heading2"/>
        <w:rPr>
          <w:rFonts w:ascii="Times New Roman" w:hAnsi="Times New Roman" w:cs="Times New Roman"/>
          <w:color w:val="000000" w:themeColor="text1"/>
          <w:sz w:val="24"/>
          <w:szCs w:val="24"/>
        </w:rPr>
      </w:pPr>
      <w:r w:rsidRPr="005835F7">
        <w:rPr>
          <w:rFonts w:ascii="Times New Roman" w:hAnsi="Times New Roman" w:cs="Times New Roman"/>
          <w:color w:val="000000" w:themeColor="text1"/>
          <w:sz w:val="24"/>
          <w:szCs w:val="24"/>
          <w:highlight w:val="yellow"/>
        </w:rPr>
        <w:t>1.1 Aim</w:t>
      </w:r>
    </w:p>
    <w:p w14:paraId="2E56814A" w14:textId="77777777" w:rsidR="009A4EB4" w:rsidRDefault="009A4EB4">
      <w:pPr>
        <w:pStyle w:val="Heading2"/>
        <w:rPr>
          <w:rFonts w:ascii="Times New Roman" w:eastAsia="Times New Roman" w:hAnsi="Times New Roman" w:cs="Times New Roman"/>
          <w:b w:val="0"/>
          <w:bCs w:val="0"/>
          <w:color w:val="000000" w:themeColor="text1"/>
          <w:sz w:val="24"/>
          <w:szCs w:val="24"/>
        </w:rPr>
      </w:pPr>
      <w:r w:rsidRPr="009A4EB4">
        <w:rPr>
          <w:rFonts w:ascii="Times New Roman" w:eastAsia="Times New Roman" w:hAnsi="Times New Roman" w:cs="Times New Roman"/>
          <w:b w:val="0"/>
          <w:bCs w:val="0"/>
          <w:color w:val="000000" w:themeColor="text1"/>
          <w:sz w:val="24"/>
          <w:szCs w:val="24"/>
        </w:rPr>
        <w:t>The goal of this study is to design and critique a temporally structured research framework where the BSEE INC results recorded in calendar year t+1 are ranked in order using data obtained administratively related to platform years t−2, t−1, and t. In the absence of data on publication date and effective dates for each specific attribute, this is a study in retrospective association and ranking and not one that demonstrates forecasting.</w:t>
      </w:r>
    </w:p>
    <w:p w14:paraId="79E1DEE8" w14:textId="6E0AC5E3" w:rsidR="004774F1" w:rsidRPr="005835F7" w:rsidRDefault="00000000">
      <w:pPr>
        <w:pStyle w:val="Heading2"/>
        <w:rPr>
          <w:rFonts w:ascii="Times New Roman" w:hAnsi="Times New Roman" w:cs="Times New Roman"/>
          <w:color w:val="000000" w:themeColor="text1"/>
          <w:sz w:val="24"/>
          <w:szCs w:val="24"/>
        </w:rPr>
      </w:pPr>
      <w:r w:rsidRPr="005835F7">
        <w:rPr>
          <w:rFonts w:ascii="Times New Roman" w:hAnsi="Times New Roman" w:cs="Times New Roman"/>
          <w:color w:val="000000" w:themeColor="text1"/>
          <w:sz w:val="24"/>
          <w:szCs w:val="24"/>
          <w:highlight w:val="yellow"/>
        </w:rPr>
        <w:t>1.2 Objectives</w:t>
      </w:r>
    </w:p>
    <w:p w14:paraId="112B88D8" w14:textId="77AF263D" w:rsidR="005835F7" w:rsidRDefault="005835F7" w:rsidP="005835F7">
      <w:pPr>
        <w:pStyle w:val="Heading2"/>
        <w:numPr>
          <w:ilvl w:val="0"/>
          <w:numId w:val="11"/>
        </w:numPr>
        <w:rPr>
          <w:rFonts w:ascii="Times New Roman" w:eastAsia="Times New Roman" w:hAnsi="Times New Roman" w:cs="Times New Roman"/>
          <w:b w:val="0"/>
          <w:bCs w:val="0"/>
          <w:color w:val="000000" w:themeColor="text1"/>
          <w:sz w:val="24"/>
          <w:szCs w:val="24"/>
          <w:highlight w:val="yellow"/>
        </w:rPr>
      </w:pPr>
      <w:r>
        <w:rPr>
          <w:rFonts w:ascii="Times New Roman" w:eastAsia="Times New Roman" w:hAnsi="Times New Roman" w:cs="Times New Roman"/>
          <w:b w:val="0"/>
          <w:bCs w:val="0"/>
          <w:color w:val="000000" w:themeColor="text1"/>
          <w:sz w:val="24"/>
          <w:szCs w:val="24"/>
          <w:highlight w:val="yellow"/>
        </w:rPr>
        <w:t>I</w:t>
      </w:r>
      <w:r w:rsidRPr="005835F7">
        <w:rPr>
          <w:rFonts w:ascii="Times New Roman" w:eastAsia="Times New Roman" w:hAnsi="Times New Roman" w:cs="Times New Roman"/>
          <w:b w:val="0"/>
          <w:bCs w:val="0"/>
          <w:color w:val="000000" w:themeColor="text1"/>
          <w:sz w:val="24"/>
          <w:szCs w:val="24"/>
          <w:highlight w:val="yellow"/>
        </w:rPr>
        <w:t>ntegrate public BSEE production, structure, inspection, enforcement and accident records into auditable platform-year histories</w:t>
      </w:r>
    </w:p>
    <w:p w14:paraId="16451B5C" w14:textId="5C80F1FF" w:rsidR="005835F7" w:rsidRDefault="005835F7" w:rsidP="005835F7">
      <w:pPr>
        <w:pStyle w:val="Heading2"/>
        <w:numPr>
          <w:ilvl w:val="0"/>
          <w:numId w:val="11"/>
        </w:numPr>
        <w:rPr>
          <w:rFonts w:ascii="Times New Roman" w:eastAsia="Times New Roman" w:hAnsi="Times New Roman" w:cs="Times New Roman"/>
          <w:b w:val="0"/>
          <w:bCs w:val="0"/>
          <w:color w:val="000000" w:themeColor="text1"/>
          <w:sz w:val="24"/>
          <w:szCs w:val="24"/>
          <w:highlight w:val="yellow"/>
        </w:rPr>
      </w:pPr>
      <w:r>
        <w:rPr>
          <w:rFonts w:ascii="Times New Roman" w:eastAsia="Times New Roman" w:hAnsi="Times New Roman" w:cs="Times New Roman"/>
          <w:b w:val="0"/>
          <w:bCs w:val="0"/>
          <w:color w:val="000000" w:themeColor="text1"/>
          <w:sz w:val="24"/>
          <w:szCs w:val="24"/>
          <w:highlight w:val="yellow"/>
        </w:rPr>
        <w:t>D</w:t>
      </w:r>
      <w:r w:rsidRPr="005835F7">
        <w:rPr>
          <w:rFonts w:ascii="Times New Roman" w:eastAsia="Times New Roman" w:hAnsi="Times New Roman" w:cs="Times New Roman"/>
          <w:b w:val="0"/>
          <w:bCs w:val="0"/>
          <w:color w:val="000000" w:themeColor="text1"/>
          <w:sz w:val="24"/>
          <w:szCs w:val="24"/>
          <w:highlight w:val="yellow"/>
        </w:rPr>
        <w:t xml:space="preserve">evelop TECR-Net using temporal, static-numerical and categorical features to </w:t>
      </w:r>
      <w:proofErr w:type="spellStart"/>
      <w:r w:rsidRPr="005835F7">
        <w:rPr>
          <w:rFonts w:ascii="Times New Roman" w:eastAsia="Times New Roman" w:hAnsi="Times New Roman" w:cs="Times New Roman"/>
          <w:b w:val="0"/>
          <w:bCs w:val="0"/>
          <w:color w:val="000000" w:themeColor="text1"/>
          <w:sz w:val="24"/>
          <w:szCs w:val="24"/>
          <w:highlight w:val="yellow"/>
        </w:rPr>
        <w:t>analyse</w:t>
      </w:r>
      <w:proofErr w:type="spellEnd"/>
      <w:r w:rsidRPr="005835F7">
        <w:rPr>
          <w:rFonts w:ascii="Times New Roman" w:eastAsia="Times New Roman" w:hAnsi="Times New Roman" w:cs="Times New Roman"/>
          <w:b w:val="0"/>
          <w:bCs w:val="0"/>
          <w:color w:val="000000" w:themeColor="text1"/>
          <w:sz w:val="24"/>
          <w:szCs w:val="24"/>
          <w:highlight w:val="yellow"/>
        </w:rPr>
        <w:t xml:space="preserve"> subsequent recorded INC outcomes</w:t>
      </w:r>
    </w:p>
    <w:p w14:paraId="21D5F6C3" w14:textId="36525F2B" w:rsidR="005835F7" w:rsidRDefault="005835F7" w:rsidP="005835F7">
      <w:pPr>
        <w:pStyle w:val="Heading2"/>
        <w:numPr>
          <w:ilvl w:val="0"/>
          <w:numId w:val="11"/>
        </w:numPr>
        <w:rPr>
          <w:rFonts w:ascii="Times New Roman" w:eastAsia="Times New Roman" w:hAnsi="Times New Roman" w:cs="Times New Roman"/>
          <w:b w:val="0"/>
          <w:bCs w:val="0"/>
          <w:color w:val="000000" w:themeColor="text1"/>
          <w:sz w:val="24"/>
          <w:szCs w:val="24"/>
          <w:highlight w:val="yellow"/>
        </w:rPr>
      </w:pPr>
      <w:r>
        <w:rPr>
          <w:rFonts w:ascii="Times New Roman" w:eastAsia="Times New Roman" w:hAnsi="Times New Roman" w:cs="Times New Roman"/>
          <w:b w:val="0"/>
          <w:bCs w:val="0"/>
          <w:color w:val="000000" w:themeColor="text1"/>
          <w:sz w:val="24"/>
          <w:szCs w:val="24"/>
          <w:highlight w:val="yellow"/>
        </w:rPr>
        <w:t>E</w:t>
      </w:r>
      <w:r w:rsidRPr="005835F7">
        <w:rPr>
          <w:rFonts w:ascii="Times New Roman" w:eastAsia="Times New Roman" w:hAnsi="Times New Roman" w:cs="Times New Roman"/>
          <w:b w:val="0"/>
          <w:bCs w:val="0"/>
          <w:color w:val="000000" w:themeColor="text1"/>
          <w:sz w:val="24"/>
          <w:szCs w:val="24"/>
          <w:highlight w:val="yellow"/>
        </w:rPr>
        <w:t>valuate model performance through discrimination, calibration, baseline comparisons and component-removal analyses</w:t>
      </w:r>
    </w:p>
    <w:p w14:paraId="47842E3B" w14:textId="27686727" w:rsidR="005835F7" w:rsidRDefault="005835F7" w:rsidP="005835F7">
      <w:pPr>
        <w:pStyle w:val="Heading2"/>
        <w:numPr>
          <w:ilvl w:val="0"/>
          <w:numId w:val="11"/>
        </w:numPr>
        <w:rPr>
          <w:rFonts w:ascii="Times New Roman" w:eastAsia="Times New Roman" w:hAnsi="Times New Roman" w:cs="Times New Roman"/>
          <w:b w:val="0"/>
          <w:bCs w:val="0"/>
          <w:color w:val="000000" w:themeColor="text1"/>
          <w:sz w:val="24"/>
          <w:szCs w:val="24"/>
          <w:highlight w:val="yellow"/>
        </w:rPr>
      </w:pPr>
      <w:r>
        <w:rPr>
          <w:rFonts w:ascii="Times New Roman" w:eastAsia="Times New Roman" w:hAnsi="Times New Roman" w:cs="Times New Roman"/>
          <w:b w:val="0"/>
          <w:bCs w:val="0"/>
          <w:color w:val="000000" w:themeColor="text1"/>
          <w:sz w:val="24"/>
          <w:szCs w:val="24"/>
          <w:highlight w:val="yellow"/>
        </w:rPr>
        <w:t>A</w:t>
      </w:r>
      <w:r w:rsidRPr="005835F7">
        <w:rPr>
          <w:rFonts w:ascii="Times New Roman" w:eastAsia="Times New Roman" w:hAnsi="Times New Roman" w:cs="Times New Roman"/>
          <w:b w:val="0"/>
          <w:bCs w:val="0"/>
          <w:color w:val="000000" w:themeColor="text1"/>
          <w:sz w:val="24"/>
          <w:szCs w:val="24"/>
          <w:highlight w:val="yellow"/>
        </w:rPr>
        <w:t>ssess data provenance, temporal consistency and methodological limitations to establish a transparent and reproducible retrospective evaluation framework.</w:t>
      </w:r>
    </w:p>
    <w:p w14:paraId="28C8FD9E" w14:textId="286861FF" w:rsidR="004774F1" w:rsidRPr="005835F7" w:rsidRDefault="00000000">
      <w:pPr>
        <w:pStyle w:val="Heading2"/>
        <w:rPr>
          <w:rFonts w:ascii="Times New Roman" w:hAnsi="Times New Roman" w:cs="Times New Roman"/>
          <w:color w:val="000000" w:themeColor="text1"/>
          <w:sz w:val="24"/>
          <w:szCs w:val="24"/>
        </w:rPr>
      </w:pPr>
      <w:r w:rsidRPr="005835F7">
        <w:rPr>
          <w:rFonts w:ascii="Times New Roman" w:hAnsi="Times New Roman" w:cs="Times New Roman"/>
          <w:color w:val="000000" w:themeColor="text1"/>
          <w:sz w:val="24"/>
          <w:szCs w:val="24"/>
          <w:highlight w:val="yellow"/>
        </w:rPr>
        <w:t>1.3 Novelty</w:t>
      </w:r>
    </w:p>
    <w:p w14:paraId="3B556A12" w14:textId="67808B53" w:rsidR="005835F7" w:rsidRDefault="009A4EB4" w:rsidP="005835F7">
      <w:pPr>
        <w:spacing w:after="100"/>
        <w:rPr>
          <w:rFonts w:cs="Times New Roman"/>
          <w:color w:val="000000" w:themeColor="text1"/>
          <w:sz w:val="24"/>
          <w:szCs w:val="24"/>
          <w:highlight w:val="yellow"/>
        </w:rPr>
      </w:pPr>
      <w:r w:rsidRPr="009A4EB4">
        <w:rPr>
          <w:rFonts w:cs="Times New Roman"/>
          <w:color w:val="000000" w:themeColor="text1"/>
          <w:sz w:val="24"/>
          <w:szCs w:val="24"/>
        </w:rPr>
        <w:t>The methodology novelty comes from the definition of a BSEE platform-year administrative outcome task as precisely ordered calendar history with a provenance-limited archive of dynamically structured, static numerical, and categorical branches, followed by attention-based pooling and residual fusion of learned queries. This novelty is task and implementation specific and does not claim the novelty of temporal networks, attention mechanisms, heterogeneous tabular branches, or multimodal learning within the oil and gas industry.</w:t>
      </w:r>
    </w:p>
    <w:p w14:paraId="0601E469" w14:textId="6B63BF8E" w:rsidR="005835F7" w:rsidRPr="005835F7" w:rsidRDefault="00000000" w:rsidP="005835F7">
      <w:pPr>
        <w:pStyle w:val="ListParagraph"/>
        <w:numPr>
          <w:ilvl w:val="1"/>
          <w:numId w:val="15"/>
        </w:numPr>
        <w:spacing w:after="100"/>
        <w:rPr>
          <w:rFonts w:cs="Times New Roman"/>
          <w:b/>
          <w:bCs/>
          <w:color w:val="000000" w:themeColor="text1"/>
          <w:sz w:val="24"/>
          <w:szCs w:val="24"/>
        </w:rPr>
      </w:pPr>
      <w:r w:rsidRPr="005835F7">
        <w:rPr>
          <w:rFonts w:cs="Times New Roman"/>
          <w:b/>
          <w:bCs/>
          <w:color w:val="000000" w:themeColor="text1"/>
          <w:sz w:val="24"/>
          <w:szCs w:val="24"/>
          <w:highlight w:val="yellow"/>
        </w:rPr>
        <w:t>Contributions</w:t>
      </w:r>
    </w:p>
    <w:p w14:paraId="3862B997" w14:textId="0763327B" w:rsidR="005835F7" w:rsidRPr="005D4D06" w:rsidRDefault="005835F7" w:rsidP="005835F7">
      <w:pPr>
        <w:pStyle w:val="ListParagraph"/>
        <w:numPr>
          <w:ilvl w:val="0"/>
          <w:numId w:val="16"/>
        </w:numPr>
        <w:spacing w:after="100"/>
        <w:rPr>
          <w:rFonts w:cs="Times New Roman"/>
          <w:color w:val="000000" w:themeColor="text1"/>
          <w:sz w:val="24"/>
          <w:szCs w:val="24"/>
          <w:highlight w:val="yellow"/>
        </w:rPr>
      </w:pPr>
      <w:r w:rsidRPr="005D4D06">
        <w:rPr>
          <w:rFonts w:cs="Times New Roman"/>
          <w:color w:val="000000" w:themeColor="text1"/>
          <w:sz w:val="24"/>
          <w:szCs w:val="24"/>
          <w:highlight w:val="yellow"/>
          <w:lang w:val="en-IN"/>
        </w:rPr>
        <w:t>A</w:t>
      </w:r>
      <w:r w:rsidRPr="005D4D06">
        <w:rPr>
          <w:rFonts w:cs="Times New Roman"/>
          <w:color w:val="000000" w:themeColor="text1"/>
          <w:sz w:val="24"/>
          <w:szCs w:val="24"/>
          <w:highlight w:val="yellow"/>
          <w:lang w:val="en-IN"/>
        </w:rPr>
        <w:t xml:space="preserve"> temporally structured framework for integrating BSEE production, inspection, enforcement and accident records to analyse subsequent recorded non-compliance outcomes</w:t>
      </w:r>
    </w:p>
    <w:p w14:paraId="2C28EB26" w14:textId="12C094CF" w:rsidR="005835F7" w:rsidRPr="005D4D06" w:rsidRDefault="005835F7" w:rsidP="005835F7">
      <w:pPr>
        <w:pStyle w:val="ListParagraph"/>
        <w:numPr>
          <w:ilvl w:val="0"/>
          <w:numId w:val="16"/>
        </w:numPr>
        <w:spacing w:after="100"/>
        <w:rPr>
          <w:rFonts w:cs="Times New Roman"/>
          <w:color w:val="000000" w:themeColor="text1"/>
          <w:sz w:val="24"/>
          <w:szCs w:val="24"/>
          <w:highlight w:val="yellow"/>
        </w:rPr>
      </w:pPr>
      <w:r w:rsidRPr="005D4D06">
        <w:rPr>
          <w:rFonts w:cs="Times New Roman"/>
          <w:color w:val="000000" w:themeColor="text1"/>
          <w:sz w:val="24"/>
          <w:szCs w:val="24"/>
          <w:highlight w:val="yellow"/>
          <w:lang w:val="en-IN"/>
        </w:rPr>
        <w:t>T</w:t>
      </w:r>
      <w:r w:rsidRPr="005D4D06">
        <w:rPr>
          <w:rFonts w:cs="Times New Roman"/>
          <w:color w:val="000000" w:themeColor="text1"/>
          <w:sz w:val="24"/>
          <w:szCs w:val="24"/>
          <w:highlight w:val="yellow"/>
          <w:lang w:val="en-IN"/>
        </w:rPr>
        <w:t>he development and evaluation of TECR-Net using exact three-year platform histories, seven-seed training and comparative baseline analyses</w:t>
      </w:r>
    </w:p>
    <w:p w14:paraId="383BDDD9" w14:textId="4CA24A0F" w:rsidR="005835F7" w:rsidRPr="005D4D06" w:rsidRDefault="005835F7" w:rsidP="005835F7">
      <w:pPr>
        <w:pStyle w:val="ListParagraph"/>
        <w:numPr>
          <w:ilvl w:val="0"/>
          <w:numId w:val="16"/>
        </w:numPr>
        <w:spacing w:after="100"/>
        <w:rPr>
          <w:rFonts w:cs="Times New Roman"/>
          <w:color w:val="000000" w:themeColor="text1"/>
          <w:sz w:val="24"/>
          <w:szCs w:val="24"/>
          <w:highlight w:val="yellow"/>
        </w:rPr>
      </w:pPr>
      <w:r w:rsidRPr="005D4D06">
        <w:rPr>
          <w:rFonts w:cs="Times New Roman"/>
          <w:color w:val="000000" w:themeColor="text1"/>
          <w:sz w:val="24"/>
          <w:szCs w:val="24"/>
          <w:highlight w:val="yellow"/>
          <w:lang w:val="en-IN"/>
        </w:rPr>
        <w:t>A</w:t>
      </w:r>
      <w:r w:rsidRPr="005D4D06">
        <w:rPr>
          <w:rFonts w:cs="Times New Roman"/>
          <w:color w:val="000000" w:themeColor="text1"/>
          <w:sz w:val="24"/>
          <w:szCs w:val="24"/>
          <w:highlight w:val="yellow"/>
          <w:lang w:val="en-IN"/>
        </w:rPr>
        <w:t>n improved cohort reconstruction that addresses future-production selection bias, corrects INC date-parsing inconsistencies and strengthens data provenance assessment</w:t>
      </w:r>
    </w:p>
    <w:p w14:paraId="0141EA02" w14:textId="77777777" w:rsidR="005835F7" w:rsidRPr="005D4D06" w:rsidRDefault="005835F7" w:rsidP="005835F7">
      <w:pPr>
        <w:pStyle w:val="ListParagraph"/>
        <w:numPr>
          <w:ilvl w:val="0"/>
          <w:numId w:val="16"/>
        </w:numPr>
        <w:spacing w:after="100"/>
        <w:rPr>
          <w:rFonts w:cs="Times New Roman"/>
          <w:color w:val="000000" w:themeColor="text1"/>
          <w:sz w:val="24"/>
          <w:szCs w:val="24"/>
          <w:highlight w:val="yellow"/>
        </w:rPr>
      </w:pPr>
      <w:r w:rsidRPr="005D4D06">
        <w:rPr>
          <w:rFonts w:cs="Times New Roman"/>
          <w:color w:val="000000" w:themeColor="text1"/>
          <w:sz w:val="24"/>
          <w:szCs w:val="24"/>
          <w:highlight w:val="yellow"/>
          <w:lang w:val="en-IN"/>
        </w:rPr>
        <w:t>A</w:t>
      </w:r>
      <w:r w:rsidRPr="005D4D06">
        <w:rPr>
          <w:rFonts w:cs="Times New Roman"/>
          <w:color w:val="000000" w:themeColor="text1"/>
          <w:sz w:val="24"/>
          <w:szCs w:val="24"/>
          <w:highlight w:val="yellow"/>
          <w:lang w:val="en-IN"/>
        </w:rPr>
        <w:t xml:space="preserve"> reproducible retrospective evaluation framework incorporating model ablation, calibration analysis, temporal integrity checks and clearly documented limitations.</w:t>
      </w:r>
    </w:p>
    <w:p w14:paraId="17378461" w14:textId="77777777" w:rsidR="005835F7" w:rsidRDefault="005835F7" w:rsidP="005835F7">
      <w:pPr>
        <w:spacing w:after="100"/>
        <w:rPr>
          <w:rFonts w:cs="Times New Roman"/>
          <w:color w:val="000000" w:themeColor="text1"/>
          <w:sz w:val="24"/>
          <w:szCs w:val="24"/>
        </w:rPr>
      </w:pPr>
    </w:p>
    <w:p w14:paraId="354148A6" w14:textId="77777777" w:rsidR="005835F7" w:rsidRDefault="005835F7" w:rsidP="005835F7">
      <w:pPr>
        <w:spacing w:after="100"/>
        <w:rPr>
          <w:rFonts w:cs="Times New Roman"/>
          <w:color w:val="000000" w:themeColor="text1"/>
          <w:sz w:val="24"/>
          <w:szCs w:val="24"/>
        </w:rPr>
      </w:pPr>
    </w:p>
    <w:p w14:paraId="4ADB01FA" w14:textId="77777777" w:rsidR="005835F7" w:rsidRDefault="005835F7" w:rsidP="005835F7">
      <w:pPr>
        <w:spacing w:after="100"/>
        <w:rPr>
          <w:rFonts w:cs="Times New Roman"/>
          <w:color w:val="000000" w:themeColor="text1"/>
          <w:sz w:val="24"/>
          <w:szCs w:val="24"/>
        </w:rPr>
      </w:pPr>
    </w:p>
    <w:p w14:paraId="290F3D4B" w14:textId="77777777" w:rsidR="005835F7" w:rsidRDefault="005835F7" w:rsidP="005835F7">
      <w:pPr>
        <w:spacing w:after="100"/>
        <w:rPr>
          <w:rFonts w:cs="Times New Roman"/>
          <w:color w:val="000000" w:themeColor="text1"/>
          <w:sz w:val="24"/>
          <w:szCs w:val="24"/>
        </w:rPr>
      </w:pPr>
    </w:p>
    <w:p w14:paraId="0274891F" w14:textId="77777777" w:rsidR="005835F7" w:rsidRDefault="005835F7" w:rsidP="009A4EB4">
      <w:pPr>
        <w:spacing w:after="100"/>
        <w:ind w:firstLine="720"/>
        <w:rPr>
          <w:rFonts w:cs="Times New Roman"/>
          <w:color w:val="000000" w:themeColor="text1"/>
          <w:sz w:val="24"/>
          <w:szCs w:val="24"/>
        </w:rPr>
      </w:pPr>
    </w:p>
    <w:p w14:paraId="1556F7D8" w14:textId="77777777" w:rsidR="009A4EB4" w:rsidRDefault="009A4EB4" w:rsidP="009A4EB4">
      <w:pPr>
        <w:spacing w:after="100"/>
        <w:ind w:firstLine="720"/>
        <w:rPr>
          <w:rFonts w:cs="Times New Roman"/>
          <w:color w:val="000000" w:themeColor="text1"/>
          <w:sz w:val="24"/>
          <w:szCs w:val="24"/>
        </w:rPr>
      </w:pPr>
    </w:p>
    <w:p w14:paraId="696E74F2" w14:textId="77777777" w:rsidR="009A4EB4" w:rsidRDefault="009A4EB4" w:rsidP="009A4EB4">
      <w:pPr>
        <w:spacing w:after="100"/>
        <w:ind w:firstLine="720"/>
        <w:rPr>
          <w:rFonts w:cs="Times New Roman"/>
          <w:color w:val="000000" w:themeColor="text1"/>
          <w:sz w:val="24"/>
          <w:szCs w:val="24"/>
        </w:rPr>
      </w:pPr>
    </w:p>
    <w:p w14:paraId="0E990567" w14:textId="48AF26E9" w:rsidR="00B71BC0" w:rsidRPr="005835F7" w:rsidRDefault="00B71BC0" w:rsidP="005835F7">
      <w:pPr>
        <w:spacing w:after="100"/>
        <w:rPr>
          <w:rFonts w:cs="Times New Roman"/>
          <w:b/>
          <w:bCs/>
          <w:color w:val="000000" w:themeColor="text1"/>
          <w:sz w:val="24"/>
          <w:szCs w:val="24"/>
        </w:rPr>
      </w:pPr>
      <w:r w:rsidRPr="005835F7">
        <w:rPr>
          <w:rFonts w:cs="Times New Roman"/>
          <w:b/>
          <w:bCs/>
          <w:color w:val="000000" w:themeColor="text1"/>
          <w:sz w:val="24"/>
          <w:szCs w:val="24"/>
        </w:rPr>
        <w:lastRenderedPageBreak/>
        <w:t>2. Literature Survey</w:t>
      </w:r>
    </w:p>
    <w:p w14:paraId="1F71019C" w14:textId="77777777" w:rsidR="009C6E2A" w:rsidRPr="005835F7" w:rsidRDefault="009C6E2A"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Zhang et al. [6] presents an overview of risk assessment methods for oil and gas operations, which includes conventional qualitative, quantitative, probabilistic, and intelligent methods. The authors pay special attention to the high dependence of conventional techniques on experts' opinions, as well as the inability of traditional techniques to consider dynamic interaction between risks associated with operation, environment, and equipment. Wahono et al. [7] attempted to overcome this problem by developing intuitionistic fuzzy deep neural network for the purpose of risk assessment in pipelines. It utilizes the fuzzy technique to handle uncertainty and the nonlinear learning capabilities of deep neural networks. Thus, it is evident that the researches show the movement from the traditional risk estimation method to intelligent ones capable of dealing with uncertainty.</w:t>
      </w:r>
    </w:p>
    <w:p w14:paraId="4D577232" w14:textId="77777777" w:rsidR="009C6E2A" w:rsidRPr="005835F7" w:rsidRDefault="009C6E2A"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Zhou et al. [8] introduced a data-driven approach based on PCA (Principal Component Analysis) and hierarchical clustering to perform an adaptive assessment of gas pipeline networks. PCA decreased the redundancy of indicators, whereas hierarchical clustering allowed grouping of pipelines at risk through the absence of full reliance on pre-set classification. Ye et al. [9] used text mining and Apriori algorithm to classify risks of oil and natural gas pipeline through analysis of historic risk records. Their approach helped reveal common patterns between risk factors and establish a data-driven structure of risk classification. Both examples clearly show benefits of revealing patterns of risks using heterogeneous data. However, clustering and association rule approaches mostly describe existing structures and relations.</w:t>
      </w:r>
    </w:p>
    <w:p w14:paraId="2EC4CEAB" w14:textId="77777777" w:rsidR="009C6E2A" w:rsidRPr="005835F7" w:rsidRDefault="009C6E2A"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 xml:space="preserve">AlAbdouli and Al-Shihabi [10] investigated the effects, issues, and evaluation techniques related to the use of AI on the performance in the oil and gas sector. The authors noted the opportunities provided by AI for enhancing predictions, operations, maintenance, and decision making while outlining the issues related to data quality, integration, explainability, and organization readiness. Savari et al. [11] conducted a systematic review of the </w:t>
      </w:r>
      <w:proofErr w:type="gramStart"/>
      <w:r w:rsidRPr="005835F7">
        <w:rPr>
          <w:rFonts w:cs="Times New Roman"/>
          <w:color w:val="000000" w:themeColor="text1"/>
          <w:sz w:val="24"/>
          <w:szCs w:val="24"/>
        </w:rPr>
        <w:t>state of the art</w:t>
      </w:r>
      <w:proofErr w:type="gramEnd"/>
      <w:r w:rsidRPr="005835F7">
        <w:rPr>
          <w:rFonts w:cs="Times New Roman"/>
          <w:color w:val="000000" w:themeColor="text1"/>
          <w:sz w:val="24"/>
          <w:szCs w:val="24"/>
        </w:rPr>
        <w:t xml:space="preserve"> machine learning developments in the areas of pipeline reliability-based design, integrity assessment, inspection, and maintenance. According to the authors’ findings, machine learning became an increasingly important tool in assessing condition, predicting failures, planning inspections and optimizing maintenance activities. These papers demonstrate the broader scope of application of AI for industrial performance and pipeline integrity.</w:t>
      </w:r>
    </w:p>
    <w:p w14:paraId="4F393C2E" w14:textId="77777777" w:rsidR="00B71BC0" w:rsidRPr="005835F7" w:rsidRDefault="00B71BC0"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Bastek et al. [12] reviewed future directions for data-driven pipeline integrity management, with particular attention to risk assessment, in-line inspection, and machine-learning applications. They emphasized the need to integrate inspection information, physical degradation indicators, and operational data to support proactive integrity decisions. Jones et al. [13] examined artificial-intelligence applications for offshore oil and gas pipeline asset integrity management. Their study discussed how intelligent methods can enhance corrosion monitoring, defect assessment, predictive maintenance, and failure prevention throughout the asset lifecycle. Collectively, these studies support the transition from reactive maintenance toward predictive and risk-based integrity management. Nevertheless, existing research generally prioritizes physical asset condition and failure probability, while regulatory compliance, inspection history, and multidimensional standardization performance remain comparatively underexplored.</w:t>
      </w:r>
    </w:p>
    <w:p w14:paraId="61C6842E" w14:textId="77777777" w:rsidR="00B71BC0" w:rsidRPr="005835F7" w:rsidRDefault="00B71BC0"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Al-Ammari et al. [14] reviewed and demonstrated digital-twin applications for gas-pipeline leak detection and fault diagnosis. Their work showed how virtual representations, sensor information, and analytical models can support continuous monitoring and timely identification of abnormal pipeline conditions. Cai and Wang [15] subsequently proposed a digital-twin-driven leakage-detection method for natural gas pipelines, further illustrating the potential of synchronized physical and virtual systems for real-time supervision. Both studies advance dynamic pipeline monitoring by linking operational data with intelligent diagnostic models. However, digital-twin systems often require dense sensor networks, detailed physical models, and continuous data streams. Such requirements limit their direct applicability to regulatory datasets, where observations are commonly periodic, heterogeneous, and recorded at facility or operator level rather than as continuous sensor measurements.</w:t>
      </w:r>
    </w:p>
    <w:p w14:paraId="17C9BFE4" w14:textId="77777777" w:rsidR="00B71BC0" w:rsidRPr="005835F7" w:rsidRDefault="00B71BC0"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Ali et al. [16] reviewed artificial-intelligence and machine-learning methods for predicting and optimizing production in oil and gas surface networks. Their study demonstrated the ability of data-</w:t>
      </w:r>
      <w:r w:rsidRPr="005835F7">
        <w:rPr>
          <w:rFonts w:cs="Times New Roman"/>
          <w:color w:val="000000" w:themeColor="text1"/>
          <w:sz w:val="24"/>
          <w:szCs w:val="24"/>
        </w:rPr>
        <w:lastRenderedPageBreak/>
        <w:t>driven models to capture nonlinear relationships among operational variables and support production planning and network optimization. Chen et al. [17] extended production monitoring through a progression from clustering to federated learning for unconventional natural gas wells. Their collaborative approach enables multiple data sources or operational units to contribute to model development while reducing centralized data-sharing requirements. These studies demonstrate the importance of scalable learning from distributed and heterogeneous industrial data. However, production optimization alone does not represent standardization performance. A comprehensive supervision framework must connect operational behaviour with facility characteristics, inspection activities, incidents, and regulatory outcomes.</w:t>
      </w:r>
    </w:p>
    <w:p w14:paraId="31D345E0" w14:textId="77777777" w:rsidR="00B71BC0" w:rsidRPr="005835F7" w:rsidRDefault="00B71BC0"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Lopes et al. [18] developed an open-world learning approach for detecting and classifying anomalies in oil-well production. Unlike closed-set classifiers, open-world learning can identify observations that do not belong to previously known event classes, making it relevant for evolving industrial environments. Aranha et al. [19] applied a Transformer-based method to anomaly detection in intelligent well completions, using the architecture’s ability to learn complex temporal dependencies within multivariate operational sequences. Both studies demonstrate that advanced learning methods can identify abnormal behaviour that conventional fixed-class models may overlook. Nevertheless, operational anomalies do not automatically represent regulatory non-compliance or inadequate standardization. Their practical use in supervision therefore requires integration with inspection records, compliance histories, interpretable risk indicators, and decision rules that translate anomalies into actionable regulatory or managerial priorities.</w:t>
      </w:r>
    </w:p>
    <w:p w14:paraId="112C771F" w14:textId="77777777" w:rsidR="00B71BC0" w:rsidRPr="005835F7" w:rsidRDefault="00B71BC0"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Verma et al. [20] proposed DeepPipeNet for deep-learning-based anomaly detection in oil and gas pipeline monitoring, illustrating the growing role of specialized neural architectures in identifying complex pipeline abnormalities. Its emphasis on automated monitoring complements the open-world anomaly framework of Lopes et al. [18], which addresses previously unseen operational conditions. While DeepPipeNet strengthens pattern-recognition capability, both approaches remain centred on detecting abnormal physical behaviour rather than evaluating broader compliance performance. This distinction is important because standardization supervision must account for operational exposure, structural characteristics, inspection frequency, previous violations, enforcement actions, and safety incidents. Consequently, anomaly-detection outputs should be treated as one component of a larger explainable evaluation framework rather than as a complete measure of facility standardization or regulatory risk.</w:t>
      </w:r>
    </w:p>
    <w:p w14:paraId="3B0532BC" w14:textId="77777777" w:rsidR="009A4EB4" w:rsidRDefault="009A4EB4" w:rsidP="006E6660">
      <w:pPr>
        <w:keepNext/>
        <w:tabs>
          <w:tab w:val="left" w:pos="1630"/>
        </w:tabs>
        <w:spacing w:after="100"/>
        <w:rPr>
          <w:rFonts w:cs="Times New Roman"/>
          <w:color w:val="000000" w:themeColor="text1"/>
          <w:sz w:val="24"/>
          <w:szCs w:val="24"/>
        </w:rPr>
      </w:pPr>
      <w:r w:rsidRPr="009A4EB4">
        <w:rPr>
          <w:rFonts w:cs="Times New Roman"/>
          <w:color w:val="000000" w:themeColor="text1"/>
          <w:sz w:val="24"/>
          <w:szCs w:val="24"/>
        </w:rPr>
        <w:t>The endpoint is also a part of the administrative decision data and selectively labeled data literature. As BSEE defines the INC as an official enforcement notice that results from an inspector identifying a regulatory violation and running a risk-based inspection program using facility-specific INC, incident, and production data, the attention of the inspection is drawn based on this process. Thus, selective labeling of observations depends on the manner in which inspections are conducted. In general terms, selective observation of administrative decisions allows the prediction of the decision process and not the underlying state itself.</w:t>
      </w:r>
    </w:p>
    <w:p w14:paraId="022652F7" w14:textId="77777777" w:rsidR="00B71BC0" w:rsidRPr="005835F7" w:rsidRDefault="00B71BC0" w:rsidP="006E6660">
      <w:pPr>
        <w:pStyle w:val="Caption"/>
        <w:tabs>
          <w:tab w:val="left" w:pos="1630"/>
        </w:tabs>
        <w:spacing w:line="276" w:lineRule="auto"/>
        <w:rPr>
          <w:rFonts w:cs="Times New Roman"/>
          <w:color w:val="000000" w:themeColor="text1"/>
          <w:sz w:val="24"/>
          <w:szCs w:val="24"/>
        </w:rPr>
      </w:pPr>
      <w:r w:rsidRPr="005835F7">
        <w:rPr>
          <w:rFonts w:cs="Times New Roman"/>
          <w:color w:val="000000" w:themeColor="text1"/>
          <w:sz w:val="24"/>
          <w:szCs w:val="24"/>
        </w:rPr>
        <w:t>Table 1. Comparative summary of AI-based oil and gas monitoring, integrity, and risk-assessment studies</w:t>
      </w:r>
    </w:p>
    <w:tbl>
      <w:tblPr>
        <w:tblStyle w:val="TableGrid"/>
        <w:tblW w:w="0" w:type="auto"/>
        <w:tblLook w:val="04A0" w:firstRow="1" w:lastRow="0" w:firstColumn="1" w:lastColumn="0" w:noHBand="0" w:noVBand="1"/>
      </w:tblPr>
      <w:tblGrid>
        <w:gridCol w:w="636"/>
        <w:gridCol w:w="1428"/>
        <w:gridCol w:w="2442"/>
        <w:gridCol w:w="2660"/>
        <w:gridCol w:w="2690"/>
      </w:tblGrid>
      <w:tr w:rsidR="00B71BC0" w:rsidRPr="005835F7" w14:paraId="226B419C" w14:textId="77777777" w:rsidTr="005835F7">
        <w:tc>
          <w:tcPr>
            <w:tcW w:w="0" w:type="auto"/>
            <w:hideMark/>
          </w:tcPr>
          <w:p w14:paraId="13498362" w14:textId="77777777" w:rsidR="00B71BC0" w:rsidRPr="005835F7" w:rsidRDefault="00B71BC0" w:rsidP="006E6660">
            <w:pPr>
              <w:tabs>
                <w:tab w:val="left" w:pos="1630"/>
              </w:tabs>
              <w:spacing w:after="0"/>
              <w:rPr>
                <w:rFonts w:cs="Times New Roman"/>
                <w:b/>
                <w:bCs/>
                <w:color w:val="000000" w:themeColor="text1"/>
                <w:sz w:val="24"/>
                <w:szCs w:val="24"/>
              </w:rPr>
            </w:pPr>
            <w:r w:rsidRPr="005835F7">
              <w:rPr>
                <w:rFonts w:cs="Times New Roman"/>
                <w:b/>
                <w:bCs/>
                <w:color w:val="000000" w:themeColor="text1"/>
                <w:sz w:val="24"/>
                <w:szCs w:val="24"/>
              </w:rPr>
              <w:t>Ref.</w:t>
            </w:r>
          </w:p>
        </w:tc>
        <w:tc>
          <w:tcPr>
            <w:tcW w:w="0" w:type="auto"/>
            <w:hideMark/>
          </w:tcPr>
          <w:p w14:paraId="0641FC2E" w14:textId="77777777" w:rsidR="00B71BC0" w:rsidRPr="005835F7" w:rsidRDefault="00B71BC0" w:rsidP="006E6660">
            <w:pPr>
              <w:tabs>
                <w:tab w:val="left" w:pos="1630"/>
              </w:tabs>
              <w:spacing w:after="0"/>
              <w:rPr>
                <w:rFonts w:cs="Times New Roman"/>
                <w:b/>
                <w:bCs/>
                <w:color w:val="000000" w:themeColor="text1"/>
                <w:sz w:val="24"/>
                <w:szCs w:val="24"/>
              </w:rPr>
            </w:pPr>
            <w:r w:rsidRPr="005835F7">
              <w:rPr>
                <w:rFonts w:cs="Times New Roman"/>
                <w:b/>
                <w:bCs/>
                <w:color w:val="000000" w:themeColor="text1"/>
                <w:sz w:val="24"/>
                <w:szCs w:val="24"/>
              </w:rPr>
              <w:t>Author(s)</w:t>
            </w:r>
          </w:p>
        </w:tc>
        <w:tc>
          <w:tcPr>
            <w:tcW w:w="0" w:type="auto"/>
            <w:hideMark/>
          </w:tcPr>
          <w:p w14:paraId="2C743652" w14:textId="77777777" w:rsidR="00B71BC0" w:rsidRPr="005835F7" w:rsidRDefault="00B71BC0" w:rsidP="006E6660">
            <w:pPr>
              <w:tabs>
                <w:tab w:val="left" w:pos="1630"/>
              </w:tabs>
              <w:spacing w:after="0"/>
              <w:rPr>
                <w:rFonts w:cs="Times New Roman"/>
                <w:b/>
                <w:bCs/>
                <w:color w:val="000000" w:themeColor="text1"/>
                <w:sz w:val="24"/>
                <w:szCs w:val="24"/>
              </w:rPr>
            </w:pPr>
            <w:r w:rsidRPr="005835F7">
              <w:rPr>
                <w:rFonts w:cs="Times New Roman"/>
                <w:b/>
                <w:bCs/>
                <w:color w:val="000000" w:themeColor="text1"/>
                <w:sz w:val="24"/>
                <w:szCs w:val="24"/>
              </w:rPr>
              <w:t>Dataset used</w:t>
            </w:r>
          </w:p>
        </w:tc>
        <w:tc>
          <w:tcPr>
            <w:tcW w:w="0" w:type="auto"/>
            <w:hideMark/>
          </w:tcPr>
          <w:p w14:paraId="0154B7D1" w14:textId="77777777" w:rsidR="00B71BC0" w:rsidRPr="005835F7" w:rsidRDefault="00B71BC0" w:rsidP="006E6660">
            <w:pPr>
              <w:tabs>
                <w:tab w:val="left" w:pos="1630"/>
              </w:tabs>
              <w:spacing w:after="0"/>
              <w:rPr>
                <w:rFonts w:cs="Times New Roman"/>
                <w:b/>
                <w:bCs/>
                <w:color w:val="000000" w:themeColor="text1"/>
                <w:sz w:val="24"/>
                <w:szCs w:val="24"/>
              </w:rPr>
            </w:pPr>
            <w:r w:rsidRPr="005835F7">
              <w:rPr>
                <w:rFonts w:cs="Times New Roman"/>
                <w:b/>
                <w:bCs/>
                <w:color w:val="000000" w:themeColor="text1"/>
                <w:sz w:val="24"/>
                <w:szCs w:val="24"/>
              </w:rPr>
              <w:t>Model/method used</w:t>
            </w:r>
          </w:p>
        </w:tc>
        <w:tc>
          <w:tcPr>
            <w:tcW w:w="0" w:type="auto"/>
            <w:hideMark/>
          </w:tcPr>
          <w:p w14:paraId="2A1C801A" w14:textId="77777777" w:rsidR="00B71BC0" w:rsidRPr="005835F7" w:rsidRDefault="00B71BC0" w:rsidP="006E6660">
            <w:pPr>
              <w:tabs>
                <w:tab w:val="left" w:pos="1630"/>
              </w:tabs>
              <w:spacing w:after="0"/>
              <w:rPr>
                <w:rFonts w:cs="Times New Roman"/>
                <w:b/>
                <w:bCs/>
                <w:color w:val="000000" w:themeColor="text1"/>
                <w:sz w:val="24"/>
                <w:szCs w:val="24"/>
              </w:rPr>
            </w:pPr>
            <w:r w:rsidRPr="005835F7">
              <w:rPr>
                <w:rFonts w:cs="Times New Roman"/>
                <w:b/>
                <w:bCs/>
                <w:color w:val="000000" w:themeColor="text1"/>
                <w:sz w:val="24"/>
                <w:szCs w:val="24"/>
              </w:rPr>
              <w:t>Research gap</w:t>
            </w:r>
          </w:p>
        </w:tc>
      </w:tr>
      <w:tr w:rsidR="00B71BC0" w:rsidRPr="005835F7" w14:paraId="0977795F" w14:textId="77777777" w:rsidTr="005835F7">
        <w:tc>
          <w:tcPr>
            <w:tcW w:w="0" w:type="auto"/>
            <w:hideMark/>
          </w:tcPr>
          <w:p w14:paraId="07C0CCB0"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[21]</w:t>
            </w:r>
          </w:p>
        </w:tc>
        <w:tc>
          <w:tcPr>
            <w:tcW w:w="0" w:type="auto"/>
            <w:hideMark/>
          </w:tcPr>
          <w:p w14:paraId="0A7930F4" w14:textId="77777777" w:rsidR="00B71BC0" w:rsidRPr="005835F7" w:rsidRDefault="00B71BC0" w:rsidP="006E6660">
            <w:pPr>
              <w:tabs>
                <w:tab w:val="left" w:pos="1630"/>
              </w:tabs>
              <w:spacing w:after="0"/>
              <w:rPr>
                <w:rFonts w:cs="Times New Roman"/>
                <w:color w:val="000000" w:themeColor="text1"/>
                <w:sz w:val="24"/>
                <w:szCs w:val="24"/>
              </w:rPr>
            </w:pPr>
            <w:hyperlink r:id="rId8" w:history="1">
              <w:r w:rsidRPr="005835F7">
                <w:rPr>
                  <w:rStyle w:val="Hyperlink"/>
                  <w:rFonts w:cs="Times New Roman"/>
                  <w:color w:val="000000" w:themeColor="text1"/>
                  <w:sz w:val="24"/>
                  <w:szCs w:val="24"/>
                </w:rPr>
                <w:t>Almahakeri et al.</w:t>
              </w:r>
            </w:hyperlink>
          </w:p>
        </w:tc>
        <w:tc>
          <w:tcPr>
            <w:tcW w:w="0" w:type="auto"/>
            <w:hideMark/>
          </w:tcPr>
          <w:p w14:paraId="6657B487"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Ultrasound-guided-wave measurements collected through pipeline-mounted transducers</w:t>
            </w:r>
          </w:p>
        </w:tc>
        <w:tc>
          <w:tcPr>
            <w:tcW w:w="0" w:type="auto"/>
            <w:hideMark/>
          </w:tcPr>
          <w:p w14:paraId="4DB583DC"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Deep Neural Network-based structural health monitoring</w:t>
            </w:r>
          </w:p>
        </w:tc>
        <w:tc>
          <w:tcPr>
            <w:tcW w:w="0" w:type="auto"/>
            <w:hideMark/>
          </w:tcPr>
          <w:p w14:paraId="479064CA"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Predicts crack location, width, and depth but does not evaluate regulatory compliance, inspection history, or facility-level risk.</w:t>
            </w:r>
          </w:p>
        </w:tc>
      </w:tr>
      <w:tr w:rsidR="00B71BC0" w:rsidRPr="005835F7" w14:paraId="5B5E257A" w14:textId="77777777" w:rsidTr="005835F7">
        <w:tc>
          <w:tcPr>
            <w:tcW w:w="0" w:type="auto"/>
            <w:hideMark/>
          </w:tcPr>
          <w:p w14:paraId="4777D8C6"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[22]</w:t>
            </w:r>
          </w:p>
        </w:tc>
        <w:tc>
          <w:tcPr>
            <w:tcW w:w="0" w:type="auto"/>
            <w:hideMark/>
          </w:tcPr>
          <w:p w14:paraId="5BC404A9" w14:textId="77777777" w:rsidR="00B71BC0" w:rsidRPr="005835F7" w:rsidRDefault="00B71BC0" w:rsidP="006E6660">
            <w:pPr>
              <w:tabs>
                <w:tab w:val="left" w:pos="1630"/>
              </w:tabs>
              <w:spacing w:after="0"/>
              <w:rPr>
                <w:rFonts w:cs="Times New Roman"/>
                <w:color w:val="000000" w:themeColor="text1"/>
                <w:sz w:val="24"/>
                <w:szCs w:val="24"/>
              </w:rPr>
            </w:pPr>
            <w:hyperlink r:id="rId9" w:history="1">
              <w:r w:rsidRPr="005835F7">
                <w:rPr>
                  <w:rStyle w:val="Hyperlink"/>
                  <w:rFonts w:cs="Times New Roman"/>
                  <w:color w:val="000000" w:themeColor="text1"/>
                  <w:sz w:val="24"/>
                  <w:szCs w:val="24"/>
                </w:rPr>
                <w:t>Wang et al.</w:t>
              </w:r>
            </w:hyperlink>
          </w:p>
        </w:tc>
        <w:tc>
          <w:tcPr>
            <w:tcW w:w="0" w:type="auto"/>
            <w:hideMark/>
          </w:tcPr>
          <w:p w14:paraId="09F3B458"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Historical operational and fault data from Shengli Oilfield production wells</w:t>
            </w:r>
          </w:p>
        </w:tc>
        <w:tc>
          <w:tcPr>
            <w:tcW w:w="0" w:type="auto"/>
            <w:hideMark/>
          </w:tcPr>
          <w:p w14:paraId="655A4B7D"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ML-CSNN, expert rules, SVM, GBDT, and XGBoost</w:t>
            </w:r>
          </w:p>
        </w:tc>
        <w:tc>
          <w:tcPr>
            <w:tcW w:w="0" w:type="auto"/>
            <w:hideMark/>
          </w:tcPr>
          <w:p w14:paraId="540EEB1A"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 xml:space="preserve">Strong predictive-maintenance performance, but validation is limited to </w:t>
            </w:r>
            <w:r w:rsidRPr="005835F7">
              <w:rPr>
                <w:rFonts w:cs="Times New Roman"/>
                <w:color w:val="000000" w:themeColor="text1"/>
                <w:sz w:val="24"/>
                <w:szCs w:val="24"/>
              </w:rPr>
              <w:lastRenderedPageBreak/>
              <w:t>one oilfield and equipment-fault context.</w:t>
            </w:r>
          </w:p>
        </w:tc>
      </w:tr>
      <w:tr w:rsidR="00B71BC0" w:rsidRPr="005835F7" w14:paraId="20545C34" w14:textId="77777777" w:rsidTr="005835F7">
        <w:tc>
          <w:tcPr>
            <w:tcW w:w="0" w:type="auto"/>
            <w:hideMark/>
          </w:tcPr>
          <w:p w14:paraId="45D09BC7"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lastRenderedPageBreak/>
              <w:t>[23]</w:t>
            </w:r>
          </w:p>
        </w:tc>
        <w:tc>
          <w:tcPr>
            <w:tcW w:w="0" w:type="auto"/>
            <w:hideMark/>
          </w:tcPr>
          <w:p w14:paraId="6EF4EEB1" w14:textId="77777777" w:rsidR="00B71BC0" w:rsidRPr="005835F7" w:rsidRDefault="00B71BC0" w:rsidP="006E6660">
            <w:pPr>
              <w:tabs>
                <w:tab w:val="left" w:pos="1630"/>
              </w:tabs>
              <w:spacing w:after="0"/>
              <w:rPr>
                <w:rFonts w:cs="Times New Roman"/>
                <w:color w:val="000000" w:themeColor="text1"/>
                <w:sz w:val="24"/>
                <w:szCs w:val="24"/>
              </w:rPr>
            </w:pPr>
            <w:hyperlink r:id="rId10" w:history="1">
              <w:r w:rsidRPr="005835F7">
                <w:rPr>
                  <w:rStyle w:val="Hyperlink"/>
                  <w:rFonts w:cs="Times New Roman"/>
                  <w:color w:val="000000" w:themeColor="text1"/>
                  <w:sz w:val="24"/>
                  <w:szCs w:val="24"/>
                </w:rPr>
                <w:t>Sani et al.</w:t>
              </w:r>
            </w:hyperlink>
          </w:p>
        </w:tc>
        <w:tc>
          <w:tcPr>
            <w:tcW w:w="0" w:type="auto"/>
            <w:hideMark/>
          </w:tcPr>
          <w:p w14:paraId="4575EE7E"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Public corrosion dataset: 10,293 observations and eight operational features</w:t>
            </w:r>
          </w:p>
        </w:tc>
        <w:tc>
          <w:tcPr>
            <w:tcW w:w="0" w:type="auto"/>
            <w:hideMark/>
          </w:tcPr>
          <w:p w14:paraId="584B2AB8"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Gradient Boosting, XGBoost, Random Forest, KNN, SVR, AdaBoost, and regression models</w:t>
            </w:r>
          </w:p>
        </w:tc>
        <w:tc>
          <w:tcPr>
            <w:tcW w:w="0" w:type="auto"/>
            <w:hideMark/>
          </w:tcPr>
          <w:p w14:paraId="56B2B19B"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Uses a public tabular dataset and random split; limited evidence of temporal, geographic, and operator-level generalization.</w:t>
            </w:r>
          </w:p>
        </w:tc>
      </w:tr>
      <w:tr w:rsidR="00B71BC0" w:rsidRPr="005835F7" w14:paraId="6863DAC3" w14:textId="77777777" w:rsidTr="005835F7">
        <w:tc>
          <w:tcPr>
            <w:tcW w:w="0" w:type="auto"/>
            <w:hideMark/>
          </w:tcPr>
          <w:p w14:paraId="5F620903"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[24]</w:t>
            </w:r>
          </w:p>
        </w:tc>
        <w:tc>
          <w:tcPr>
            <w:tcW w:w="0" w:type="auto"/>
            <w:hideMark/>
          </w:tcPr>
          <w:p w14:paraId="4F0094ED" w14:textId="77777777" w:rsidR="00B71BC0" w:rsidRPr="005835F7" w:rsidRDefault="00B71BC0" w:rsidP="006E6660">
            <w:pPr>
              <w:tabs>
                <w:tab w:val="left" w:pos="1630"/>
              </w:tabs>
              <w:spacing w:after="0"/>
              <w:rPr>
                <w:rFonts w:cs="Times New Roman"/>
                <w:color w:val="000000" w:themeColor="text1"/>
                <w:sz w:val="24"/>
                <w:szCs w:val="24"/>
              </w:rPr>
            </w:pPr>
            <w:hyperlink r:id="rId11" w:history="1">
              <w:r w:rsidRPr="005835F7">
                <w:rPr>
                  <w:rStyle w:val="Hyperlink"/>
                  <w:rFonts w:cs="Times New Roman"/>
                  <w:color w:val="000000" w:themeColor="text1"/>
                  <w:sz w:val="24"/>
                  <w:szCs w:val="24"/>
                </w:rPr>
                <w:t>Ansari et al.</w:t>
              </w:r>
            </w:hyperlink>
          </w:p>
        </w:tc>
        <w:tc>
          <w:tcPr>
            <w:tcW w:w="0" w:type="auto"/>
            <w:hideMark/>
          </w:tcPr>
          <w:p w14:paraId="645E23F5"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TWI industrial dataset containing over 35,000 condition-monitoring locations</w:t>
            </w:r>
          </w:p>
        </w:tc>
        <w:tc>
          <w:tcPr>
            <w:tcW w:w="0" w:type="auto"/>
            <w:hideMark/>
          </w:tcPr>
          <w:p w14:paraId="0A96625F"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Direct regression and composite classification–regression models</w:t>
            </w:r>
          </w:p>
        </w:tc>
        <w:tc>
          <w:tcPr>
            <w:tcW w:w="0" w:type="auto"/>
            <w:hideMark/>
          </w:tcPr>
          <w:p w14:paraId="46488D5C"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Performs poorly for high corrosion rates and is affected by skewness, duplicate records, and limited severe cases.</w:t>
            </w:r>
          </w:p>
        </w:tc>
      </w:tr>
      <w:tr w:rsidR="00B71BC0" w:rsidRPr="005835F7" w14:paraId="35B9F7DA" w14:textId="77777777" w:rsidTr="005835F7">
        <w:tc>
          <w:tcPr>
            <w:tcW w:w="0" w:type="auto"/>
            <w:hideMark/>
          </w:tcPr>
          <w:p w14:paraId="59CC4A99"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[25]</w:t>
            </w:r>
          </w:p>
        </w:tc>
        <w:tc>
          <w:tcPr>
            <w:tcW w:w="0" w:type="auto"/>
            <w:hideMark/>
          </w:tcPr>
          <w:p w14:paraId="0D56AEAB" w14:textId="77777777" w:rsidR="00B71BC0" w:rsidRPr="005835F7" w:rsidRDefault="00B71BC0" w:rsidP="006E6660">
            <w:pPr>
              <w:tabs>
                <w:tab w:val="left" w:pos="1630"/>
              </w:tabs>
              <w:spacing w:after="0"/>
              <w:rPr>
                <w:rFonts w:cs="Times New Roman"/>
                <w:color w:val="000000" w:themeColor="text1"/>
                <w:sz w:val="24"/>
                <w:szCs w:val="24"/>
              </w:rPr>
            </w:pPr>
            <w:hyperlink r:id="rId12" w:history="1">
              <w:r w:rsidRPr="005835F7">
                <w:rPr>
                  <w:rStyle w:val="Hyperlink"/>
                  <w:rFonts w:cs="Times New Roman"/>
                  <w:color w:val="000000" w:themeColor="text1"/>
                  <w:sz w:val="24"/>
                  <w:szCs w:val="24"/>
                </w:rPr>
                <w:t>Wu et al.</w:t>
              </w:r>
            </w:hyperlink>
          </w:p>
        </w:tc>
        <w:tc>
          <w:tcPr>
            <w:tcW w:w="0" w:type="auto"/>
            <w:hideMark/>
          </w:tcPr>
          <w:p w14:paraId="51779CDA"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402 burst-test and finite-element samples collected from published studies</w:t>
            </w:r>
          </w:p>
        </w:tc>
        <w:tc>
          <w:tcPr>
            <w:tcW w:w="0" w:type="auto"/>
            <w:hideMark/>
          </w:tcPr>
          <w:p w14:paraId="74C94304"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Physics-informed deep forest optimized through Double Deep Q-Network domain generalization</w:t>
            </w:r>
          </w:p>
        </w:tc>
        <w:tc>
          <w:tcPr>
            <w:tcW w:w="0" w:type="auto"/>
            <w:hideMark/>
          </w:tcPr>
          <w:p w14:paraId="681CD8E7"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Dataset mainly represents simplified single rectangular defects; operational and regulatory factors are excluded.</w:t>
            </w:r>
          </w:p>
        </w:tc>
      </w:tr>
      <w:tr w:rsidR="00B71BC0" w:rsidRPr="005835F7" w14:paraId="125422E0" w14:textId="77777777" w:rsidTr="005835F7">
        <w:tc>
          <w:tcPr>
            <w:tcW w:w="0" w:type="auto"/>
            <w:hideMark/>
          </w:tcPr>
          <w:p w14:paraId="3A66292F"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[26]</w:t>
            </w:r>
          </w:p>
        </w:tc>
        <w:tc>
          <w:tcPr>
            <w:tcW w:w="0" w:type="auto"/>
            <w:hideMark/>
          </w:tcPr>
          <w:p w14:paraId="7C46B262" w14:textId="77777777" w:rsidR="00B71BC0" w:rsidRPr="005835F7" w:rsidRDefault="00B71BC0" w:rsidP="006E6660">
            <w:pPr>
              <w:tabs>
                <w:tab w:val="left" w:pos="1630"/>
              </w:tabs>
              <w:spacing w:after="0"/>
              <w:rPr>
                <w:rFonts w:cs="Times New Roman"/>
                <w:color w:val="000000" w:themeColor="text1"/>
                <w:sz w:val="24"/>
                <w:szCs w:val="24"/>
              </w:rPr>
            </w:pPr>
            <w:hyperlink r:id="rId13" w:history="1">
              <w:r w:rsidRPr="005835F7">
                <w:rPr>
                  <w:rStyle w:val="Hyperlink"/>
                  <w:rFonts w:cs="Times New Roman"/>
                  <w:color w:val="000000" w:themeColor="text1"/>
                  <w:sz w:val="24"/>
                  <w:szCs w:val="24"/>
                </w:rPr>
                <w:t>Wang and Lu</w:t>
              </w:r>
            </w:hyperlink>
          </w:p>
        </w:tc>
        <w:tc>
          <w:tcPr>
            <w:tcW w:w="0" w:type="auto"/>
            <w:hideMark/>
          </w:tcPr>
          <w:p w14:paraId="3F36504A"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Datasets collected from 30 published residual-strength studies</w:t>
            </w:r>
          </w:p>
        </w:tc>
        <w:tc>
          <w:tcPr>
            <w:tcW w:w="0" w:type="auto"/>
            <w:hideMark/>
          </w:tcPr>
          <w:p w14:paraId="21B2F5EF"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Review of regression, Random Forest, SVM, neural networks, Gaussian Process Regression, and ensemble methods</w:t>
            </w:r>
          </w:p>
        </w:tc>
        <w:tc>
          <w:tcPr>
            <w:tcW w:w="0" w:type="auto"/>
            <w:hideMark/>
          </w:tcPr>
          <w:p w14:paraId="69919D80"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Identifies small, heterogeneous datasets and inconsistent validation; does not propose a unified operational framework.</w:t>
            </w:r>
          </w:p>
        </w:tc>
      </w:tr>
      <w:tr w:rsidR="00B71BC0" w:rsidRPr="005835F7" w14:paraId="1B4A0DE3" w14:textId="77777777" w:rsidTr="005835F7">
        <w:tc>
          <w:tcPr>
            <w:tcW w:w="0" w:type="auto"/>
            <w:hideMark/>
          </w:tcPr>
          <w:p w14:paraId="40CAAA04"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[27]</w:t>
            </w:r>
          </w:p>
        </w:tc>
        <w:tc>
          <w:tcPr>
            <w:tcW w:w="0" w:type="auto"/>
            <w:hideMark/>
          </w:tcPr>
          <w:p w14:paraId="39E92F99" w14:textId="77777777" w:rsidR="00B71BC0" w:rsidRPr="005835F7" w:rsidRDefault="00B71BC0" w:rsidP="006E6660">
            <w:pPr>
              <w:tabs>
                <w:tab w:val="left" w:pos="1630"/>
              </w:tabs>
              <w:spacing w:after="0"/>
              <w:rPr>
                <w:rFonts w:cs="Times New Roman"/>
                <w:color w:val="000000" w:themeColor="text1"/>
                <w:sz w:val="24"/>
                <w:szCs w:val="24"/>
              </w:rPr>
            </w:pPr>
            <w:hyperlink r:id="rId14" w:history="1">
              <w:r w:rsidRPr="005835F7">
                <w:rPr>
                  <w:rStyle w:val="Hyperlink"/>
                  <w:rFonts w:cs="Times New Roman"/>
                  <w:color w:val="000000" w:themeColor="text1"/>
                  <w:sz w:val="24"/>
                  <w:szCs w:val="24"/>
                </w:rPr>
                <w:t>Chen et al.</w:t>
              </w:r>
            </w:hyperlink>
          </w:p>
        </w:tc>
        <w:tc>
          <w:tcPr>
            <w:tcW w:w="0" w:type="auto"/>
            <w:hideMark/>
          </w:tcPr>
          <w:p w14:paraId="41D3D9BF"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Experimental and operating data for liquid holdup in hilly oil–gas pipelines</w:t>
            </w:r>
          </w:p>
        </w:tc>
        <w:tc>
          <w:tcPr>
            <w:tcW w:w="0" w:type="auto"/>
            <w:hideMark/>
          </w:tcPr>
          <w:p w14:paraId="77555411"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Comparative ML prediction with SHAP interpretation</w:t>
            </w:r>
          </w:p>
        </w:tc>
        <w:tc>
          <w:tcPr>
            <w:tcW w:w="0" w:type="auto"/>
            <w:hideMark/>
          </w:tcPr>
          <w:p w14:paraId="1F870EA8"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Focuses on liquid holdup under specific terrain and flow conditions rather than broader integrity or compliance outcomes.</w:t>
            </w:r>
          </w:p>
        </w:tc>
      </w:tr>
      <w:tr w:rsidR="00B71BC0" w:rsidRPr="005835F7" w14:paraId="57A0A761" w14:textId="77777777" w:rsidTr="005835F7">
        <w:tc>
          <w:tcPr>
            <w:tcW w:w="0" w:type="auto"/>
            <w:hideMark/>
          </w:tcPr>
          <w:p w14:paraId="0303828E"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[28]</w:t>
            </w:r>
          </w:p>
        </w:tc>
        <w:tc>
          <w:tcPr>
            <w:tcW w:w="0" w:type="auto"/>
            <w:hideMark/>
          </w:tcPr>
          <w:p w14:paraId="38B420D5" w14:textId="77777777" w:rsidR="00B71BC0" w:rsidRPr="005835F7" w:rsidRDefault="00B71BC0" w:rsidP="006E6660">
            <w:pPr>
              <w:tabs>
                <w:tab w:val="left" w:pos="1630"/>
              </w:tabs>
              <w:spacing w:after="0"/>
              <w:rPr>
                <w:rFonts w:cs="Times New Roman"/>
                <w:color w:val="000000" w:themeColor="text1"/>
                <w:sz w:val="24"/>
                <w:szCs w:val="24"/>
              </w:rPr>
            </w:pPr>
            <w:hyperlink r:id="rId15" w:history="1">
              <w:r w:rsidRPr="005835F7">
                <w:rPr>
                  <w:rStyle w:val="Hyperlink"/>
                  <w:rFonts w:cs="Times New Roman"/>
                  <w:color w:val="000000" w:themeColor="text1"/>
                  <w:sz w:val="24"/>
                  <w:szCs w:val="24"/>
                </w:rPr>
                <w:t>Lv et al.</w:t>
              </w:r>
            </w:hyperlink>
          </w:p>
        </w:tc>
        <w:tc>
          <w:tcPr>
            <w:tcW w:w="0" w:type="auto"/>
            <w:hideMark/>
          </w:tcPr>
          <w:p w14:paraId="715C5B67"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High-pressure hydrate flow-loop experimental data from an oil–water system</w:t>
            </w:r>
          </w:p>
        </w:tc>
        <w:tc>
          <w:tcPr>
            <w:tcW w:w="0" w:type="auto"/>
            <w:hideMark/>
          </w:tcPr>
          <w:p w14:paraId="7F2B6EF5"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XGBoost classification with SHAP explanations</w:t>
            </w:r>
          </w:p>
        </w:tc>
        <w:tc>
          <w:tcPr>
            <w:tcW w:w="0" w:type="auto"/>
            <w:hideMark/>
          </w:tcPr>
          <w:p w14:paraId="404CA69D"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High controlled-experiment accuracy, but field-scale and cross-pipeline validation remain limited.</w:t>
            </w:r>
          </w:p>
        </w:tc>
      </w:tr>
      <w:tr w:rsidR="00B71BC0" w:rsidRPr="005835F7" w14:paraId="0EE1EC8D" w14:textId="77777777" w:rsidTr="005835F7">
        <w:tc>
          <w:tcPr>
            <w:tcW w:w="0" w:type="auto"/>
            <w:hideMark/>
          </w:tcPr>
          <w:p w14:paraId="494225FB"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[29]</w:t>
            </w:r>
          </w:p>
        </w:tc>
        <w:tc>
          <w:tcPr>
            <w:tcW w:w="0" w:type="auto"/>
            <w:hideMark/>
          </w:tcPr>
          <w:p w14:paraId="09B7DDB0" w14:textId="77777777" w:rsidR="00B71BC0" w:rsidRPr="005835F7" w:rsidRDefault="00B71BC0" w:rsidP="006E6660">
            <w:pPr>
              <w:tabs>
                <w:tab w:val="left" w:pos="1630"/>
              </w:tabs>
              <w:spacing w:after="0"/>
              <w:rPr>
                <w:rFonts w:cs="Times New Roman"/>
                <w:color w:val="000000" w:themeColor="text1"/>
                <w:sz w:val="24"/>
                <w:szCs w:val="24"/>
              </w:rPr>
            </w:pPr>
            <w:hyperlink r:id="rId16" w:history="1">
              <w:r w:rsidRPr="005835F7">
                <w:rPr>
                  <w:rStyle w:val="Hyperlink"/>
                  <w:rFonts w:cs="Times New Roman"/>
                  <w:color w:val="000000" w:themeColor="text1"/>
                  <w:sz w:val="24"/>
                  <w:szCs w:val="24"/>
                </w:rPr>
                <w:t>Yang et al.</w:t>
              </w:r>
            </w:hyperlink>
          </w:p>
        </w:tc>
        <w:tc>
          <w:tcPr>
            <w:tcW w:w="0" w:type="auto"/>
            <w:hideMark/>
          </w:tcPr>
          <w:p w14:paraId="6DC051B2"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Geological, environmental, and hazard data from the Lishui–Wenzhou gas-pipeline corridor</w:t>
            </w:r>
          </w:p>
        </w:tc>
        <w:tc>
          <w:tcPr>
            <w:tcW w:w="0" w:type="auto"/>
            <w:hideMark/>
          </w:tcPr>
          <w:p w14:paraId="060B12AD"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Information Value Method, neural-network weighting, and data-driven susceptibility assessment</w:t>
            </w:r>
          </w:p>
        </w:tc>
        <w:tc>
          <w:tcPr>
            <w:tcW w:w="0" w:type="auto"/>
            <w:hideMark/>
          </w:tcPr>
          <w:p w14:paraId="71D837CF"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Case-study-specific geographic model; limited transferability to other regions and non-geological compliance risks.</w:t>
            </w:r>
          </w:p>
        </w:tc>
      </w:tr>
      <w:tr w:rsidR="00B71BC0" w:rsidRPr="005835F7" w14:paraId="320D5F30" w14:textId="77777777" w:rsidTr="005835F7">
        <w:tc>
          <w:tcPr>
            <w:tcW w:w="0" w:type="auto"/>
            <w:hideMark/>
          </w:tcPr>
          <w:p w14:paraId="0C3C8384"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[30]</w:t>
            </w:r>
          </w:p>
        </w:tc>
        <w:tc>
          <w:tcPr>
            <w:tcW w:w="0" w:type="auto"/>
            <w:hideMark/>
          </w:tcPr>
          <w:p w14:paraId="088E0B77" w14:textId="77777777" w:rsidR="00B71BC0" w:rsidRPr="005835F7" w:rsidRDefault="00B71BC0" w:rsidP="006E6660">
            <w:pPr>
              <w:tabs>
                <w:tab w:val="left" w:pos="1630"/>
              </w:tabs>
              <w:spacing w:after="0"/>
              <w:rPr>
                <w:rFonts w:cs="Times New Roman"/>
                <w:color w:val="000000" w:themeColor="text1"/>
                <w:sz w:val="24"/>
                <w:szCs w:val="24"/>
              </w:rPr>
            </w:pPr>
            <w:hyperlink r:id="rId17" w:history="1">
              <w:r w:rsidRPr="005835F7">
                <w:rPr>
                  <w:rStyle w:val="Hyperlink"/>
                  <w:rFonts w:cs="Times New Roman"/>
                  <w:color w:val="000000" w:themeColor="text1"/>
                  <w:sz w:val="24"/>
                  <w:szCs w:val="24"/>
                </w:rPr>
                <w:t>Chen et al.</w:t>
              </w:r>
            </w:hyperlink>
          </w:p>
        </w:tc>
        <w:tc>
          <w:tcPr>
            <w:tcW w:w="0" w:type="auto"/>
            <w:hideMark/>
          </w:tcPr>
          <w:p w14:paraId="4C5A83A9"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Field measurements combined with hydraulic-simulation benchmarks</w:t>
            </w:r>
          </w:p>
        </w:tc>
        <w:tc>
          <w:tcPr>
            <w:tcW w:w="0" w:type="auto"/>
            <w:hideMark/>
          </w:tcPr>
          <w:p w14:paraId="4779C369"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Eight lightweight ML models optimized for edge deployment</w:t>
            </w:r>
          </w:p>
        </w:tc>
        <w:tc>
          <w:tcPr>
            <w:tcW w:w="0" w:type="auto"/>
            <w:hideMark/>
          </w:tcPr>
          <w:p w14:paraId="254A64E5"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Addresses short-term overpressure warning but not long-term integrity, inspection performance, or regulatory supervision.</w:t>
            </w:r>
          </w:p>
        </w:tc>
      </w:tr>
      <w:tr w:rsidR="00B71BC0" w:rsidRPr="005835F7" w14:paraId="7E593824" w14:textId="77777777" w:rsidTr="005835F7">
        <w:tc>
          <w:tcPr>
            <w:tcW w:w="0" w:type="auto"/>
            <w:hideMark/>
          </w:tcPr>
          <w:p w14:paraId="46097E8B"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[31]</w:t>
            </w:r>
          </w:p>
        </w:tc>
        <w:tc>
          <w:tcPr>
            <w:tcW w:w="0" w:type="auto"/>
            <w:hideMark/>
          </w:tcPr>
          <w:p w14:paraId="7548669F" w14:textId="77777777" w:rsidR="00B71BC0" w:rsidRPr="005835F7" w:rsidRDefault="00B71BC0" w:rsidP="006E6660">
            <w:pPr>
              <w:tabs>
                <w:tab w:val="left" w:pos="1630"/>
              </w:tabs>
              <w:spacing w:after="0"/>
              <w:rPr>
                <w:rFonts w:cs="Times New Roman"/>
                <w:color w:val="000000" w:themeColor="text1"/>
                <w:sz w:val="24"/>
                <w:szCs w:val="24"/>
              </w:rPr>
            </w:pPr>
            <w:hyperlink r:id="rId18" w:history="1">
              <w:r w:rsidRPr="005835F7">
                <w:rPr>
                  <w:rStyle w:val="Hyperlink"/>
                  <w:rFonts w:cs="Times New Roman"/>
                  <w:color w:val="000000" w:themeColor="text1"/>
                  <w:sz w:val="24"/>
                  <w:szCs w:val="24"/>
                </w:rPr>
                <w:t>Khalilzadeh et al.</w:t>
              </w:r>
            </w:hyperlink>
          </w:p>
        </w:tc>
        <w:tc>
          <w:tcPr>
            <w:tcW w:w="0" w:type="auto"/>
            <w:hideMark/>
          </w:tcPr>
          <w:p w14:paraId="7595D094"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Literature evidence, organizational information, and expert judgments from an oil and gas project</w:t>
            </w:r>
          </w:p>
        </w:tc>
        <w:tc>
          <w:tcPr>
            <w:tcW w:w="0" w:type="auto"/>
            <w:hideMark/>
          </w:tcPr>
          <w:p w14:paraId="0F6FB07C"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Fuzzy Delphi, probability–impact matrix, FBWM, and Grey CoCoSo</w:t>
            </w:r>
          </w:p>
        </w:tc>
        <w:tc>
          <w:tcPr>
            <w:tcW w:w="0" w:type="auto"/>
            <w:hideMark/>
          </w:tcPr>
          <w:p w14:paraId="4AD23C1E"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Relies strongly on expert assessment and lacks longitudinal operational validation or predictive regulatory outcomes.</w:t>
            </w:r>
          </w:p>
        </w:tc>
      </w:tr>
      <w:tr w:rsidR="00B71BC0" w:rsidRPr="005835F7" w14:paraId="2F344E06" w14:textId="77777777" w:rsidTr="005835F7">
        <w:tc>
          <w:tcPr>
            <w:tcW w:w="0" w:type="auto"/>
            <w:hideMark/>
          </w:tcPr>
          <w:p w14:paraId="3FCBB6D6"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[32]</w:t>
            </w:r>
          </w:p>
        </w:tc>
        <w:tc>
          <w:tcPr>
            <w:tcW w:w="0" w:type="auto"/>
            <w:hideMark/>
          </w:tcPr>
          <w:p w14:paraId="05321007" w14:textId="77777777" w:rsidR="00B71BC0" w:rsidRPr="005835F7" w:rsidRDefault="00B71BC0" w:rsidP="006E6660">
            <w:pPr>
              <w:tabs>
                <w:tab w:val="left" w:pos="1630"/>
              </w:tabs>
              <w:spacing w:after="0"/>
              <w:rPr>
                <w:rFonts w:cs="Times New Roman"/>
                <w:color w:val="000000" w:themeColor="text1"/>
                <w:sz w:val="24"/>
                <w:szCs w:val="24"/>
              </w:rPr>
            </w:pPr>
            <w:hyperlink r:id="rId19" w:history="1">
              <w:r w:rsidRPr="005835F7">
                <w:rPr>
                  <w:rStyle w:val="Hyperlink"/>
                  <w:rFonts w:cs="Times New Roman"/>
                  <w:color w:val="000000" w:themeColor="text1"/>
                  <w:sz w:val="24"/>
                  <w:szCs w:val="24"/>
                </w:rPr>
                <w:t>Zhang et al.</w:t>
              </w:r>
            </w:hyperlink>
          </w:p>
        </w:tc>
        <w:tc>
          <w:tcPr>
            <w:tcW w:w="0" w:type="auto"/>
            <w:hideMark/>
          </w:tcPr>
          <w:p w14:paraId="6C9D9FAD"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 xml:space="preserve">Published studies and selected oilfield </w:t>
            </w:r>
            <w:r w:rsidRPr="005835F7">
              <w:rPr>
                <w:rFonts w:cs="Times New Roman"/>
                <w:color w:val="000000" w:themeColor="text1"/>
                <w:sz w:val="24"/>
                <w:szCs w:val="24"/>
              </w:rPr>
              <w:lastRenderedPageBreak/>
              <w:t>application cases; no single experimental dataset</w:t>
            </w:r>
          </w:p>
        </w:tc>
        <w:tc>
          <w:tcPr>
            <w:tcW w:w="0" w:type="auto"/>
            <w:hideMark/>
          </w:tcPr>
          <w:p w14:paraId="7603A675"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lastRenderedPageBreak/>
              <w:t xml:space="preserve">Systematic review of big-data monitoring, ML, </w:t>
            </w:r>
            <w:r w:rsidRPr="005835F7">
              <w:rPr>
                <w:rFonts w:cs="Times New Roman"/>
                <w:color w:val="000000" w:themeColor="text1"/>
                <w:sz w:val="24"/>
                <w:szCs w:val="24"/>
              </w:rPr>
              <w:lastRenderedPageBreak/>
              <w:t>deep learning, anomaly detection, and parameter optimization</w:t>
            </w:r>
          </w:p>
        </w:tc>
        <w:tc>
          <w:tcPr>
            <w:tcW w:w="0" w:type="auto"/>
            <w:hideMark/>
          </w:tcPr>
          <w:p w14:paraId="0515C507"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lastRenderedPageBreak/>
              <w:t xml:space="preserve">Provides broad conceptual coverage but </w:t>
            </w:r>
            <w:r w:rsidRPr="005835F7">
              <w:rPr>
                <w:rFonts w:cs="Times New Roman"/>
                <w:color w:val="000000" w:themeColor="text1"/>
                <w:sz w:val="24"/>
                <w:szCs w:val="24"/>
              </w:rPr>
              <w:lastRenderedPageBreak/>
              <w:t>lacks a reproducible dataset, unified model, and comparative experimental validation.</w:t>
            </w:r>
          </w:p>
        </w:tc>
      </w:tr>
    </w:tbl>
    <w:p w14:paraId="04A203AA" w14:textId="77777777" w:rsidR="006F4424" w:rsidRPr="005835F7" w:rsidRDefault="006F4424" w:rsidP="006E6660">
      <w:pPr>
        <w:tabs>
          <w:tab w:val="left" w:pos="1630"/>
        </w:tabs>
        <w:spacing w:after="100"/>
        <w:rPr>
          <w:rFonts w:cs="Times New Roman"/>
          <w:color w:val="000000" w:themeColor="text1"/>
          <w:sz w:val="24"/>
          <w:szCs w:val="24"/>
        </w:rPr>
      </w:pPr>
    </w:p>
    <w:p w14:paraId="20B13097" w14:textId="0DF62307" w:rsidR="00012482" w:rsidRPr="005835F7" w:rsidRDefault="009A4EB4" w:rsidP="006E6660">
      <w:pPr>
        <w:spacing w:after="100"/>
        <w:rPr>
          <w:rFonts w:cs="Times New Roman"/>
          <w:color w:val="000000" w:themeColor="text1"/>
          <w:sz w:val="24"/>
          <w:szCs w:val="24"/>
        </w:rPr>
      </w:pPr>
      <w:r w:rsidRPr="009A4EB4">
        <w:rPr>
          <w:rFonts w:cs="Times New Roman"/>
          <w:color w:val="000000" w:themeColor="text1"/>
          <w:sz w:val="24"/>
          <w:szCs w:val="24"/>
        </w:rPr>
        <w:t>The nearest research areas are offshore asset integrity analysis [13], anomaly detection in time series [18-20], production monitoring [16,17], and data-driven risk assessment [6-9]. These approaches prove the importance of multi-variable industrial machine learning yet operate with other units of analysis, physical failures/anomalies as endpoints, abundant sensor data as inputs, or non-chronological evaluation. The specific scientific contribution of the current paper is the creation of precise BSEE platform sequences for three years and the joint analysis of dynamic operational and administrative history with static and categorical context to predict next-year INC ranking. The novelty claim is made regarding this particular approach to problem solving and leakage-awareness evaluation procedure; TECR-Net is neither claimed to be the first multimodal nor temporal approach applied to oil and gas field problems.INC records rely on inspection and enforcement procedures, the set of administrative predictors might be incomplete, and the evidence of development results cannot replace the prospective validation of performance.</w:t>
      </w:r>
    </w:p>
    <w:p w14:paraId="48A1D005" w14:textId="77777777" w:rsidR="00012482" w:rsidRPr="005835F7" w:rsidRDefault="00000000" w:rsidP="006E6660">
      <w:pPr>
        <w:pStyle w:val="Heading1"/>
        <w:spacing w:line="276" w:lineRule="auto"/>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3. Proposed Methodology</w:t>
      </w:r>
    </w:p>
    <w:p w14:paraId="02B62E61" w14:textId="77777777"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3.1 Prediction Target</w:t>
      </w:r>
    </w:p>
    <w:p w14:paraId="221DFB8F" w14:textId="0785EFC1" w:rsidR="00012482" w:rsidRPr="005835F7" w:rsidRDefault="009A4EB4" w:rsidP="006E6660">
      <w:pPr>
        <w:spacing w:after="100"/>
        <w:rPr>
          <w:rFonts w:cs="Times New Roman"/>
          <w:color w:val="000000" w:themeColor="text1"/>
          <w:sz w:val="24"/>
          <w:szCs w:val="24"/>
        </w:rPr>
      </w:pPr>
      <w:r w:rsidRPr="009A4EB4">
        <w:rPr>
          <w:rFonts w:cs="Times New Roman"/>
          <w:color w:val="000000" w:themeColor="text1"/>
          <w:sz w:val="24"/>
          <w:szCs w:val="24"/>
        </w:rPr>
        <w:t xml:space="preserve">For platform </w:t>
      </w:r>
      <w:proofErr w:type="spellStart"/>
      <w:r w:rsidRPr="009A4EB4">
        <w:rPr>
          <w:rFonts w:cs="Times New Roman"/>
          <w:color w:val="000000" w:themeColor="text1"/>
          <w:sz w:val="24"/>
          <w:szCs w:val="24"/>
        </w:rPr>
        <w:t>i</w:t>
      </w:r>
      <w:proofErr w:type="spellEnd"/>
      <w:r w:rsidRPr="009A4EB4">
        <w:rPr>
          <w:rFonts w:cs="Times New Roman"/>
          <w:color w:val="000000" w:themeColor="text1"/>
          <w:sz w:val="24"/>
          <w:szCs w:val="24"/>
        </w:rPr>
        <w:t xml:space="preserve"> and feature year t, the binary label is set to 1 if there is at least one occurrence of non-compliance (INC) in the next calendar year. Such specification makes a clear distinction between the prediction origin and the outcome period: no observation from t+1 can be included in the predictor set. The outcome of interest is at least one INC in the dataset, rather than latent non-compliance, accidents, or unsafe platform. Frequency of inspections, reporting, and enforcement practices may influence the chances to record the incidence of non-compliance. Platform-level labels use the calendar year of the INC date, while operator-level aggregated INCs use the INC date field; any adjustments, appeal, or delayed recording were not traced. The expected prediction origin is at the end of the year t, when all records for year t are collected and available, and the outcome period is the calendar year t+1. The release-specific publication lags cannot be estimated. Hence, this study is retrospective and does not prove that all predictors would be known at the prediction </w:t>
      </w:r>
      <w:proofErr w:type="spellStart"/>
      <w:proofErr w:type="gramStart"/>
      <w:r w:rsidRPr="009A4EB4">
        <w:rPr>
          <w:rFonts w:cs="Times New Roman"/>
          <w:color w:val="000000" w:themeColor="text1"/>
          <w:sz w:val="24"/>
          <w:szCs w:val="24"/>
        </w:rPr>
        <w:t>origin.</w:t>
      </w:r>
      <w:r w:rsidR="00000000" w:rsidRPr="005835F7">
        <w:rPr>
          <w:rFonts w:cs="Times New Roman"/>
          <w:color w:val="000000" w:themeColor="text1"/>
          <w:sz w:val="24"/>
          <w:szCs w:val="24"/>
        </w:rPr>
        <w:t>does</w:t>
      </w:r>
      <w:proofErr w:type="spellEnd"/>
      <w:proofErr w:type="gramEnd"/>
      <w:r w:rsidR="00000000" w:rsidRPr="005835F7">
        <w:rPr>
          <w:rFonts w:cs="Times New Roman"/>
          <w:color w:val="000000" w:themeColor="text1"/>
          <w:sz w:val="24"/>
          <w:szCs w:val="24"/>
        </w:rPr>
        <w:t xml:space="preserve"> not establish that every predictor would have been available at a real-time prediction origin. Consequently, TECR-Net is framed as a retrospective risk-ranking aid for regulatory research, not as an automated finding of violation. The score is not a safety determination or a production-authorization decision, and the system is not operational or real-time.</w:t>
      </w:r>
    </w:p>
    <w:p w14:paraId="734858E4" w14:textId="77777777" w:rsidR="00012482" w:rsidRPr="005835F7" w:rsidRDefault="006E6660" w:rsidP="006E6660">
      <w:pPr>
        <w:pStyle w:val="EquationCaption"/>
        <w:tabs>
          <w:tab w:val="center" w:pos="4320"/>
          <w:tab w:val="right" w:pos="8640"/>
        </w:tabs>
        <w:spacing w:before="120" w:after="120"/>
        <w:jc w:val="right"/>
        <w:rPr>
          <w:rFonts w:cs="Times New Roman"/>
          <w:color w:val="000000" w:themeColor="text1"/>
          <w:szCs w:val="24"/>
        </w:rPr>
      </w:pPr>
      <w:r w:rsidRPr="005835F7">
        <w:rPr>
          <w:rFonts w:eastAsia="Times New Roman" w:cs="Times New Roman"/>
          <w:color w:val="000000" w:themeColor="text1"/>
          <w:szCs w:val="24"/>
        </w:rPr>
        <w:tab/>
      </w:r>
      <m:oMath>
        <m:r>
          <m:rPr>
            <m:sty m:val="p"/>
          </m:rPr>
          <w:rPr>
            <w:rFonts w:ascii="Cambria Math" w:hAnsi="Cambria Math" w:cs="Times New Roman"/>
            <w:color w:val="000000" w:themeColor="text1"/>
            <w:szCs w:val="24"/>
          </w:rPr>
          <m:t xml:space="preserve">yᵢ,ₜ₊₁ = </m:t>
        </m:r>
        <m:r>
          <m:rPr>
            <m:scr m:val="double-struck"/>
            <m:sty m:val="p"/>
          </m:rPr>
          <w:rPr>
            <w:rFonts w:ascii="Cambria Math" w:hAnsi="Cambria Math" w:cs="Times New Roman"/>
            <w:color w:val="000000" w:themeColor="text1"/>
            <w:szCs w:val="24"/>
          </w:rPr>
          <m:t>1</m:t>
        </m:r>
        <m:r>
          <m:rPr>
            <m:sty m:val="p"/>
          </m:rPr>
          <w:rPr>
            <w:rFonts w:ascii="Cambria Math" w:hAnsi="Cambria Math" w:cs="Times New Roman"/>
            <w:color w:val="000000" w:themeColor="text1"/>
            <w:szCs w:val="24"/>
          </w:rPr>
          <m:t>(INC_countᵢ,ₜ₊₁ &gt; 0)</m:t>
        </m:r>
      </m:oMath>
      <w:r w:rsidRPr="005835F7">
        <w:rPr>
          <w:rFonts w:eastAsia="Times New Roman" w:cs="Times New Roman"/>
          <w:color w:val="000000" w:themeColor="text1"/>
          <w:szCs w:val="24"/>
        </w:rPr>
        <w:tab/>
        <w:t>(1)</w:t>
      </w:r>
    </w:p>
    <w:p w14:paraId="39871FA9" w14:textId="41A9AD5E" w:rsidR="00012482" w:rsidRPr="005835F7" w:rsidRDefault="009A4EB4" w:rsidP="006E6660">
      <w:pPr>
        <w:spacing w:after="100"/>
        <w:rPr>
          <w:rFonts w:cs="Times New Roman"/>
          <w:color w:val="000000" w:themeColor="text1"/>
          <w:sz w:val="24"/>
          <w:szCs w:val="24"/>
        </w:rPr>
      </w:pPr>
      <w:r w:rsidRPr="009A4EB4">
        <w:rPr>
          <w:rFonts w:cs="Times New Roman"/>
          <w:color w:val="000000" w:themeColor="text1"/>
          <w:sz w:val="24"/>
          <w:szCs w:val="24"/>
          <w:highlight w:val="yellow"/>
        </w:rPr>
        <w:t xml:space="preserve">Input to the model is an exact history of three years ending at the year of prediction. The input includes measurements made at times t-2, t-1 and t in that order; observations that lack any intermediate year are omitted rather than interpolated to make an uninterrupted time series. </w:t>
      </w:r>
      <w:proofErr w:type="gramStart"/>
      <w:r w:rsidRPr="009A4EB4">
        <w:rPr>
          <w:rFonts w:cs="Times New Roman"/>
          <w:color w:val="000000" w:themeColor="text1"/>
          <w:sz w:val="24"/>
          <w:szCs w:val="24"/>
          <w:highlight w:val="yellow"/>
        </w:rPr>
        <w:t>Tensor  is</w:t>
      </w:r>
      <w:proofErr w:type="gramEnd"/>
      <w:r w:rsidRPr="009A4EB4">
        <w:rPr>
          <w:rFonts w:cs="Times New Roman"/>
          <w:color w:val="000000" w:themeColor="text1"/>
          <w:sz w:val="24"/>
          <w:szCs w:val="24"/>
          <w:highlight w:val="yellow"/>
        </w:rPr>
        <w:t xml:space="preserve"> defined in this way. In this way, the temporal encoder learns about persistence, changes and deterioration while making sure that the label year is outside the input period. Numerical and categorical features are provided separately without being repeated each </w:t>
      </w:r>
      <w:proofErr w:type="spellStart"/>
      <w:proofErr w:type="gramStart"/>
      <w:r w:rsidRPr="009A4EB4">
        <w:rPr>
          <w:rFonts w:cs="Times New Roman"/>
          <w:color w:val="000000" w:themeColor="text1"/>
          <w:sz w:val="24"/>
          <w:szCs w:val="24"/>
          <w:highlight w:val="yellow"/>
        </w:rPr>
        <w:t>year.</w:t>
      </w:r>
      <w:r w:rsidR="00000000" w:rsidRPr="009A4EB4">
        <w:rPr>
          <w:rFonts w:cs="Times New Roman"/>
          <w:color w:val="000000" w:themeColor="text1"/>
          <w:sz w:val="24"/>
          <w:szCs w:val="24"/>
          <w:highlight w:val="yellow"/>
        </w:rPr>
        <w:t>The</w:t>
      </w:r>
      <w:proofErr w:type="spellEnd"/>
      <w:proofErr w:type="gramEnd"/>
      <w:r w:rsidR="00000000" w:rsidRPr="009A4EB4">
        <w:rPr>
          <w:rFonts w:cs="Times New Roman"/>
          <w:color w:val="000000" w:themeColor="text1"/>
          <w:sz w:val="24"/>
          <w:szCs w:val="24"/>
          <w:highlight w:val="yellow"/>
        </w:rPr>
        <w:t xml:space="preserve"> three-year window was an a priori implementation choice in the archive; alternative window lengths were not compared on identical eligible cohorts, so its optimality is not claimed.</w:t>
      </w:r>
    </w:p>
    <w:p w14:paraId="0FD6618D" w14:textId="77777777" w:rsidR="006E6660" w:rsidRPr="005835F7" w:rsidRDefault="006E6660" w:rsidP="006E6660">
      <w:pPr>
        <w:pStyle w:val="EquationCaption"/>
        <w:tabs>
          <w:tab w:val="center" w:pos="4320"/>
          <w:tab w:val="right" w:pos="8640"/>
        </w:tabs>
        <w:spacing w:before="120" w:after="120"/>
        <w:jc w:val="right"/>
        <w:rPr>
          <w:rFonts w:eastAsia="Times New Roman" w:cs="Times New Roman"/>
          <w:color w:val="000000" w:themeColor="text1"/>
          <w:szCs w:val="24"/>
        </w:rPr>
      </w:pPr>
      <w:r w:rsidRPr="005835F7">
        <w:rPr>
          <w:rFonts w:eastAsia="Times New Roman" w:cs="Times New Roman"/>
          <w:color w:val="000000" w:themeColor="text1"/>
          <w:szCs w:val="24"/>
        </w:rPr>
        <w:tab/>
      </w:r>
      <m:oMath>
        <m:r>
          <m:rPr>
            <m:sty m:val="p"/>
          </m:rPr>
          <w:rPr>
            <w:rFonts w:ascii="Cambria Math" w:hAnsi="Cambria Math" w:cs="Times New Roman"/>
            <w:color w:val="000000" w:themeColor="text1"/>
            <w:szCs w:val="24"/>
          </w:rPr>
          <m:t>Xᵢ,ₜ = [xᵢ,ₜ₋₂, xᵢ,ₜ₋₁, xᵢ</m:t>
        </m:r>
        <m:r>
          <m:rPr>
            <m:scr m:val="double-struck"/>
            <m:sty m:val="p"/>
          </m:rPr>
          <w:rPr>
            <w:rFonts w:ascii="Cambria Math" w:hAnsi="Cambria Math" w:cs="Times New Roman"/>
            <w:color w:val="000000" w:themeColor="text1"/>
            <w:szCs w:val="24"/>
          </w:rPr>
          <m:t>,ₜ] ∈ R³ˣ²⁶</m:t>
        </m:r>
      </m:oMath>
      <w:r w:rsidRPr="005835F7">
        <w:rPr>
          <w:rFonts w:eastAsia="Times New Roman" w:cs="Times New Roman"/>
          <w:color w:val="000000" w:themeColor="text1"/>
          <w:szCs w:val="24"/>
        </w:rPr>
        <w:tab/>
        <w:t>(2)</w:t>
      </w:r>
    </w:p>
    <w:p w14:paraId="2E6918D1" w14:textId="77777777" w:rsidR="002A6ACB" w:rsidRPr="005835F7" w:rsidRDefault="002A6ACB" w:rsidP="002A6ACB">
      <w:pPr>
        <w:keepNext/>
        <w:spacing w:after="100"/>
        <w:jc w:val="center"/>
        <w:rPr>
          <w:rFonts w:cs="Times New Roman"/>
          <w:color w:val="000000" w:themeColor="text1"/>
          <w:sz w:val="24"/>
          <w:szCs w:val="24"/>
        </w:rPr>
      </w:pPr>
      <w:r w:rsidRPr="005835F7">
        <w:rPr>
          <w:rFonts w:cs="Times New Roman"/>
          <w:noProof/>
          <w:color w:val="000000" w:themeColor="text1"/>
          <w:sz w:val="24"/>
          <w:szCs w:val="24"/>
        </w:rPr>
        <w:lastRenderedPageBreak/>
        <w:drawing>
          <wp:inline distT="0" distB="0" distL="0" distR="0" wp14:anchorId="38FFD3C0" wp14:editId="496B477D">
            <wp:extent cx="5544000" cy="7713390"/>
            <wp:effectExtent l="0" t="0" r="5080" b="7620"/>
            <wp:docPr id="165971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44000" cy="7713390"/>
                    </a:xfrm>
                    <a:prstGeom prst="rect">
                      <a:avLst/>
                    </a:prstGeom>
                    <a:noFill/>
                    <a:ln>
                      <a:noFill/>
                    </a:ln>
                  </pic:spPr>
                </pic:pic>
              </a:graphicData>
            </a:graphic>
          </wp:inline>
        </w:drawing>
      </w:r>
    </w:p>
    <w:p w14:paraId="10E9E56B" w14:textId="77777777" w:rsidR="002A6ACB" w:rsidRPr="005835F7" w:rsidRDefault="002A6ACB" w:rsidP="002A6ACB">
      <w:pPr>
        <w:pStyle w:val="Caption"/>
        <w:rPr>
          <w:rFonts w:cs="Times New Roman"/>
          <w:color w:val="000000" w:themeColor="text1"/>
          <w:sz w:val="24"/>
          <w:szCs w:val="24"/>
        </w:rPr>
      </w:pPr>
      <w:r w:rsidRPr="005835F7">
        <w:rPr>
          <w:rFonts w:cs="Times New Roman"/>
          <w:color w:val="000000" w:themeColor="text1"/>
          <w:sz w:val="24"/>
          <w:szCs w:val="24"/>
          <w:highlight w:val="yellow"/>
        </w:rPr>
        <w:t xml:space="preserve">Figure 1. Archived full-feature TECR-Net architecture for retrospective next-year recorded-INC analysis (historical feature availability not established). </w:t>
      </w:r>
    </w:p>
    <w:p w14:paraId="5913726E" w14:textId="77777777" w:rsidR="009A4EB4" w:rsidRDefault="009A4EB4" w:rsidP="006E6660">
      <w:pPr>
        <w:pStyle w:val="Heading2"/>
        <w:rPr>
          <w:rFonts w:ascii="Times New Roman" w:eastAsia="Times New Roman" w:hAnsi="Times New Roman" w:cs="Times New Roman"/>
          <w:b w:val="0"/>
          <w:bCs w:val="0"/>
          <w:color w:val="000000" w:themeColor="text1"/>
          <w:sz w:val="24"/>
          <w:szCs w:val="24"/>
        </w:rPr>
      </w:pPr>
      <w:r w:rsidRPr="009A4EB4">
        <w:rPr>
          <w:rFonts w:ascii="Times New Roman" w:eastAsia="Times New Roman" w:hAnsi="Times New Roman" w:cs="Times New Roman"/>
          <w:b w:val="0"/>
          <w:bCs w:val="0"/>
          <w:color w:val="000000" w:themeColor="text1"/>
          <w:sz w:val="24"/>
          <w:szCs w:val="24"/>
        </w:rPr>
        <w:t>As illustrated in Figure 1, the retrospectively constructed platform-year panel creates the true t−2, t−1, and t histories. For the full-fledged version stored in the archives, the 3×26 dynamic tensor undergoes global feature gating, bidirectional GRU, and temporal attention; three static numerical features and eight categorical features are concurrently transformed. These 80-dimensional vectors are then combined via learned cross-modal attention and residual mean pathway prior to classification. The dotted line for the target denotes the fact that the recorded INC value at t+1 serves only as the supervision signal.</w:t>
      </w:r>
    </w:p>
    <w:p w14:paraId="07E92F5D" w14:textId="157232CC"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lastRenderedPageBreak/>
        <w:t>3.2 Data Integration</w:t>
      </w:r>
    </w:p>
    <w:p w14:paraId="17CAB2F8" w14:textId="7DC16F03" w:rsidR="009C6E2A" w:rsidRPr="005835F7" w:rsidRDefault="009A4EB4" w:rsidP="009C6E2A">
      <w:pPr>
        <w:keepNext/>
        <w:spacing w:after="100"/>
        <w:rPr>
          <w:rFonts w:cs="Times New Roman"/>
          <w:color w:val="000000" w:themeColor="text1"/>
          <w:sz w:val="24"/>
          <w:szCs w:val="24"/>
          <w:lang w:val="en-IN"/>
        </w:rPr>
      </w:pPr>
      <w:r w:rsidRPr="009A4EB4">
        <w:rPr>
          <w:rFonts w:cs="Times New Roman"/>
          <w:color w:val="000000" w:themeColor="text1"/>
          <w:sz w:val="24"/>
          <w:szCs w:val="24"/>
          <w:highlight w:val="yellow"/>
        </w:rPr>
        <w:t>Archival files on public BSEE releases for platform structures, platform-level production, platform INCs, operator inspections and INCs, accident investigations, and companies and lease ownership were merged at the platform-year level. The date of download from the original archives was not recorded; therefore, exact reconstruction of the original data vintage is impossible and is mentioned as a limitation. The release comparison audit performed on 17 October 2026 preserved the file hashes and found ongoing changes, with 127 new or changed rows for platform-INC in 2026 showing publication delay. The number of unique platform-years in the archived full panel was 148,672, and in the archived model panel, it was 141,730, with a difference of 6,942 rows. In the original design based on production linkage, there were 13,416 histories in the full panel for which the t−2 to t histories were exact and a t+1 observation row existed, while in the frozen panel, their number was 12,280; however, in all the missing histories, the t+1 row was missing in the model panel. Production was aggregated into platform years and merged to the structure, platform INCs, operator year inspection and enforcement, and lease year accident data.</w:t>
      </w:r>
      <w:r w:rsidRPr="009A4EB4">
        <w:rPr>
          <w:highlight w:val="yellow"/>
        </w:rPr>
        <w:t xml:space="preserve"> </w:t>
      </w:r>
      <w:r w:rsidRPr="009A4EB4">
        <w:rPr>
          <w:rFonts w:cs="Times New Roman"/>
          <w:color w:val="000000" w:themeColor="text1"/>
          <w:sz w:val="24"/>
          <w:szCs w:val="24"/>
          <w:highlight w:val="yellow"/>
        </w:rPr>
        <w:t xml:space="preserve">The archived panel is the foundation of the archived results; the corrected-cohort analysis in the corrected reconstruction analysis is a distinct reconstruction and its statistics should not be blended into the same results. The archived model assumes feature year 2014 due to the fact that it is the earliest year available in the frozen analysis pipeline which has at least three years of history as well as overlapping predictor generation. Year-specific source-specific completeness was not maintained and hence 2014 is a limitation of analysis and not a verified starting point for completeness in BSEE coverage. Production data in the archived builder is aggregated using normalized platform key and calendar year while operator, lease, area and block are from the last production data record in the year. Structure data is joined using normalized platform key after resolving duplicates, platform INCs using platform key and INC issue year, operator inspection/enforcement aggregates using operator code and year, and accident proxies using lease and </w:t>
      </w:r>
      <w:proofErr w:type="spellStart"/>
      <w:proofErr w:type="gramStart"/>
      <w:r w:rsidRPr="009A4EB4">
        <w:rPr>
          <w:rFonts w:cs="Times New Roman"/>
          <w:color w:val="000000" w:themeColor="text1"/>
          <w:sz w:val="24"/>
          <w:szCs w:val="24"/>
          <w:highlight w:val="yellow"/>
        </w:rPr>
        <w:t>year.</w:t>
      </w:r>
      <w:r w:rsidR="009C6E2A" w:rsidRPr="009A4EB4">
        <w:rPr>
          <w:rFonts w:cs="Times New Roman"/>
          <w:color w:val="000000" w:themeColor="text1"/>
          <w:sz w:val="24"/>
          <w:szCs w:val="24"/>
          <w:highlight w:val="yellow"/>
        </w:rPr>
        <w:t>Complete</w:t>
      </w:r>
      <w:proofErr w:type="spellEnd"/>
      <w:proofErr w:type="gramEnd"/>
      <w:r w:rsidR="009C6E2A" w:rsidRPr="009A4EB4">
        <w:rPr>
          <w:rFonts w:cs="Times New Roman"/>
          <w:color w:val="000000" w:themeColor="text1"/>
          <w:sz w:val="24"/>
          <w:szCs w:val="24"/>
          <w:highlight w:val="yellow"/>
        </w:rPr>
        <w:t xml:space="preserve"> unmatched-row counts were not retained. Historical operator responsibility therefore represents the operator recorded in the final monthly production row, not a separately verified dated ownership assignment.</w:t>
      </w:r>
    </w:p>
    <w:p w14:paraId="56407FB3" w14:textId="77777777" w:rsidR="009C6E2A" w:rsidRPr="005835F7" w:rsidRDefault="009C6E2A" w:rsidP="006E6660">
      <w:pPr>
        <w:keepNext/>
        <w:spacing w:after="100"/>
        <w:rPr>
          <w:rFonts w:cs="Times New Roman"/>
          <w:color w:val="000000" w:themeColor="text1"/>
          <w:sz w:val="24"/>
          <w:szCs w:val="24"/>
        </w:rPr>
      </w:pPr>
    </w:p>
    <w:p w14:paraId="036FEB4B"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Table 2. Model input groups and information timing</w:t>
      </w:r>
    </w:p>
    <w:tbl>
      <w:tblPr>
        <w:tblStyle w:val="TableGrid"/>
        <w:tblW w:w="0" w:type="auto"/>
        <w:tblLook w:val="04A0" w:firstRow="1" w:lastRow="0" w:firstColumn="1" w:lastColumn="0" w:noHBand="0" w:noVBand="1"/>
      </w:tblPr>
      <w:tblGrid>
        <w:gridCol w:w="1783"/>
        <w:gridCol w:w="965"/>
        <w:gridCol w:w="4458"/>
        <w:gridCol w:w="2154"/>
      </w:tblGrid>
      <w:tr w:rsidR="00012482" w:rsidRPr="005835F7" w14:paraId="3FE47F2D" w14:textId="77777777" w:rsidTr="005835F7">
        <w:tc>
          <w:tcPr>
            <w:tcW w:w="1783" w:type="dxa"/>
          </w:tcPr>
          <w:p w14:paraId="77A259FC"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Group</w:t>
            </w:r>
          </w:p>
        </w:tc>
        <w:tc>
          <w:tcPr>
            <w:tcW w:w="965" w:type="dxa"/>
          </w:tcPr>
          <w:p w14:paraId="2A630C2A"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Count</w:t>
            </w:r>
          </w:p>
        </w:tc>
        <w:tc>
          <w:tcPr>
            <w:tcW w:w="4458" w:type="dxa"/>
          </w:tcPr>
          <w:p w14:paraId="34D66539"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Content</w:t>
            </w:r>
          </w:p>
        </w:tc>
        <w:tc>
          <w:tcPr>
            <w:tcW w:w="2154" w:type="dxa"/>
          </w:tcPr>
          <w:p w14:paraId="1FF61DDE"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Use</w:t>
            </w:r>
          </w:p>
        </w:tc>
      </w:tr>
      <w:tr w:rsidR="00012482" w:rsidRPr="005835F7" w14:paraId="5C1DF3CD" w14:textId="77777777" w:rsidTr="005835F7">
        <w:tc>
          <w:tcPr>
            <w:tcW w:w="1783" w:type="dxa"/>
          </w:tcPr>
          <w:p w14:paraId="3BEFBDA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 base</w:t>
            </w:r>
          </w:p>
        </w:tc>
        <w:tc>
          <w:tcPr>
            <w:tcW w:w="965" w:type="dxa"/>
          </w:tcPr>
          <w:p w14:paraId="774BCDD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20</w:t>
            </w:r>
          </w:p>
        </w:tc>
        <w:tc>
          <w:tcPr>
            <w:tcW w:w="4458" w:type="dxa"/>
          </w:tcPr>
          <w:p w14:paraId="32249BF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Production, wells, activity, change, age, operator activity, lagged accident indicators</w:t>
            </w:r>
          </w:p>
        </w:tc>
        <w:tc>
          <w:tcPr>
            <w:tcW w:w="2154" w:type="dxa"/>
          </w:tcPr>
          <w:p w14:paraId="417FBA6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Each of t−2, t−1, t</w:t>
            </w:r>
          </w:p>
        </w:tc>
      </w:tr>
      <w:tr w:rsidR="00012482" w:rsidRPr="005835F7" w14:paraId="7DE0171B" w14:textId="77777777" w:rsidTr="005835F7">
        <w:tc>
          <w:tcPr>
            <w:tcW w:w="1783" w:type="dxa"/>
          </w:tcPr>
          <w:p w14:paraId="041EF42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Current compliance</w:t>
            </w:r>
          </w:p>
        </w:tc>
        <w:tc>
          <w:tcPr>
            <w:tcW w:w="965" w:type="dxa"/>
          </w:tcPr>
          <w:p w14:paraId="3288B57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6</w:t>
            </w:r>
          </w:p>
        </w:tc>
        <w:tc>
          <w:tcPr>
            <w:tcW w:w="4458" w:type="dxa"/>
          </w:tcPr>
          <w:p w14:paraId="41A5518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Year-specific INC, warning, shut-in, and inspection-derived history</w:t>
            </w:r>
          </w:p>
        </w:tc>
        <w:tc>
          <w:tcPr>
            <w:tcW w:w="2154" w:type="dxa"/>
          </w:tcPr>
          <w:p w14:paraId="7E3622C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Enhanced supervision only</w:t>
            </w:r>
          </w:p>
        </w:tc>
      </w:tr>
      <w:tr w:rsidR="00012482" w:rsidRPr="005835F7" w14:paraId="53F30A82" w14:textId="77777777" w:rsidTr="005835F7">
        <w:tc>
          <w:tcPr>
            <w:tcW w:w="1783" w:type="dxa"/>
          </w:tcPr>
          <w:p w14:paraId="18E374A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Static numerical</w:t>
            </w:r>
          </w:p>
        </w:tc>
        <w:tc>
          <w:tcPr>
            <w:tcW w:w="965" w:type="dxa"/>
          </w:tcPr>
          <w:p w14:paraId="68FED84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3</w:t>
            </w:r>
          </w:p>
        </w:tc>
        <w:tc>
          <w:tcPr>
            <w:tcW w:w="4458" w:type="dxa"/>
          </w:tcPr>
          <w:p w14:paraId="13BCCD34"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Water depth, latitude, and longitude</w:t>
            </w:r>
          </w:p>
        </w:tc>
        <w:tc>
          <w:tcPr>
            <w:tcW w:w="2154" w:type="dxa"/>
          </w:tcPr>
          <w:p w14:paraId="4D19057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Once per sequence</w:t>
            </w:r>
          </w:p>
        </w:tc>
      </w:tr>
      <w:tr w:rsidR="00012482" w:rsidRPr="005835F7" w14:paraId="4B52AD76" w14:textId="77777777" w:rsidTr="005835F7">
        <w:tc>
          <w:tcPr>
            <w:tcW w:w="1783" w:type="dxa"/>
          </w:tcPr>
          <w:p w14:paraId="2DE6EF2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965" w:type="dxa"/>
          </w:tcPr>
          <w:p w14:paraId="0F70668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8</w:t>
            </w:r>
          </w:p>
        </w:tc>
        <w:tc>
          <w:tcPr>
            <w:tcW w:w="4458" w:type="dxa"/>
          </w:tcPr>
          <w:p w14:paraId="661B3DC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Area, structure and operating-context categories</w:t>
            </w:r>
          </w:p>
        </w:tc>
        <w:tc>
          <w:tcPr>
            <w:tcW w:w="2154" w:type="dxa"/>
          </w:tcPr>
          <w:p w14:paraId="3E1F217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Training-derived vocabulary</w:t>
            </w:r>
          </w:p>
        </w:tc>
      </w:tr>
      <w:tr w:rsidR="00012482" w:rsidRPr="005835F7" w14:paraId="150F6596" w14:textId="77777777" w:rsidTr="005835F7">
        <w:tc>
          <w:tcPr>
            <w:tcW w:w="1783" w:type="dxa"/>
          </w:tcPr>
          <w:p w14:paraId="3DD577A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Metadata</w:t>
            </w:r>
          </w:p>
        </w:tc>
        <w:tc>
          <w:tcPr>
            <w:tcW w:w="965" w:type="dxa"/>
          </w:tcPr>
          <w:p w14:paraId="415C688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w:t>
            </w:r>
          </w:p>
        </w:tc>
        <w:tc>
          <w:tcPr>
            <w:tcW w:w="4458" w:type="dxa"/>
          </w:tcPr>
          <w:p w14:paraId="112316F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lease, operator, complex, and grouping identifiers</w:t>
            </w:r>
          </w:p>
        </w:tc>
        <w:tc>
          <w:tcPr>
            <w:tcW w:w="2154" w:type="dxa"/>
          </w:tcPr>
          <w:p w14:paraId="0A34578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Not predictive inputs</w:t>
            </w:r>
          </w:p>
        </w:tc>
      </w:tr>
      <w:tr w:rsidR="00012482" w:rsidRPr="005835F7" w14:paraId="636D6938" w14:textId="77777777" w:rsidTr="005835F7">
        <w:tc>
          <w:tcPr>
            <w:tcW w:w="1783" w:type="dxa"/>
          </w:tcPr>
          <w:p w14:paraId="0AB8E92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Prohibited</w:t>
            </w:r>
          </w:p>
        </w:tc>
        <w:tc>
          <w:tcPr>
            <w:tcW w:w="965" w:type="dxa"/>
          </w:tcPr>
          <w:p w14:paraId="72D5902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w:t>
            </w:r>
          </w:p>
        </w:tc>
        <w:tc>
          <w:tcPr>
            <w:tcW w:w="4458" w:type="dxa"/>
          </w:tcPr>
          <w:p w14:paraId="0608F6B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Future targets, next_year fields, removal timing</w:t>
            </w:r>
          </w:p>
        </w:tc>
        <w:tc>
          <w:tcPr>
            <w:tcW w:w="2154" w:type="dxa"/>
          </w:tcPr>
          <w:p w14:paraId="20EDF21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Excluded before fitting</w:t>
            </w:r>
          </w:p>
        </w:tc>
      </w:tr>
    </w:tbl>
    <w:p w14:paraId="776A75C3" w14:textId="77777777" w:rsidR="006E6660"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highlight w:val="yellow"/>
        </w:rPr>
        <w:t xml:space="preserve">Table 2 shows that the archived experimental network used 26 dynamic variables at each of </w:t>
      </w:r>
      <w:proofErr w:type="gramStart"/>
      <w:r w:rsidRPr="005835F7">
        <w:rPr>
          <w:rFonts w:cs="Times New Roman"/>
          <w:color w:val="000000" w:themeColor="text1"/>
          <w:sz w:val="24"/>
          <w:szCs w:val="24"/>
          <w:highlight w:val="yellow"/>
        </w:rPr>
        <w:t>three time</w:t>
      </w:r>
      <w:proofErr w:type="gramEnd"/>
      <w:r w:rsidRPr="005835F7">
        <w:rPr>
          <w:rFonts w:cs="Times New Roman"/>
          <w:color w:val="000000" w:themeColor="text1"/>
          <w:sz w:val="24"/>
          <w:szCs w:val="24"/>
          <w:highlight w:val="yellow"/>
        </w:rPr>
        <w:t xml:space="preserve"> steps, together with three static numerical and eight categorical variables. Identifiers were omitted from the archived prediction feature whitelist; however, exclusion of explicit future columns does not establish historical availability of snapshot-derived inputs.</w:t>
      </w:r>
    </w:p>
    <w:p w14:paraId="4A34B3AC" w14:textId="77777777"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3.3 Temporal Design and Development Cohort</w:t>
      </w:r>
    </w:p>
    <w:p w14:paraId="62DDB4CF" w14:textId="77777777" w:rsidR="00012482"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rPr>
        <w:t xml:space="preserve">Table 3 documents the retrospective chronology. The 2020–2021 cohort was used for TECR-Net hyperparameter selection, early stopping, probability mapping, threshold selection, ablation, and performance reporting. Its results are therefore apparent development estimates, not independent validation estimates. The 2022–2024 cohort was inspected repeatedly during model development and is reported only for exploratory chronological accounting. It cannot provide independent confirmation. Moreover, feature year 2024 requires outcomes from 2025, whose reporting completeness was not </w:t>
      </w:r>
      <w:r w:rsidRPr="005835F7">
        <w:rPr>
          <w:rFonts w:cs="Times New Roman"/>
          <w:color w:val="000000" w:themeColor="text1"/>
          <w:sz w:val="24"/>
          <w:szCs w:val="24"/>
        </w:rPr>
        <w:lastRenderedPageBreak/>
        <w:t>verified. No claim of external validity, generalizability, predictive superiority, or deployment readiness is made.</w:t>
      </w:r>
    </w:p>
    <w:p w14:paraId="6E6E558B"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Table 3. Temporal protocol and cohort sizes</w:t>
      </w:r>
    </w:p>
    <w:tbl>
      <w:tblPr>
        <w:tblStyle w:val="TableGrid"/>
        <w:tblW w:w="0" w:type="auto"/>
        <w:tblLook w:val="04A0" w:firstRow="1" w:lastRow="0" w:firstColumn="1" w:lastColumn="0" w:noHBand="0" w:noVBand="1"/>
      </w:tblPr>
      <w:tblGrid>
        <w:gridCol w:w="2417"/>
        <w:gridCol w:w="1417"/>
        <w:gridCol w:w="1470"/>
        <w:gridCol w:w="1423"/>
        <w:gridCol w:w="1500"/>
        <w:gridCol w:w="1167"/>
      </w:tblGrid>
      <w:tr w:rsidR="00012482" w:rsidRPr="005835F7" w14:paraId="4331DE24" w14:textId="77777777" w:rsidTr="005835F7">
        <w:trPr>
          <w:trHeight w:val="881"/>
        </w:trPr>
        <w:tc>
          <w:tcPr>
            <w:tcW w:w="2417" w:type="dxa"/>
          </w:tcPr>
          <w:p w14:paraId="19D4A85D" w14:textId="77777777" w:rsidR="00E8555E"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Role</w:t>
            </w:r>
          </w:p>
        </w:tc>
        <w:tc>
          <w:tcPr>
            <w:tcW w:w="1417" w:type="dxa"/>
          </w:tcPr>
          <w:p w14:paraId="0E4BBCCC" w14:textId="77777777" w:rsidR="00E8555E"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Feature years</w:t>
            </w:r>
          </w:p>
        </w:tc>
        <w:tc>
          <w:tcPr>
            <w:tcW w:w="1470" w:type="dxa"/>
          </w:tcPr>
          <w:p w14:paraId="0A969CC1" w14:textId="77777777" w:rsidR="00E8555E"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Sequences</w:t>
            </w:r>
          </w:p>
        </w:tc>
        <w:tc>
          <w:tcPr>
            <w:tcW w:w="1423" w:type="dxa"/>
          </w:tcPr>
          <w:p w14:paraId="4F0845E5" w14:textId="77777777" w:rsidR="00E8555E"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Platforms</w:t>
            </w:r>
          </w:p>
        </w:tc>
        <w:tc>
          <w:tcPr>
            <w:tcW w:w="1500" w:type="dxa"/>
          </w:tcPr>
          <w:p w14:paraId="0B6E3B5C" w14:textId="77777777" w:rsidR="00E8555E"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Positive labels</w:t>
            </w:r>
          </w:p>
        </w:tc>
        <w:tc>
          <w:tcPr>
            <w:tcW w:w="1167" w:type="dxa"/>
          </w:tcPr>
          <w:p w14:paraId="1EE7F1BF" w14:textId="77777777" w:rsidR="00E8555E"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Label rate</w:t>
            </w:r>
          </w:p>
        </w:tc>
      </w:tr>
      <w:tr w:rsidR="00E8555E" w:rsidRPr="005835F7" w14:paraId="6375E30A" w14:textId="77777777" w:rsidTr="005835F7">
        <w:trPr>
          <w:trHeight w:val="1088"/>
        </w:trPr>
        <w:tc>
          <w:tcPr>
            <w:tcW w:w="2417" w:type="dxa"/>
          </w:tcPr>
          <w:p w14:paraId="6B23D5EE"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Model fitting</w:t>
            </w:r>
          </w:p>
        </w:tc>
        <w:tc>
          <w:tcPr>
            <w:tcW w:w="1417" w:type="dxa"/>
          </w:tcPr>
          <w:p w14:paraId="58D2F6E8"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2014–2019</w:t>
            </w:r>
          </w:p>
        </w:tc>
        <w:tc>
          <w:tcPr>
            <w:tcW w:w="1470" w:type="dxa"/>
          </w:tcPr>
          <w:p w14:paraId="30570E67"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8,200</w:t>
            </w:r>
          </w:p>
        </w:tc>
        <w:tc>
          <w:tcPr>
            <w:tcW w:w="1423" w:type="dxa"/>
          </w:tcPr>
          <w:p w14:paraId="16D06362"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1,607</w:t>
            </w:r>
          </w:p>
        </w:tc>
        <w:tc>
          <w:tcPr>
            <w:tcW w:w="1500" w:type="dxa"/>
          </w:tcPr>
          <w:p w14:paraId="53815189"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538</w:t>
            </w:r>
          </w:p>
        </w:tc>
        <w:tc>
          <w:tcPr>
            <w:tcW w:w="1167" w:type="dxa"/>
          </w:tcPr>
          <w:p w14:paraId="2321D1AF"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6.56%</w:t>
            </w:r>
          </w:p>
        </w:tc>
      </w:tr>
      <w:tr w:rsidR="00E8555E" w:rsidRPr="005835F7" w14:paraId="2BBE2252" w14:textId="77777777" w:rsidTr="005835F7">
        <w:trPr>
          <w:trHeight w:val="1106"/>
        </w:trPr>
        <w:tc>
          <w:tcPr>
            <w:tcW w:w="2417" w:type="dxa"/>
          </w:tcPr>
          <w:p w14:paraId="3C93E6E0"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Development and selection</w:t>
            </w:r>
          </w:p>
        </w:tc>
        <w:tc>
          <w:tcPr>
            <w:tcW w:w="1417" w:type="dxa"/>
          </w:tcPr>
          <w:p w14:paraId="110CFCF7"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2020–2021</w:t>
            </w:r>
          </w:p>
        </w:tc>
        <w:tc>
          <w:tcPr>
            <w:tcW w:w="1470" w:type="dxa"/>
          </w:tcPr>
          <w:p w14:paraId="3A513E30"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1,884</w:t>
            </w:r>
          </w:p>
        </w:tc>
        <w:tc>
          <w:tcPr>
            <w:tcW w:w="1423" w:type="dxa"/>
          </w:tcPr>
          <w:p w14:paraId="59CB8297"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982</w:t>
            </w:r>
          </w:p>
        </w:tc>
        <w:tc>
          <w:tcPr>
            <w:tcW w:w="1500" w:type="dxa"/>
          </w:tcPr>
          <w:p w14:paraId="6F5DBBCF"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67</w:t>
            </w:r>
          </w:p>
        </w:tc>
        <w:tc>
          <w:tcPr>
            <w:tcW w:w="1167" w:type="dxa"/>
          </w:tcPr>
          <w:p w14:paraId="79FAF60C"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3.56%</w:t>
            </w:r>
          </w:p>
        </w:tc>
      </w:tr>
      <w:tr w:rsidR="00E8555E" w:rsidRPr="005835F7" w14:paraId="32048DD5" w14:textId="77777777" w:rsidTr="005835F7">
        <w:trPr>
          <w:trHeight w:val="1106"/>
        </w:trPr>
        <w:tc>
          <w:tcPr>
            <w:tcW w:w="2417" w:type="dxa"/>
          </w:tcPr>
          <w:p w14:paraId="38377649"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Exploratory later cohort</w:t>
            </w:r>
          </w:p>
        </w:tc>
        <w:tc>
          <w:tcPr>
            <w:tcW w:w="1417" w:type="dxa"/>
          </w:tcPr>
          <w:p w14:paraId="42C1A7D6"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2022–2024</w:t>
            </w:r>
          </w:p>
        </w:tc>
        <w:tc>
          <w:tcPr>
            <w:tcW w:w="1470" w:type="dxa"/>
          </w:tcPr>
          <w:p w14:paraId="1A508400"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2,196</w:t>
            </w:r>
          </w:p>
        </w:tc>
        <w:tc>
          <w:tcPr>
            <w:tcW w:w="1423" w:type="dxa"/>
          </w:tcPr>
          <w:p w14:paraId="1DE4C3E0"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876</w:t>
            </w:r>
          </w:p>
        </w:tc>
        <w:tc>
          <w:tcPr>
            <w:tcW w:w="1500" w:type="dxa"/>
          </w:tcPr>
          <w:p w14:paraId="6C3B33FA"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94</w:t>
            </w:r>
          </w:p>
        </w:tc>
        <w:tc>
          <w:tcPr>
            <w:tcW w:w="1167" w:type="dxa"/>
          </w:tcPr>
          <w:p w14:paraId="3645E23A"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4.28%</w:t>
            </w:r>
          </w:p>
        </w:tc>
      </w:tr>
      <w:tr w:rsidR="00E8555E" w:rsidRPr="005835F7" w14:paraId="63C6B6C6" w14:textId="77777777" w:rsidTr="005835F7">
        <w:trPr>
          <w:trHeight w:val="1106"/>
        </w:trPr>
        <w:tc>
          <w:tcPr>
            <w:tcW w:w="2417" w:type="dxa"/>
          </w:tcPr>
          <w:p w14:paraId="73C1F825"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Total eligible sequences</w:t>
            </w:r>
          </w:p>
        </w:tc>
        <w:tc>
          <w:tcPr>
            <w:tcW w:w="1417" w:type="dxa"/>
          </w:tcPr>
          <w:p w14:paraId="7359A67D"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2014–2024</w:t>
            </w:r>
          </w:p>
        </w:tc>
        <w:tc>
          <w:tcPr>
            <w:tcW w:w="1470" w:type="dxa"/>
          </w:tcPr>
          <w:p w14:paraId="5154FDC6"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12,280</w:t>
            </w:r>
          </w:p>
        </w:tc>
        <w:tc>
          <w:tcPr>
            <w:tcW w:w="1423" w:type="dxa"/>
          </w:tcPr>
          <w:p w14:paraId="44987237"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w:t>
            </w:r>
          </w:p>
        </w:tc>
        <w:tc>
          <w:tcPr>
            <w:tcW w:w="1500" w:type="dxa"/>
          </w:tcPr>
          <w:p w14:paraId="2762874B"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699</w:t>
            </w:r>
          </w:p>
        </w:tc>
        <w:tc>
          <w:tcPr>
            <w:tcW w:w="1167" w:type="dxa"/>
          </w:tcPr>
          <w:p w14:paraId="09ECFD86"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5.69%</w:t>
            </w:r>
          </w:p>
        </w:tc>
      </w:tr>
    </w:tbl>
    <w:p w14:paraId="521129B4" w14:textId="63A9B4BD" w:rsidR="009A4EB4" w:rsidRPr="009A4EB4" w:rsidRDefault="009A4EB4" w:rsidP="009A4EB4">
      <w:pPr>
        <w:pStyle w:val="Heading2"/>
        <w:spacing w:after="120"/>
        <w:rPr>
          <w:rFonts w:ascii="Times New Roman" w:eastAsia="Times New Roman" w:hAnsi="Times New Roman" w:cs="Times New Roman"/>
          <w:b w:val="0"/>
          <w:bCs w:val="0"/>
          <w:color w:val="000000" w:themeColor="text1"/>
          <w:sz w:val="24"/>
          <w:szCs w:val="24"/>
        </w:rPr>
      </w:pPr>
      <w:r w:rsidRPr="009A4EB4">
        <w:rPr>
          <w:rFonts w:ascii="Times New Roman" w:eastAsia="Times New Roman" w:hAnsi="Times New Roman" w:cs="Times New Roman"/>
          <w:b w:val="0"/>
          <w:bCs w:val="0"/>
          <w:color w:val="000000" w:themeColor="text1"/>
          <w:sz w:val="24"/>
          <w:szCs w:val="24"/>
          <w:highlight w:val="yellow"/>
        </w:rPr>
        <w:t>Description of the original archival production-linked experiment is provided in Table 3. The eligibility criteria in this experiment stipulated feature years t-2, t-1, and t and a visible production-linked t+1 row, conditioning participation in the experiment on future activity. A subsequent reconciliation showed 1,136 histories that were otherwise eligible were excluded from the experiment at the t+1 model-panel step. The corrected reconceptualization then used eligibility in year t without requiring production in t+1, kept 8,562 platform-years without production in the current year, and yielded 22,957 calendar-exact histories. This corrects for the main production-continuation problem, although a full P2 pass is not guaranteed since installation and removal dates came from a more recent snapshot, eligibility according to regulations at each issuance date was not verified, and lack of an INC was not verified to be a negative outcome. The operational forecast convention thus consists of research information available at a documented cutoff after year t predicting an observed INC issuance in t+1; since source-specific publication lags are unknown, all analyses are retrospective.</w:t>
      </w:r>
    </w:p>
    <w:p w14:paraId="5EC97096" w14:textId="59C0BCA0" w:rsidR="00012482" w:rsidRPr="005835F7" w:rsidRDefault="00000000" w:rsidP="006E6660">
      <w:pPr>
        <w:pStyle w:val="Heading2"/>
        <w:spacing w:after="120" w:line="276" w:lineRule="auto"/>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3.4 Leakage Controls, Feature Provenance, and Preprocessing</w:t>
      </w:r>
    </w:p>
    <w:p w14:paraId="1E56CFDE" w14:textId="77777777" w:rsidR="009A4EB4" w:rsidRDefault="009A4EB4" w:rsidP="006E6660">
      <w:pPr>
        <w:spacing w:after="100"/>
        <w:rPr>
          <w:rFonts w:cs="Times New Roman"/>
          <w:color w:val="000000" w:themeColor="text1"/>
          <w:sz w:val="24"/>
          <w:szCs w:val="24"/>
        </w:rPr>
      </w:pPr>
      <w:r w:rsidRPr="009A4EB4">
        <w:rPr>
          <w:rFonts w:cs="Times New Roman"/>
          <w:color w:val="000000" w:themeColor="text1"/>
          <w:sz w:val="24"/>
          <w:szCs w:val="24"/>
        </w:rPr>
        <w:t>Preprocessing of numerical variables was computed solely on the basis of the fitting period. Outliers beyond the 1st and 99th percentiles of the fitting period were truncated, missing values were imputed using medians for the fitting period, and the resulting variables were robustly standardized using the medians and interquartile ranges of the fitting period. The same parameters saved during this preprocessing step were used without modification on the development set. The categories were also trained on the fitting set, where missing and new categories were labeled unknown.</w:t>
      </w:r>
    </w:p>
    <w:p w14:paraId="57EAC2D3" w14:textId="13E980EF" w:rsidR="009A4EB4" w:rsidRPr="009A4EB4" w:rsidRDefault="009A4EB4" w:rsidP="009A4EB4">
      <w:pPr>
        <w:spacing w:after="100"/>
        <w:rPr>
          <w:rFonts w:cs="Times New Roman"/>
          <w:color w:val="000000" w:themeColor="text1"/>
          <w:sz w:val="24"/>
          <w:szCs w:val="24"/>
        </w:rPr>
      </w:pPr>
      <w:r w:rsidRPr="009A4EB4">
        <w:rPr>
          <w:rFonts w:cs="Times New Roman"/>
          <w:color w:val="000000" w:themeColor="text1"/>
          <w:sz w:val="24"/>
          <w:szCs w:val="24"/>
          <w:highlight w:val="yellow"/>
        </w:rPr>
        <w:t xml:space="preserve">Installation, removal, datum-year and site-clearance variables have been detected from the source schema audit of the platform-structure dataset released. However, effective dates for individual attributes have not been detected. Installation dates could potentially be used to conduct platform existence validation; however, they do not validate the years when values for water depth, structure type, region, heliport, personnel attendance and manning became valid or available. The full-feature model does not make any historical availability claims on these attributes. No region code source attribute was identified as such; it is treated as derived. Operator inspection and enforcement counts are indexed by year, but they are not normalized by exposure of fleet and the historically responsible operator has not been independently verified. Accident values from lease-year periods may be shared </w:t>
      </w:r>
      <w:r w:rsidRPr="009A4EB4">
        <w:rPr>
          <w:rFonts w:cs="Times New Roman"/>
          <w:color w:val="000000" w:themeColor="text1"/>
          <w:sz w:val="24"/>
          <w:szCs w:val="24"/>
          <w:highlight w:val="yellow"/>
        </w:rPr>
        <w:lastRenderedPageBreak/>
        <w:t>among more than one platform; platforms-per-lease and unmatched event distribution has not been retained. These data are reported as retrospective contextual associations. A time valid model excluding unverifiable predictors has not been run yet.</w:t>
      </w:r>
    </w:p>
    <w:p w14:paraId="530720CF" w14:textId="327F479B" w:rsidR="00012482" w:rsidRPr="005835F7" w:rsidRDefault="006E6660" w:rsidP="006E6660">
      <w:pPr>
        <w:pStyle w:val="EquationCaption"/>
        <w:tabs>
          <w:tab w:val="center" w:pos="4320"/>
          <w:tab w:val="right" w:pos="8640"/>
        </w:tabs>
        <w:spacing w:before="120" w:after="120"/>
        <w:jc w:val="right"/>
        <w:rPr>
          <w:rFonts w:eastAsia="Times New Roman" w:cs="Times New Roman"/>
          <w:color w:val="000000" w:themeColor="text1"/>
          <w:szCs w:val="24"/>
        </w:rPr>
      </w:pPr>
      <w:r w:rsidRPr="005835F7">
        <w:rPr>
          <w:rFonts w:eastAsia="Times New Roman" w:cs="Times New Roman"/>
          <w:color w:val="000000" w:themeColor="text1"/>
          <w:szCs w:val="24"/>
        </w:rPr>
        <w:tab/>
      </w:r>
      <m:oMath>
        <m:r>
          <m:rPr>
            <m:sty m:val="p"/>
          </m:rPr>
          <w:rPr>
            <w:rFonts w:ascii="Cambria Math" w:hAnsi="Cambria Math" w:cs="Times New Roman"/>
            <w:color w:val="000000" w:themeColor="text1"/>
            <w:szCs w:val="24"/>
          </w:rPr>
          <m:t>x̃ⱼ = min</m:t>
        </m:r>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max</m:t>
            </m:r>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xⱼ, Qⱼ,0.01</m:t>
                </m:r>
              </m:e>
            </m:d>
            <m:r>
              <m:rPr>
                <m:sty m:val="p"/>
              </m:rPr>
              <w:rPr>
                <w:rFonts w:ascii="Cambria Math" w:hAnsi="Cambria Math" w:cs="Times New Roman"/>
                <w:color w:val="000000" w:themeColor="text1"/>
                <w:szCs w:val="24"/>
              </w:rPr>
              <m:t>, Qⱼ,0.99</m:t>
            </m:r>
          </m:e>
        </m:d>
        <m:r>
          <w:rPr>
            <w:rFonts w:ascii="Cambria Math" w:hAnsi="Cambria Math" w:cs="Times New Roman"/>
            <w:color w:val="000000" w:themeColor="text1"/>
            <w:szCs w:val="24"/>
          </w:rPr>
          <m:t xml:space="preserve">                                                                                                           </m:t>
        </m:r>
      </m:oMath>
      <w:r w:rsidRPr="005835F7">
        <w:rPr>
          <w:rFonts w:eastAsia="Times New Roman" w:cs="Times New Roman"/>
          <w:color w:val="000000" w:themeColor="text1"/>
          <w:szCs w:val="24"/>
        </w:rPr>
        <w:t>(3)</w:t>
      </w:r>
    </w:p>
    <w:p w14:paraId="538296DD" w14:textId="77777777" w:rsidR="00012482" w:rsidRPr="005835F7" w:rsidRDefault="006E6660" w:rsidP="006E6660">
      <w:pPr>
        <w:pStyle w:val="EquationCaption"/>
        <w:tabs>
          <w:tab w:val="center" w:pos="4320"/>
          <w:tab w:val="right" w:pos="8640"/>
        </w:tabs>
        <w:spacing w:before="120" w:after="120"/>
        <w:jc w:val="right"/>
        <w:rPr>
          <w:rFonts w:cs="Times New Roman"/>
          <w:color w:val="000000" w:themeColor="text1"/>
          <w:szCs w:val="24"/>
        </w:rPr>
      </w:pPr>
      <w:r w:rsidRPr="005835F7">
        <w:rPr>
          <w:rFonts w:eastAsia="Times New Roman" w:cs="Times New Roman"/>
          <w:color w:val="000000" w:themeColor="text1"/>
          <w:szCs w:val="24"/>
        </w:rPr>
        <w:tab/>
      </w:r>
      <m:oMath>
        <m:acc>
          <m:accPr>
            <m:ctrlPr>
              <w:rPr>
                <w:rFonts w:ascii="Cambria Math" w:hAnsi="Cambria Math" w:cs="Times New Roman"/>
                <w:color w:val="000000" w:themeColor="text1"/>
                <w:szCs w:val="24"/>
              </w:rPr>
            </m:ctrlPr>
          </m:accPr>
          <m:e>
            <m:r>
              <m:rPr>
                <m:sty m:val="p"/>
              </m:rPr>
              <w:rPr>
                <w:rFonts w:ascii="Cambria Math" w:hAnsi="Cambria Math" w:cs="Times New Roman"/>
                <w:color w:val="000000" w:themeColor="text1"/>
                <w:szCs w:val="24"/>
              </w:rPr>
              <m:t>x</m:t>
            </m:r>
          </m:e>
        </m:acc>
        <m:r>
          <m:rPr>
            <m:sty m:val="p"/>
          </m:rPr>
          <w:rPr>
            <w:rFonts w:ascii="Cambria Math" w:hAnsi="Cambria Math" w:cs="Times New Roman"/>
            <w:color w:val="000000" w:themeColor="text1"/>
            <w:szCs w:val="24"/>
          </w:rPr>
          <m:t xml:space="preserve">ⱼ = </m:t>
        </m:r>
        <m:acc>
          <m:accPr>
            <m:chr m:val="̃"/>
            <m:ctrlPr>
              <w:rPr>
                <w:rFonts w:ascii="Cambria Math" w:hAnsi="Cambria Math" w:cs="Times New Roman"/>
                <w:color w:val="000000" w:themeColor="text1"/>
                <w:szCs w:val="24"/>
              </w:rPr>
            </m:ctrlPr>
          </m:accPr>
          <m:e>
            <m:r>
              <m:rPr>
                <m:sty m:val="p"/>
              </m:rPr>
              <w:rPr>
                <w:rFonts w:ascii="Cambria Math" w:hAnsi="Cambria Math" w:cs="Times New Roman"/>
                <w:color w:val="000000" w:themeColor="text1"/>
                <w:szCs w:val="24"/>
              </w:rPr>
              <m:t>x</m:t>
            </m:r>
          </m:e>
        </m:acc>
        <m:r>
          <m:rPr>
            <m:sty m:val="p"/>
          </m:rPr>
          <w:rPr>
            <w:rFonts w:ascii="Cambria Math" w:hAnsi="Cambria Math" w:cs="Times New Roman"/>
            <w:color w:val="000000" w:themeColor="text1"/>
            <w:szCs w:val="24"/>
          </w:rPr>
          <m:t xml:space="preserve">ⱼ if observed; otherwise </m:t>
        </m:r>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median</m:t>
            </m:r>
          </m:e>
          <m:sub>
            <m:r>
              <m:rPr>
                <m:sty m:val="p"/>
              </m:rPr>
              <w:rPr>
                <w:rFonts w:ascii="Cambria Math" w:hAnsi="Cambria Math" w:cs="Times New Roman"/>
                <w:color w:val="000000" w:themeColor="text1"/>
                <w:szCs w:val="24"/>
              </w:rPr>
              <m:t>fit</m:t>
            </m:r>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xⱼ</m:t>
                </m:r>
              </m:e>
            </m:d>
          </m:sub>
        </m:sSub>
        <m:r>
          <w:rPr>
            <w:rFonts w:ascii="Cambria Math" w:hAnsi="Cambria Math" w:cs="Times New Roman"/>
            <w:color w:val="000000" w:themeColor="text1"/>
            <w:szCs w:val="24"/>
          </w:rPr>
          <m:t xml:space="preserve">                                                                                            </m:t>
        </m:r>
      </m:oMath>
      <w:r w:rsidRPr="005835F7">
        <w:rPr>
          <w:rFonts w:eastAsia="Times New Roman" w:cs="Times New Roman"/>
          <w:color w:val="000000" w:themeColor="text1"/>
          <w:szCs w:val="24"/>
        </w:rPr>
        <w:t>(4)</w:t>
      </w:r>
    </w:p>
    <w:p w14:paraId="53E28B2E" w14:textId="77777777" w:rsidR="00012482" w:rsidRPr="005835F7" w:rsidRDefault="006E6660" w:rsidP="006E6660">
      <w:pPr>
        <w:pStyle w:val="EquationCaption"/>
        <w:tabs>
          <w:tab w:val="center" w:pos="4320"/>
          <w:tab w:val="right" w:pos="8640"/>
        </w:tabs>
        <w:spacing w:before="120" w:after="120"/>
        <w:jc w:val="right"/>
        <w:rPr>
          <w:rFonts w:cs="Times New Roman"/>
          <w:color w:val="000000" w:themeColor="text1"/>
          <w:szCs w:val="24"/>
        </w:rPr>
      </w:pPr>
      <w:r w:rsidRPr="005835F7">
        <w:rPr>
          <w:rFonts w:eastAsia="Times New Roman" w:cs="Times New Roman"/>
          <w:color w:val="000000" w:themeColor="text1"/>
          <w:szCs w:val="24"/>
        </w:rPr>
        <w:tab/>
      </w:r>
      <m:oMath>
        <m:r>
          <m:rPr>
            <m:sty m:val="p"/>
          </m:rPr>
          <w:rPr>
            <w:rFonts w:ascii="Cambria Math" w:hAnsi="Cambria Math" w:cs="Times New Roman"/>
            <w:color w:val="000000" w:themeColor="text1"/>
            <w:szCs w:val="24"/>
          </w:rPr>
          <m:t xml:space="preserve">zⱼ = </m:t>
        </m:r>
        <m:f>
          <m:fPr>
            <m:ctrlPr>
              <w:rPr>
                <w:rFonts w:ascii="Cambria Math" w:hAnsi="Cambria Math" w:cs="Times New Roman"/>
                <w:color w:val="000000" w:themeColor="text1"/>
                <w:szCs w:val="24"/>
              </w:rPr>
            </m:ctrlPr>
          </m:fPr>
          <m:num>
            <m:r>
              <m:rPr>
                <m:sty m:val="p"/>
              </m:rPr>
              <w:rPr>
                <w:rFonts w:ascii="Cambria Math" w:hAnsi="Cambria Math" w:cs="Times New Roman"/>
                <w:color w:val="000000" w:themeColor="text1"/>
                <w:szCs w:val="24"/>
              </w:rPr>
              <m:t>x̂ⱼ - median_fit(xⱼ)</m:t>
            </m:r>
          </m:num>
          <m:den>
            <m:r>
              <m:rPr>
                <m:sty m:val="p"/>
              </m:rPr>
              <w:rPr>
                <w:rFonts w:ascii="Cambria Math" w:hAnsi="Cambria Math" w:cs="Times New Roman"/>
                <w:color w:val="000000" w:themeColor="text1"/>
                <w:szCs w:val="24"/>
              </w:rPr>
              <m:t>IQR_fit(xⱼ)</m:t>
            </m:r>
          </m:den>
        </m:f>
        <m:r>
          <w:rPr>
            <w:rFonts w:ascii="Cambria Math" w:eastAsia="Times New Roman" w:hAnsi="Cambria Math" w:cs="Times New Roman"/>
            <w:color w:val="000000" w:themeColor="text1"/>
            <w:szCs w:val="24"/>
          </w:rPr>
          <m:t xml:space="preserve">                                                                                                                                   </m:t>
        </m:r>
      </m:oMath>
      <w:r w:rsidRPr="005835F7">
        <w:rPr>
          <w:rFonts w:eastAsia="Times New Roman" w:cs="Times New Roman"/>
          <w:color w:val="000000" w:themeColor="text1"/>
          <w:szCs w:val="24"/>
        </w:rPr>
        <w:t xml:space="preserve">      (5)</w:t>
      </w:r>
    </w:p>
    <w:p w14:paraId="350236F5" w14:textId="77777777" w:rsidR="009055DD" w:rsidRPr="005835F7" w:rsidRDefault="009055DD" w:rsidP="009055DD">
      <w:pPr>
        <w:pStyle w:val="Caption"/>
        <w:rPr>
          <w:rFonts w:cs="Times New Roman"/>
          <w:b w:val="0"/>
          <w:bCs w:val="0"/>
          <w:color w:val="000000" w:themeColor="text1"/>
          <w:sz w:val="24"/>
          <w:szCs w:val="24"/>
          <w:lang w:val="en-IN"/>
        </w:rPr>
      </w:pPr>
      <w:r w:rsidRPr="005835F7">
        <w:rPr>
          <w:rFonts w:cs="Times New Roman"/>
          <w:color w:val="000000" w:themeColor="text1"/>
          <w:sz w:val="24"/>
          <w:szCs w:val="24"/>
        </w:rPr>
        <w:t>Table 4. Scoped leakage-prevention and temporal-integrity audit</w:t>
      </w:r>
    </w:p>
    <w:tbl>
      <w:tblPr>
        <w:tblStyle w:val="TableGrid"/>
        <w:tblW w:w="9951" w:type="dxa"/>
        <w:tblLook w:val="04A0" w:firstRow="1" w:lastRow="0" w:firstColumn="1" w:lastColumn="0" w:noHBand="0" w:noVBand="1"/>
      </w:tblPr>
      <w:tblGrid>
        <w:gridCol w:w="3038"/>
        <w:gridCol w:w="1291"/>
        <w:gridCol w:w="5622"/>
      </w:tblGrid>
      <w:tr w:rsidR="00012482" w:rsidRPr="005835F7" w14:paraId="36C24157" w14:textId="77777777" w:rsidTr="005835F7">
        <w:trPr>
          <w:trHeight w:val="295"/>
        </w:trPr>
        <w:tc>
          <w:tcPr>
            <w:tcW w:w="3038" w:type="dxa"/>
          </w:tcPr>
          <w:p w14:paraId="31032747" w14:textId="77777777" w:rsidR="00E8555E" w:rsidRPr="005835F7" w:rsidRDefault="00000000" w:rsidP="006E6660">
            <w:pPr>
              <w:spacing w:after="0"/>
              <w:jc w:val="left"/>
              <w:rPr>
                <w:rFonts w:cs="Times New Roman"/>
                <w:color w:val="000000" w:themeColor="text1"/>
                <w:sz w:val="24"/>
                <w:szCs w:val="24"/>
              </w:rPr>
            </w:pPr>
            <w:r w:rsidRPr="005835F7">
              <w:rPr>
                <w:rFonts w:cs="Times New Roman"/>
                <w:b/>
                <w:color w:val="000000" w:themeColor="text1"/>
                <w:sz w:val="24"/>
                <w:szCs w:val="24"/>
              </w:rPr>
              <w:t>Check</w:t>
            </w:r>
          </w:p>
        </w:tc>
        <w:tc>
          <w:tcPr>
            <w:tcW w:w="1291" w:type="dxa"/>
          </w:tcPr>
          <w:p w14:paraId="61069333" w14:textId="77777777" w:rsidR="00E8555E" w:rsidRPr="005835F7" w:rsidRDefault="00000000" w:rsidP="006E6660">
            <w:pPr>
              <w:spacing w:after="0"/>
              <w:jc w:val="left"/>
              <w:rPr>
                <w:rFonts w:cs="Times New Roman"/>
                <w:color w:val="000000" w:themeColor="text1"/>
                <w:sz w:val="24"/>
                <w:szCs w:val="24"/>
              </w:rPr>
            </w:pPr>
            <w:r w:rsidRPr="005835F7">
              <w:rPr>
                <w:rFonts w:cs="Times New Roman"/>
                <w:b/>
                <w:color w:val="000000" w:themeColor="text1"/>
                <w:sz w:val="24"/>
                <w:szCs w:val="24"/>
              </w:rPr>
              <w:t>Status</w:t>
            </w:r>
          </w:p>
        </w:tc>
        <w:tc>
          <w:tcPr>
            <w:tcW w:w="5622" w:type="dxa"/>
          </w:tcPr>
          <w:p w14:paraId="544A0582" w14:textId="77777777" w:rsidR="00E8555E" w:rsidRPr="005835F7" w:rsidRDefault="00000000" w:rsidP="006E6660">
            <w:pPr>
              <w:spacing w:after="0"/>
              <w:jc w:val="left"/>
              <w:rPr>
                <w:rFonts w:cs="Times New Roman"/>
                <w:color w:val="000000" w:themeColor="text1"/>
                <w:sz w:val="24"/>
                <w:szCs w:val="24"/>
              </w:rPr>
            </w:pPr>
            <w:r w:rsidRPr="005835F7">
              <w:rPr>
                <w:rFonts w:cs="Times New Roman"/>
                <w:b/>
                <w:color w:val="000000" w:themeColor="text1"/>
                <w:sz w:val="24"/>
                <w:szCs w:val="24"/>
              </w:rPr>
              <w:t>Interpretation</w:t>
            </w:r>
          </w:p>
        </w:tc>
      </w:tr>
      <w:tr w:rsidR="00E8555E" w:rsidRPr="005835F7" w14:paraId="417873E4" w14:textId="77777777" w:rsidTr="005835F7">
        <w:trPr>
          <w:trHeight w:val="295"/>
        </w:trPr>
        <w:tc>
          <w:tcPr>
            <w:tcW w:w="3038" w:type="dxa"/>
          </w:tcPr>
          <w:p w14:paraId="55517CC6"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Unique platform-year records</w:t>
            </w:r>
          </w:p>
        </w:tc>
        <w:tc>
          <w:tcPr>
            <w:tcW w:w="1291" w:type="dxa"/>
          </w:tcPr>
          <w:p w14:paraId="322C8D6D"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Pass</w:t>
            </w:r>
          </w:p>
        </w:tc>
        <w:tc>
          <w:tcPr>
            <w:tcW w:w="5622" w:type="dxa"/>
          </w:tcPr>
          <w:p w14:paraId="723A4BBD"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No duplicate platform-year records</w:t>
            </w:r>
          </w:p>
        </w:tc>
      </w:tr>
      <w:tr w:rsidR="00E8555E" w:rsidRPr="005835F7" w14:paraId="208F1BBB" w14:textId="77777777" w:rsidTr="005835F7">
        <w:trPr>
          <w:trHeight w:val="309"/>
        </w:trPr>
        <w:tc>
          <w:tcPr>
            <w:tcW w:w="3038" w:type="dxa"/>
          </w:tcPr>
          <w:p w14:paraId="4502D0C3"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Target fields in approved inputs</w:t>
            </w:r>
          </w:p>
        </w:tc>
        <w:tc>
          <w:tcPr>
            <w:tcW w:w="1291" w:type="dxa"/>
          </w:tcPr>
          <w:p w14:paraId="180FA800"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Pass</w:t>
            </w:r>
          </w:p>
        </w:tc>
        <w:tc>
          <w:tcPr>
            <w:tcW w:w="5622" w:type="dxa"/>
          </w:tcPr>
          <w:p w14:paraId="2BACD5B4"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No next_year or outcome variables in the feature whitelist</w:t>
            </w:r>
          </w:p>
        </w:tc>
      </w:tr>
      <w:tr w:rsidR="00E8555E" w:rsidRPr="005835F7" w14:paraId="08AE9635" w14:textId="77777777" w:rsidTr="005835F7">
        <w:trPr>
          <w:trHeight w:val="295"/>
        </w:trPr>
        <w:tc>
          <w:tcPr>
            <w:tcW w:w="3038" w:type="dxa"/>
          </w:tcPr>
          <w:p w14:paraId="2D279765"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Future or removal fields in inputs</w:t>
            </w:r>
          </w:p>
        </w:tc>
        <w:tc>
          <w:tcPr>
            <w:tcW w:w="1291" w:type="dxa"/>
          </w:tcPr>
          <w:p w14:paraId="62E7DBF3"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Pass</w:t>
            </w:r>
          </w:p>
        </w:tc>
        <w:tc>
          <w:tcPr>
            <w:tcW w:w="5622" w:type="dxa"/>
          </w:tcPr>
          <w:p w14:paraId="73EDE672"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No removal timing or future fields in predictive inputs</w:t>
            </w:r>
          </w:p>
        </w:tc>
      </w:tr>
      <w:tr w:rsidR="00E8555E" w:rsidRPr="005835F7" w14:paraId="6B05DDA3" w14:textId="77777777" w:rsidTr="005835F7">
        <w:trPr>
          <w:trHeight w:val="295"/>
        </w:trPr>
        <w:tc>
          <w:tcPr>
            <w:tcW w:w="3038" w:type="dxa"/>
          </w:tcPr>
          <w:p w14:paraId="2CC52D39"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Identifiers in feature whitelist</w:t>
            </w:r>
          </w:p>
        </w:tc>
        <w:tc>
          <w:tcPr>
            <w:tcW w:w="1291" w:type="dxa"/>
          </w:tcPr>
          <w:p w14:paraId="23649F80"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Pass</w:t>
            </w:r>
          </w:p>
        </w:tc>
        <w:tc>
          <w:tcPr>
            <w:tcW w:w="5622" w:type="dxa"/>
          </w:tcPr>
          <w:p w14:paraId="6647C964"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Identifiers retained only for grouping and reporting</w:t>
            </w:r>
          </w:p>
        </w:tc>
      </w:tr>
      <w:tr w:rsidR="00E8555E" w:rsidRPr="005835F7" w14:paraId="272CB6DF" w14:textId="77777777" w:rsidTr="005835F7">
        <w:trPr>
          <w:trHeight w:val="295"/>
        </w:trPr>
        <w:tc>
          <w:tcPr>
            <w:tcW w:w="3038" w:type="dxa"/>
          </w:tcPr>
          <w:p w14:paraId="5B14AE06"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Consecutive three-year windows</w:t>
            </w:r>
          </w:p>
        </w:tc>
        <w:tc>
          <w:tcPr>
            <w:tcW w:w="1291" w:type="dxa"/>
          </w:tcPr>
          <w:p w14:paraId="4365071A"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Pass</w:t>
            </w:r>
          </w:p>
        </w:tc>
        <w:tc>
          <w:tcPr>
            <w:tcW w:w="5622" w:type="dxa"/>
          </w:tcPr>
          <w:p w14:paraId="15CE5201"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No calendar-spacing violations in constructed sequences</w:t>
            </w:r>
          </w:p>
        </w:tc>
      </w:tr>
      <w:tr w:rsidR="00E8555E" w:rsidRPr="005835F7" w14:paraId="33AA21D2" w14:textId="77777777" w:rsidTr="005835F7">
        <w:trPr>
          <w:trHeight w:val="592"/>
        </w:trPr>
        <w:tc>
          <w:tcPr>
            <w:tcW w:w="3038" w:type="dxa"/>
          </w:tcPr>
          <w:p w14:paraId="79705FED"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Immediate next-year label alignment</w:t>
            </w:r>
          </w:p>
        </w:tc>
        <w:tc>
          <w:tcPr>
            <w:tcW w:w="1291" w:type="dxa"/>
          </w:tcPr>
          <w:p w14:paraId="671CFBE9"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Pass</w:t>
            </w:r>
          </w:p>
        </w:tc>
        <w:tc>
          <w:tcPr>
            <w:tcW w:w="5622" w:type="dxa"/>
          </w:tcPr>
          <w:p w14:paraId="5DF8FA60"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No mismatches between t and t+1 labels</w:t>
            </w:r>
          </w:p>
        </w:tc>
      </w:tr>
    </w:tbl>
    <w:p w14:paraId="1A8DBEA9" w14:textId="77777777" w:rsidR="009A4EB4" w:rsidRDefault="009A4EB4" w:rsidP="006E6660">
      <w:pPr>
        <w:pStyle w:val="Heading2"/>
        <w:rPr>
          <w:rFonts w:ascii="Times New Roman" w:eastAsia="Times New Roman" w:hAnsi="Times New Roman" w:cs="Times New Roman"/>
          <w:b w:val="0"/>
          <w:bCs w:val="0"/>
          <w:color w:val="000000" w:themeColor="text1"/>
          <w:sz w:val="24"/>
          <w:szCs w:val="24"/>
        </w:rPr>
      </w:pPr>
      <w:r w:rsidRPr="009A4EB4">
        <w:rPr>
          <w:rFonts w:ascii="Times New Roman" w:eastAsia="Times New Roman" w:hAnsi="Times New Roman" w:cs="Times New Roman"/>
          <w:b w:val="0"/>
          <w:bCs w:val="0"/>
          <w:color w:val="000000" w:themeColor="text1"/>
          <w:sz w:val="24"/>
          <w:szCs w:val="24"/>
        </w:rPr>
        <w:t>These six conditions, outlined in Table 4, pertain to verifiable aspects of the analyses carried out using the archived data files. They include unique platform-year observations, no explicit future events included among predictors, removal timing information excluded, identifiers excluded from predictive variables, input window observations consisting of three consecutive years, and label assignment for the following year (t + 1). Such conditions provide support for the development of an internal sequence but do not confirm the historical availability or publication of predictors.</w:t>
      </w:r>
    </w:p>
    <w:p w14:paraId="58E3AFAD" w14:textId="7797EDE1" w:rsidR="00B71BC0" w:rsidRPr="005835F7" w:rsidRDefault="00B71BC0" w:rsidP="006E6660">
      <w:pPr>
        <w:pStyle w:val="Heading2"/>
        <w:rPr>
          <w:rFonts w:ascii="Times New Roman" w:hAnsi="Times New Roman" w:cs="Times New Roman"/>
          <w:color w:val="000000" w:themeColor="text1"/>
          <w:sz w:val="24"/>
          <w:szCs w:val="24"/>
          <w:lang w:val="en-IN"/>
        </w:rPr>
      </w:pPr>
      <w:r w:rsidRPr="005835F7">
        <w:rPr>
          <w:rFonts w:ascii="Times New Roman" w:hAnsi="Times New Roman" w:cs="Times New Roman"/>
          <w:color w:val="000000" w:themeColor="text1"/>
          <w:sz w:val="24"/>
          <w:szCs w:val="24"/>
        </w:rPr>
        <w:t>3.5 TECR-Net Architecture</w:t>
      </w:r>
    </w:p>
    <w:p w14:paraId="65D5E071" w14:textId="77777777" w:rsidR="009A4EB4" w:rsidRDefault="009A4EB4" w:rsidP="006E6660">
      <w:pPr>
        <w:pStyle w:val="Heading3"/>
        <w:rPr>
          <w:rFonts w:ascii="Times New Roman" w:eastAsia="Times New Roman" w:hAnsi="Times New Roman" w:cs="Times New Roman"/>
          <w:b w:val="0"/>
          <w:bCs w:val="0"/>
          <w:color w:val="000000" w:themeColor="text1"/>
          <w:sz w:val="24"/>
          <w:szCs w:val="24"/>
        </w:rPr>
      </w:pPr>
      <w:r w:rsidRPr="009A4EB4">
        <w:rPr>
          <w:rFonts w:ascii="Times New Roman" w:eastAsia="Times New Roman" w:hAnsi="Times New Roman" w:cs="Times New Roman"/>
          <w:b w:val="0"/>
          <w:bCs w:val="0"/>
          <w:color w:val="000000" w:themeColor="text1"/>
          <w:sz w:val="24"/>
          <w:szCs w:val="24"/>
        </w:rPr>
        <w:t>The TECR-Net defines the concept of modality in an operational sense as either of three heterogeneous branches of features: dynamic feature history in relation to platform and year, and static numerical attributes and categorical contextual features of the platform. These are not sensor modalities like images, text, and audio. The purpose of the branch structure is that each of the three branches can have its own encoder, while having the same latent width until learned-query pooling; however, there is no empirical evidence for the added value of such grouping beyond mere concatenation of the features.</w:t>
      </w:r>
    </w:p>
    <w:p w14:paraId="60EE4B98" w14:textId="30D6FBC8" w:rsidR="009A4EB4" w:rsidRPr="009A4EB4" w:rsidRDefault="00B71BC0" w:rsidP="009A4EB4">
      <w:pPr>
        <w:pStyle w:val="Heading3"/>
        <w:rPr>
          <w:rFonts w:ascii="Times New Roman" w:eastAsia="Times New Roman" w:hAnsi="Times New Roman" w:cs="Times New Roman"/>
          <w:color w:val="000000" w:themeColor="text1"/>
          <w:sz w:val="24"/>
          <w:szCs w:val="24"/>
          <w:lang w:val="en-IN"/>
        </w:rPr>
      </w:pPr>
      <w:r w:rsidRPr="005835F7">
        <w:rPr>
          <w:rFonts w:ascii="Times New Roman" w:eastAsia="Times New Roman" w:hAnsi="Times New Roman" w:cs="Times New Roman"/>
          <w:color w:val="000000" w:themeColor="text1"/>
          <w:sz w:val="24"/>
          <w:szCs w:val="24"/>
          <w:lang w:val="en-IN"/>
        </w:rPr>
        <w:t>3.5.1 Feature Gate and Bidirectional Temporal Encoder</w:t>
      </w:r>
    </w:p>
    <w:p w14:paraId="39520D1C" w14:textId="1BCDBA13" w:rsidR="009A4EB4" w:rsidRPr="009A4EB4" w:rsidRDefault="009A4EB4" w:rsidP="006E6660">
      <w:pPr>
        <w:spacing w:after="100"/>
        <w:rPr>
          <w:rFonts w:cs="Times New Roman"/>
          <w:color w:val="000000" w:themeColor="text1"/>
          <w:sz w:val="24"/>
          <w:szCs w:val="24"/>
        </w:rPr>
      </w:pPr>
      <w:r w:rsidRPr="009A4EB4">
        <w:rPr>
          <w:rFonts w:cs="Times New Roman"/>
          <w:color w:val="000000" w:themeColor="text1"/>
          <w:sz w:val="24"/>
          <w:szCs w:val="24"/>
        </w:rPr>
        <w:t>The learnable global feature-gating component provides a rescaling factor for each of the 26 dynamic inputs (set initially to 0.5); as the subsequent weights can correct for rescaling, they do not constitute identifiable features for predictive importance. The global gates are the same for all the platforms and time points; thus, the network is able to learn consistent rescaling of features. The gated features then get passed to a single-layer bidirectional gated recurrent unit (</w:t>
      </w:r>
      <w:proofErr w:type="spellStart"/>
      <w:r w:rsidRPr="009A4EB4">
        <w:rPr>
          <w:rFonts w:cs="Times New Roman"/>
          <w:color w:val="000000" w:themeColor="text1"/>
          <w:sz w:val="24"/>
          <w:szCs w:val="24"/>
        </w:rPr>
        <w:t>BiGRU</w:t>
      </w:r>
      <w:proofErr w:type="spellEnd"/>
      <w:r w:rsidRPr="009A4EB4">
        <w:rPr>
          <w:rFonts w:cs="Times New Roman"/>
          <w:color w:val="000000" w:themeColor="text1"/>
          <w:sz w:val="24"/>
          <w:szCs w:val="24"/>
        </w:rPr>
        <w:t>) layer with 80 units each way, to account for temporal relationships of the three-year-long data. The GRU component utilizes the recurrent gated formulation.</w:t>
      </w:r>
    </w:p>
    <w:p w14:paraId="008B1AD0" w14:textId="77777777" w:rsidR="00B71BC0" w:rsidRPr="005835F7" w:rsidRDefault="006E666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r>
          <m:rPr>
            <m:sty m:val="b"/>
          </m:rPr>
          <w:rPr>
            <w:rFonts w:ascii="Cambria Math" w:hAnsi="Cambria Math" w:cs="Times New Roman"/>
            <w:color w:val="000000" w:themeColor="text1"/>
            <w:szCs w:val="24"/>
          </w:rPr>
          <m:t>g</m:t>
        </m:r>
        <m:r>
          <m:rPr>
            <m:sty m:val="p"/>
          </m:rPr>
          <w:rPr>
            <w:rFonts w:ascii="Cambria Math" w:hAnsi="Cambria Math" w:cs="Times New Roman"/>
            <w:color w:val="000000" w:themeColor="text1"/>
            <w:szCs w:val="24"/>
          </w:rPr>
          <m:t>=σ</m:t>
        </m:r>
        <m:d>
          <m:dPr>
            <m:ctrlPr>
              <w:rPr>
                <w:rFonts w:ascii="Cambria Math" w:hAnsi="Cambria Math" w:cs="Times New Roman"/>
                <w:color w:val="000000" w:themeColor="text1"/>
                <w:szCs w:val="24"/>
              </w:rPr>
            </m:ctrlPr>
          </m:dPr>
          <m:e>
            <m:r>
              <m:rPr>
                <m:sty m:val="b"/>
              </m:rPr>
              <w:rPr>
                <w:rFonts w:ascii="Cambria Math" w:hAnsi="Cambria Math" w:cs="Times New Roman"/>
                <w:color w:val="000000" w:themeColor="text1"/>
                <w:szCs w:val="24"/>
              </w:rPr>
              <m:t>θ</m:t>
            </m:r>
          </m:e>
        </m:d>
        <m:r>
          <m:rPr>
            <m:sty m:val="p"/>
          </m:rPr>
          <w:rPr>
            <w:rFonts w:ascii="Cambria Math" w:hAnsi="Cambria Math" w:cs="Times New Roman"/>
            <w:color w:val="000000" w:themeColor="text1"/>
            <w:szCs w:val="24"/>
          </w:rPr>
          <m:t>,  </m:t>
        </m:r>
        <m:r>
          <m:rPr>
            <m:sty m:val="b"/>
          </m:rPr>
          <w:rPr>
            <w:rFonts w:ascii="Cambria Math" w:hAnsi="Cambria Math" w:cs="Times New Roman"/>
            <w:color w:val="000000" w:themeColor="text1"/>
            <w:szCs w:val="24"/>
          </w:rPr>
          <m:t>x</m:t>
        </m:r>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m:t>
            </m:r>
          </m:e>
          <m:sub>
            <m:r>
              <m:rPr>
                <m:sty m:val="p"/>
              </m:rPr>
              <w:rPr>
                <w:rFonts w:ascii="Cambria Math" w:hAnsi="Cambria Math" w:cs="Times New Roman"/>
                <w:color w:val="000000" w:themeColor="text1"/>
                <w:szCs w:val="24"/>
              </w:rPr>
              <m:t>i,k</m:t>
            </m:r>
          </m:sub>
        </m:sSub>
        <m:r>
          <m:rPr>
            <m:sty m:val="p"/>
          </m:rPr>
          <w:rPr>
            <w:rFonts w:ascii="Cambria Math" w:hAnsi="Cambria Math" w:cs="Times New Roman"/>
            <w:color w:val="000000" w:themeColor="text1"/>
            <w:szCs w:val="24"/>
          </w:rPr>
          <m:t>=</m:t>
        </m:r>
        <m:r>
          <m:rPr>
            <m:sty m:val="b"/>
          </m:rPr>
          <w:rPr>
            <w:rFonts w:ascii="Cambria Math" w:hAnsi="Cambria Math" w:cs="Times New Roman"/>
            <w:color w:val="000000" w:themeColor="text1"/>
            <w:szCs w:val="24"/>
          </w:rPr>
          <m:t>g</m:t>
        </m:r>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x</m:t>
            </m:r>
          </m:e>
          <m:sub>
            <m:r>
              <m:rPr>
                <m:sty m:val="p"/>
              </m:rPr>
              <w:rPr>
                <w:rFonts w:ascii="Cambria Math" w:hAnsi="Cambria Math" w:cs="Times New Roman"/>
                <w:color w:val="000000" w:themeColor="text1"/>
                <w:szCs w:val="24"/>
              </w:rPr>
              <m:t>i,k</m:t>
            </m:r>
          </m:sub>
        </m:sSub>
        <m:r>
          <w:rPr>
            <w:rFonts w:ascii="Cambria Math" w:hAnsi="Cambria Math" w:cs="Times New Roman"/>
            <w:color w:val="000000" w:themeColor="text1"/>
            <w:szCs w:val="24"/>
          </w:rPr>
          <m:t xml:space="preserve">                                                                                                         </m:t>
        </m:r>
      </m:oMath>
      <w:r w:rsidRPr="005835F7">
        <w:rPr>
          <w:rFonts w:cs="Times New Roman"/>
          <w:color w:val="000000" w:themeColor="text1"/>
          <w:szCs w:val="24"/>
        </w:rPr>
        <w:tab/>
        <w:t>(6)</w:t>
      </w:r>
    </w:p>
    <w:p w14:paraId="73905408" w14:textId="77777777" w:rsidR="00B71BC0" w:rsidRPr="005835F7" w:rsidRDefault="006E666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limLow>
          <m:limLowPr>
            <m:ctrlPr>
              <w:rPr>
                <w:rFonts w:ascii="Cambria Math" w:hAnsi="Cambria Math" w:cs="Times New Roman"/>
                <w:color w:val="000000" w:themeColor="text1"/>
                <w:szCs w:val="24"/>
              </w:rPr>
            </m:ctrlPr>
          </m:limLowPr>
          <m:e>
            <m:groupChr>
              <m:groupChrPr>
                <m:chr m:val="→"/>
                <m:pos m:val="top"/>
                <m:vertJc m:val="bot"/>
                <m:ctrlPr>
                  <w:rPr>
                    <w:rFonts w:ascii="Cambria Math" w:hAnsi="Cambria Math" w:cs="Times New Roman"/>
                    <w:color w:val="000000" w:themeColor="text1"/>
                    <w:szCs w:val="24"/>
                  </w:rPr>
                </m:ctrlPr>
              </m:groupChrPr>
              <m:e>
                <m:r>
                  <m:rPr>
                    <m:sty m:val="b"/>
                  </m:rPr>
                  <w:rPr>
                    <w:rFonts w:ascii="Cambria Math" w:hAnsi="Cambria Math" w:cs="Times New Roman"/>
                    <w:color w:val="000000" w:themeColor="text1"/>
                    <w:szCs w:val="24"/>
                  </w:rPr>
                  <m:t>h</m:t>
                </m:r>
              </m:e>
            </m:groupChr>
          </m:e>
          <m:lim>
            <m:r>
              <m:rPr>
                <m:sty m:val="p"/>
              </m:rPr>
              <w:rPr>
                <w:rFonts w:ascii="Cambria Math" w:hAnsi="Cambria Math" w:cs="Times New Roman"/>
                <w:color w:val="000000" w:themeColor="text1"/>
                <w:szCs w:val="24"/>
              </w:rPr>
              <m:t>i,k</m:t>
            </m:r>
          </m:lim>
        </m:limLow>
        <m:r>
          <m:rPr>
            <m:sty m:val="p"/>
          </m:rPr>
          <w:rPr>
            <w:rFonts w:ascii="Cambria Math" w:hAnsi="Cambria Math" w:cs="Times New Roman"/>
            <w:color w:val="000000" w:themeColor="text1"/>
            <w:szCs w:val="24"/>
          </w:rPr>
          <m:t>=</m:t>
        </m:r>
        <m:func>
          <m:funcPr>
            <m:ctrlPr>
              <w:rPr>
                <w:rFonts w:ascii="Cambria Math" w:hAnsi="Cambria Math" w:cs="Times New Roman"/>
                <w:color w:val="000000" w:themeColor="text1"/>
                <w:szCs w:val="24"/>
              </w:rPr>
            </m:ctrlPr>
          </m:funcPr>
          <m:fNa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GRU</m:t>
                </m:r>
              </m:e>
              <m:sub>
                <m:r>
                  <m:rPr>
                    <m:sty m:val="p"/>
                  </m:rPr>
                  <w:rPr>
                    <w:rFonts w:ascii="Cambria Math" w:hAnsi="Cambria Math" w:cs="Times New Roman"/>
                    <w:color w:val="000000" w:themeColor="text1"/>
                    <w:szCs w:val="24"/>
                  </w:rPr>
                  <m:t>f</m:t>
                </m:r>
              </m:sub>
            </m:sSub>
          </m:fName>
          <m:e>
            <m:d>
              <m:dPr>
                <m:ctrlPr>
                  <w:rPr>
                    <w:rFonts w:ascii="Cambria Math" w:hAnsi="Cambria Math" w:cs="Times New Roman"/>
                    <w:color w:val="000000" w:themeColor="text1"/>
                    <w:szCs w:val="24"/>
                  </w:rPr>
                </m:ctrlPr>
              </m:dPr>
              <m:e>
                <m:r>
                  <m:rPr>
                    <m:sty m:val="b"/>
                  </m:rPr>
                  <w:rPr>
                    <w:rFonts w:ascii="Cambria Math" w:hAnsi="Cambria Math" w:cs="Times New Roman"/>
                    <w:color w:val="000000" w:themeColor="text1"/>
                    <w:szCs w:val="24"/>
                  </w:rPr>
                  <m:t>x</m:t>
                </m:r>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m:t>
                    </m:r>
                  </m:e>
                  <m:sub>
                    <m:r>
                      <m:rPr>
                        <m:sty m:val="p"/>
                      </m:rPr>
                      <w:rPr>
                        <w:rFonts w:ascii="Cambria Math" w:hAnsi="Cambria Math" w:cs="Times New Roman"/>
                        <w:color w:val="000000" w:themeColor="text1"/>
                        <w:szCs w:val="24"/>
                      </w:rPr>
                      <m:t>i,k</m:t>
                    </m:r>
                  </m:sub>
                </m:sSub>
                <m:r>
                  <m:rPr>
                    <m:sty m:val="p"/>
                  </m:rPr>
                  <w:rPr>
                    <w:rFonts w:ascii="Cambria Math" w:hAnsi="Cambria Math" w:cs="Times New Roman"/>
                    <w:color w:val="000000" w:themeColor="text1"/>
                    <w:szCs w:val="24"/>
                  </w:rPr>
                  <m:t>,</m:t>
                </m:r>
                <m:limLow>
                  <m:limLowPr>
                    <m:ctrlPr>
                      <w:rPr>
                        <w:rFonts w:ascii="Cambria Math" w:hAnsi="Cambria Math" w:cs="Times New Roman"/>
                        <w:color w:val="000000" w:themeColor="text1"/>
                        <w:szCs w:val="24"/>
                      </w:rPr>
                    </m:ctrlPr>
                  </m:limLowPr>
                  <m:e>
                    <m:groupChr>
                      <m:groupChrPr>
                        <m:chr m:val="→"/>
                        <m:pos m:val="top"/>
                        <m:vertJc m:val="bot"/>
                        <m:ctrlPr>
                          <w:rPr>
                            <w:rFonts w:ascii="Cambria Math" w:hAnsi="Cambria Math" w:cs="Times New Roman"/>
                            <w:color w:val="000000" w:themeColor="text1"/>
                            <w:szCs w:val="24"/>
                          </w:rPr>
                        </m:ctrlPr>
                      </m:groupChrPr>
                      <m:e>
                        <m:r>
                          <m:rPr>
                            <m:sty m:val="b"/>
                          </m:rPr>
                          <w:rPr>
                            <w:rFonts w:ascii="Cambria Math" w:hAnsi="Cambria Math" w:cs="Times New Roman"/>
                            <w:color w:val="000000" w:themeColor="text1"/>
                            <w:szCs w:val="24"/>
                          </w:rPr>
                          <m:t>h</m:t>
                        </m:r>
                      </m:e>
                    </m:groupChr>
                  </m:e>
                  <m:lim>
                    <m:r>
                      <m:rPr>
                        <m:sty m:val="p"/>
                      </m:rPr>
                      <w:rPr>
                        <w:rFonts w:ascii="Cambria Math" w:hAnsi="Cambria Math" w:cs="Times New Roman"/>
                        <w:color w:val="000000" w:themeColor="text1"/>
                        <w:szCs w:val="24"/>
                      </w:rPr>
                      <m:t>i,k-1</m:t>
                    </m:r>
                  </m:lim>
                </m:limLow>
              </m:e>
            </m:d>
            <m:r>
              <w:rPr>
                <w:rFonts w:ascii="Cambria Math" w:hAnsi="Cambria Math" w:cs="Times New Roman"/>
                <w:color w:val="000000" w:themeColor="text1"/>
                <w:szCs w:val="24"/>
              </w:rPr>
              <m:t xml:space="preserve">                                                                                                                         </m:t>
            </m:r>
          </m:e>
        </m:func>
      </m:oMath>
      <w:r w:rsidRPr="005835F7">
        <w:rPr>
          <w:rFonts w:cs="Times New Roman"/>
          <w:color w:val="000000" w:themeColor="text1"/>
          <w:szCs w:val="24"/>
        </w:rPr>
        <w:tab/>
        <w:t>(7)</w:t>
      </w:r>
    </w:p>
    <w:p w14:paraId="02F4B923" w14:textId="77777777" w:rsidR="00B71BC0" w:rsidRPr="005835F7" w:rsidRDefault="006E666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r>
          <m:rPr>
            <m:sty m:val="p"/>
          </m:rPr>
          <w:rPr>
            <w:rFonts w:ascii="Cambria Math" w:hAnsi="Cambria Math" w:cs="Times New Roman"/>
            <w:color w:val="000000" w:themeColor="text1"/>
            <w:szCs w:val="24"/>
          </w:rPr>
          <m:t xml:space="preserve"> </m:t>
        </m:r>
        <m:limLow>
          <m:limLowPr>
            <m:ctrlPr>
              <w:rPr>
                <w:rFonts w:ascii="Cambria Math" w:hAnsi="Cambria Math" w:cs="Times New Roman"/>
                <w:color w:val="000000" w:themeColor="text1"/>
                <w:szCs w:val="24"/>
              </w:rPr>
            </m:ctrlPr>
          </m:limLowPr>
          <m:e>
            <m:groupChr>
              <m:groupChrPr>
                <m:chr m:val="←"/>
                <m:pos m:val="top"/>
                <m:vertJc m:val="bot"/>
                <m:ctrlPr>
                  <w:rPr>
                    <w:rFonts w:ascii="Cambria Math" w:hAnsi="Cambria Math" w:cs="Times New Roman"/>
                    <w:color w:val="000000" w:themeColor="text1"/>
                    <w:szCs w:val="24"/>
                  </w:rPr>
                </m:ctrlPr>
              </m:groupChrPr>
              <m:e>
                <m:r>
                  <m:rPr>
                    <m:sty m:val="b"/>
                  </m:rPr>
                  <w:rPr>
                    <w:rFonts w:ascii="Cambria Math" w:hAnsi="Cambria Math" w:cs="Times New Roman"/>
                    <w:color w:val="000000" w:themeColor="text1"/>
                    <w:szCs w:val="24"/>
                  </w:rPr>
                  <m:t>h</m:t>
                </m:r>
              </m:e>
            </m:groupChr>
          </m:e>
          <m:lim>
            <m:r>
              <m:rPr>
                <m:sty m:val="p"/>
              </m:rPr>
              <w:rPr>
                <w:rFonts w:ascii="Cambria Math" w:hAnsi="Cambria Math" w:cs="Times New Roman"/>
                <w:color w:val="000000" w:themeColor="text1"/>
                <w:szCs w:val="24"/>
              </w:rPr>
              <m:t>i,k</m:t>
            </m:r>
          </m:lim>
        </m:limLow>
        <m:r>
          <m:rPr>
            <m:sty m:val="p"/>
          </m:rPr>
          <w:rPr>
            <w:rFonts w:ascii="Cambria Math" w:hAnsi="Cambria Math" w:cs="Times New Roman"/>
            <w:color w:val="000000" w:themeColor="text1"/>
            <w:szCs w:val="24"/>
          </w:rPr>
          <m:t>=</m:t>
        </m:r>
        <m:func>
          <m:funcPr>
            <m:ctrlPr>
              <w:rPr>
                <w:rFonts w:ascii="Cambria Math" w:hAnsi="Cambria Math" w:cs="Times New Roman"/>
                <w:color w:val="000000" w:themeColor="text1"/>
                <w:szCs w:val="24"/>
              </w:rPr>
            </m:ctrlPr>
          </m:funcPr>
          <m:fNa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GRU</m:t>
                </m:r>
              </m:e>
              <m:sub>
                <m:r>
                  <m:rPr>
                    <m:sty m:val="p"/>
                  </m:rPr>
                  <w:rPr>
                    <w:rFonts w:ascii="Cambria Math" w:hAnsi="Cambria Math" w:cs="Times New Roman"/>
                    <w:color w:val="000000" w:themeColor="text1"/>
                    <w:szCs w:val="24"/>
                  </w:rPr>
                  <m:t>b</m:t>
                </m:r>
              </m:sub>
            </m:sSub>
          </m:fName>
          <m:e>
            <m:d>
              <m:dPr>
                <m:ctrlPr>
                  <w:rPr>
                    <w:rFonts w:ascii="Cambria Math" w:hAnsi="Cambria Math" w:cs="Times New Roman"/>
                    <w:color w:val="000000" w:themeColor="text1"/>
                    <w:szCs w:val="24"/>
                  </w:rPr>
                </m:ctrlPr>
              </m:dPr>
              <m:e>
                <m:r>
                  <m:rPr>
                    <m:sty m:val="b"/>
                  </m:rPr>
                  <w:rPr>
                    <w:rFonts w:ascii="Cambria Math" w:hAnsi="Cambria Math" w:cs="Times New Roman"/>
                    <w:color w:val="000000" w:themeColor="text1"/>
                    <w:szCs w:val="24"/>
                  </w:rPr>
                  <m:t>x</m:t>
                </m:r>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m:t>
                    </m:r>
                  </m:e>
                  <m:sub>
                    <m:r>
                      <m:rPr>
                        <m:sty m:val="p"/>
                      </m:rPr>
                      <w:rPr>
                        <w:rFonts w:ascii="Cambria Math" w:hAnsi="Cambria Math" w:cs="Times New Roman"/>
                        <w:color w:val="000000" w:themeColor="text1"/>
                        <w:szCs w:val="24"/>
                      </w:rPr>
                      <m:t>i,k</m:t>
                    </m:r>
                  </m:sub>
                </m:sSub>
                <m:r>
                  <m:rPr>
                    <m:sty m:val="p"/>
                  </m:rPr>
                  <w:rPr>
                    <w:rFonts w:ascii="Cambria Math" w:hAnsi="Cambria Math" w:cs="Times New Roman"/>
                    <w:color w:val="000000" w:themeColor="text1"/>
                    <w:szCs w:val="24"/>
                  </w:rPr>
                  <m:t>,</m:t>
                </m:r>
                <m:limLow>
                  <m:limLowPr>
                    <m:ctrlPr>
                      <w:rPr>
                        <w:rFonts w:ascii="Cambria Math" w:hAnsi="Cambria Math" w:cs="Times New Roman"/>
                        <w:color w:val="000000" w:themeColor="text1"/>
                        <w:szCs w:val="24"/>
                      </w:rPr>
                    </m:ctrlPr>
                  </m:limLowPr>
                  <m:e>
                    <m:groupChr>
                      <m:groupChrPr>
                        <m:chr m:val="←"/>
                        <m:pos m:val="top"/>
                        <m:vertJc m:val="bot"/>
                        <m:ctrlPr>
                          <w:rPr>
                            <w:rFonts w:ascii="Cambria Math" w:hAnsi="Cambria Math" w:cs="Times New Roman"/>
                            <w:color w:val="000000" w:themeColor="text1"/>
                            <w:szCs w:val="24"/>
                          </w:rPr>
                        </m:ctrlPr>
                      </m:groupChrPr>
                      <m:e>
                        <m:r>
                          <m:rPr>
                            <m:sty m:val="b"/>
                          </m:rPr>
                          <w:rPr>
                            <w:rFonts w:ascii="Cambria Math" w:hAnsi="Cambria Math" w:cs="Times New Roman"/>
                            <w:color w:val="000000" w:themeColor="text1"/>
                            <w:szCs w:val="24"/>
                          </w:rPr>
                          <m:t>h</m:t>
                        </m:r>
                      </m:e>
                    </m:groupChr>
                  </m:e>
                  <m:lim>
                    <m:r>
                      <m:rPr>
                        <m:sty m:val="p"/>
                      </m:rPr>
                      <w:rPr>
                        <w:rFonts w:ascii="Cambria Math" w:hAnsi="Cambria Math" w:cs="Times New Roman"/>
                        <w:color w:val="000000" w:themeColor="text1"/>
                        <w:szCs w:val="24"/>
                      </w:rPr>
                      <m:t>i,k+1</m:t>
                    </m:r>
                  </m:lim>
                </m:limLow>
              </m:e>
            </m:d>
          </m:e>
        </m:func>
        <m:r>
          <w:rPr>
            <w:rFonts w:ascii="Cambria Math" w:hAnsi="Cambria Math" w:cs="Times New Roman"/>
            <w:color w:val="000000" w:themeColor="text1"/>
            <w:szCs w:val="24"/>
          </w:rPr>
          <m:t xml:space="preserve">                                                                                                                      </m:t>
        </m:r>
      </m:oMath>
      <w:r w:rsidRPr="005835F7">
        <w:rPr>
          <w:rFonts w:cs="Times New Roman"/>
          <w:color w:val="000000" w:themeColor="text1"/>
          <w:szCs w:val="24"/>
        </w:rPr>
        <w:tab/>
        <w:t>(8)</w:t>
      </w:r>
    </w:p>
    <w:p w14:paraId="016F26E5" w14:textId="77777777"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lastRenderedPageBreak/>
        <w:tab/>
      </w:r>
      <m:oMath>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h</m:t>
            </m:r>
          </m:e>
          <m:sub>
            <m:r>
              <m:rPr>
                <m:sty m:val="p"/>
              </m:rPr>
              <w:rPr>
                <w:rFonts w:ascii="Cambria Math" w:hAnsi="Cambria Math" w:cs="Times New Roman"/>
                <w:color w:val="000000" w:themeColor="text1"/>
                <w:szCs w:val="24"/>
              </w:rPr>
              <m:t>i,k</m:t>
            </m:r>
          </m:sub>
        </m:sSub>
        <m:r>
          <m:rPr>
            <m:sty m:val="p"/>
          </m:rPr>
          <w:rPr>
            <w:rFonts w:ascii="Cambria Math" w:hAnsi="Cambria Math" w:cs="Times New Roman"/>
            <w:color w:val="000000" w:themeColor="text1"/>
            <w:szCs w:val="24"/>
          </w:rPr>
          <m:t>=</m:t>
        </m:r>
        <m:d>
          <m:dPr>
            <m:begChr m:val="["/>
            <m:endChr m:val="]"/>
            <m:ctrlPr>
              <w:rPr>
                <w:rFonts w:ascii="Cambria Math" w:hAnsi="Cambria Math" w:cs="Times New Roman"/>
                <w:color w:val="000000" w:themeColor="text1"/>
                <w:szCs w:val="24"/>
              </w:rPr>
            </m:ctrlPr>
          </m:dPr>
          <m:e>
            <m:limLow>
              <m:limLowPr>
                <m:ctrlPr>
                  <w:rPr>
                    <w:rFonts w:ascii="Cambria Math" w:hAnsi="Cambria Math" w:cs="Times New Roman"/>
                    <w:color w:val="000000" w:themeColor="text1"/>
                    <w:szCs w:val="24"/>
                  </w:rPr>
                </m:ctrlPr>
              </m:limLowPr>
              <m:e>
                <m:groupChr>
                  <m:groupChrPr>
                    <m:chr m:val="→"/>
                    <m:pos m:val="top"/>
                    <m:vertJc m:val="bot"/>
                    <m:ctrlPr>
                      <w:rPr>
                        <w:rFonts w:ascii="Cambria Math" w:hAnsi="Cambria Math" w:cs="Times New Roman"/>
                        <w:color w:val="000000" w:themeColor="text1"/>
                        <w:szCs w:val="24"/>
                      </w:rPr>
                    </m:ctrlPr>
                  </m:groupChrPr>
                  <m:e>
                    <m:r>
                      <m:rPr>
                        <m:sty m:val="b"/>
                      </m:rPr>
                      <w:rPr>
                        <w:rFonts w:ascii="Cambria Math" w:hAnsi="Cambria Math" w:cs="Times New Roman"/>
                        <w:color w:val="000000" w:themeColor="text1"/>
                        <w:szCs w:val="24"/>
                      </w:rPr>
                      <m:t>h</m:t>
                    </m:r>
                  </m:e>
                </m:groupChr>
              </m:e>
              <m:lim>
                <m:r>
                  <m:rPr>
                    <m:sty m:val="p"/>
                  </m:rPr>
                  <w:rPr>
                    <w:rFonts w:ascii="Cambria Math" w:hAnsi="Cambria Math" w:cs="Times New Roman"/>
                    <w:color w:val="000000" w:themeColor="text1"/>
                    <w:szCs w:val="24"/>
                  </w:rPr>
                  <m:t>i,k</m:t>
                </m:r>
              </m:lim>
            </m:limLow>
            <m:r>
              <m:rPr>
                <m:sty m:val="p"/>
              </m:rPr>
              <w:rPr>
                <w:rFonts w:ascii="Cambria Math" w:hAnsi="Cambria Math" w:cs="Times New Roman"/>
                <w:color w:val="000000" w:themeColor="text1"/>
                <w:szCs w:val="24"/>
              </w:rPr>
              <m:t>∥</m:t>
            </m:r>
            <m:limLow>
              <m:limLowPr>
                <m:ctrlPr>
                  <w:rPr>
                    <w:rFonts w:ascii="Cambria Math" w:hAnsi="Cambria Math" w:cs="Times New Roman"/>
                    <w:color w:val="000000" w:themeColor="text1"/>
                    <w:szCs w:val="24"/>
                  </w:rPr>
                </m:ctrlPr>
              </m:limLowPr>
              <m:e>
                <m:groupChr>
                  <m:groupChrPr>
                    <m:chr m:val="←"/>
                    <m:pos m:val="top"/>
                    <m:vertJc m:val="bot"/>
                    <m:ctrlPr>
                      <w:rPr>
                        <w:rFonts w:ascii="Cambria Math" w:hAnsi="Cambria Math" w:cs="Times New Roman"/>
                        <w:color w:val="000000" w:themeColor="text1"/>
                        <w:szCs w:val="24"/>
                      </w:rPr>
                    </m:ctrlPr>
                  </m:groupChrPr>
                  <m:e>
                    <m:r>
                      <m:rPr>
                        <m:sty m:val="b"/>
                      </m:rPr>
                      <w:rPr>
                        <w:rFonts w:ascii="Cambria Math" w:hAnsi="Cambria Math" w:cs="Times New Roman"/>
                        <w:color w:val="000000" w:themeColor="text1"/>
                        <w:szCs w:val="24"/>
                      </w:rPr>
                      <m:t>h</m:t>
                    </m:r>
                  </m:e>
                </m:groupChr>
              </m:e>
              <m:lim>
                <m:r>
                  <m:rPr>
                    <m:sty m:val="p"/>
                  </m:rPr>
                  <w:rPr>
                    <w:rFonts w:ascii="Cambria Math" w:hAnsi="Cambria Math" w:cs="Times New Roman"/>
                    <w:color w:val="000000" w:themeColor="text1"/>
                    <w:szCs w:val="24"/>
                  </w:rPr>
                  <m:t>i,k</m:t>
                </m:r>
              </m:lim>
            </m:limLow>
          </m:e>
        </m:d>
        <m:r>
          <m:rPr>
            <m:sty m:val="p"/>
          </m:rPr>
          <w:rPr>
            <w:rFonts w:ascii="Cambria Math" w:hAnsi="Cambria Math" w:cs="Times New Roman"/>
            <w:color w:val="000000" w:themeColor="text1"/>
            <w:szCs w:val="24"/>
          </w:rPr>
          <m:t>∈</m:t>
        </m:r>
        <m:sSup>
          <m:sSupPr>
            <m:ctrlPr>
              <w:rPr>
                <w:rFonts w:ascii="Cambria Math" w:hAnsi="Cambria Math" w:cs="Times New Roman"/>
                <w:color w:val="000000" w:themeColor="text1"/>
                <w:szCs w:val="24"/>
              </w:rPr>
            </m:ctrlPr>
          </m:sSupPr>
          <m:e>
            <m:r>
              <m:rPr>
                <m:scr m:val="double-struck"/>
                <m:sty m:val="p"/>
              </m:rPr>
              <w:rPr>
                <w:rFonts w:ascii="Cambria Math" w:hAnsi="Cambria Math" w:cs="Times New Roman"/>
                <w:color w:val="000000" w:themeColor="text1"/>
                <w:szCs w:val="24"/>
              </w:rPr>
              <m:t>R</m:t>
            </m:r>
          </m:e>
          <m:sup>
            <m:r>
              <m:rPr>
                <m:sty m:val="p"/>
              </m:rPr>
              <w:rPr>
                <w:rFonts w:ascii="Cambria Math" w:hAnsi="Cambria Math" w:cs="Times New Roman"/>
                <w:color w:val="000000" w:themeColor="text1"/>
                <w:szCs w:val="24"/>
              </w:rPr>
              <m:t>160</m:t>
            </m:r>
          </m:sup>
        </m:sSup>
        <m:r>
          <w:rPr>
            <w:rFonts w:ascii="Cambria Math" w:hAnsi="Cambria Math" w:cs="Times New Roman"/>
            <w:color w:val="000000" w:themeColor="text1"/>
            <w:szCs w:val="24"/>
          </w:rPr>
          <m:t xml:space="preserve">                                                                                                                      </m:t>
        </m:r>
      </m:oMath>
      <w:r w:rsidRPr="005835F7">
        <w:rPr>
          <w:rFonts w:cs="Times New Roman"/>
          <w:color w:val="000000" w:themeColor="text1"/>
          <w:szCs w:val="24"/>
        </w:rPr>
        <w:tab/>
        <w:t>(9)</w:t>
      </w:r>
    </w:p>
    <w:p w14:paraId="2033D4FF" w14:textId="77777777" w:rsidR="00E407FA" w:rsidRPr="005835F7" w:rsidRDefault="00E407FA" w:rsidP="006E6660">
      <w:pPr>
        <w:spacing w:after="100"/>
        <w:rPr>
          <w:rFonts w:cs="Times New Roman"/>
          <w:b/>
          <w:bCs/>
          <w:color w:val="000000" w:themeColor="text1"/>
          <w:sz w:val="24"/>
          <w:szCs w:val="24"/>
          <w:lang w:val="en-IN"/>
        </w:rPr>
      </w:pPr>
      <w:r w:rsidRPr="005835F7">
        <w:rPr>
          <w:rFonts w:cs="Times New Roman"/>
          <w:color w:val="000000" w:themeColor="text1"/>
          <w:sz w:val="24"/>
          <w:szCs w:val="24"/>
        </w:rPr>
        <w:t>In Equations (6)</w:t>
      </w:r>
      <w:proofErr w:type="gramStart"/>
      <w:r w:rsidRPr="005835F7">
        <w:rPr>
          <w:rFonts w:cs="Times New Roman"/>
          <w:color w:val="000000" w:themeColor="text1"/>
          <w:sz w:val="24"/>
          <w:szCs w:val="24"/>
        </w:rPr>
        <w:t>–(</w:t>
      </w:r>
      <w:proofErr w:type="gramEnd"/>
      <w:r w:rsidRPr="005835F7">
        <w:rPr>
          <w:rFonts w:cs="Times New Roman"/>
          <w:color w:val="000000" w:themeColor="text1"/>
          <w:sz w:val="24"/>
          <w:szCs w:val="24"/>
        </w:rPr>
        <w:t>9), theta denotes the trainable global gate parameters, sigma is the sigmoid function, and the multiplication is element-wise. The forward and backward hidden states are concatenated into a 160-dimensional representation at each of the three observed time steps. Bidirectional processing is confined to t-2 through t and therefore does not access the t+1 label.</w:t>
      </w:r>
    </w:p>
    <w:p w14:paraId="7F7EEEC7" w14:textId="77777777" w:rsidR="00E407FA" w:rsidRPr="005835F7" w:rsidRDefault="00B71BC0" w:rsidP="006E6660">
      <w:pPr>
        <w:pStyle w:val="Heading3"/>
        <w:spacing w:after="120" w:line="276" w:lineRule="auto"/>
        <w:rPr>
          <w:rFonts w:ascii="Times New Roman" w:hAnsi="Times New Roman" w:cs="Times New Roman"/>
          <w:color w:val="000000" w:themeColor="text1"/>
          <w:sz w:val="24"/>
          <w:szCs w:val="24"/>
          <w:lang w:val="en-IN"/>
        </w:rPr>
      </w:pPr>
      <w:r w:rsidRPr="005835F7">
        <w:rPr>
          <w:rFonts w:ascii="Times New Roman" w:eastAsia="Times New Roman" w:hAnsi="Times New Roman" w:cs="Times New Roman"/>
          <w:color w:val="000000" w:themeColor="text1"/>
          <w:sz w:val="24"/>
          <w:szCs w:val="24"/>
        </w:rPr>
        <w:t>3.5.2 Temporal Attention</w:t>
      </w:r>
    </w:p>
    <w:p w14:paraId="36C776F5" w14:textId="5B8A00EA" w:rsidR="00E407FA" w:rsidRPr="005835F7" w:rsidRDefault="009A4EB4" w:rsidP="006E6660">
      <w:pPr>
        <w:spacing w:after="100"/>
        <w:rPr>
          <w:rFonts w:cs="Times New Roman"/>
          <w:color w:val="000000" w:themeColor="text1"/>
          <w:sz w:val="24"/>
          <w:szCs w:val="24"/>
        </w:rPr>
      </w:pPr>
      <w:r w:rsidRPr="009A4EB4">
        <w:rPr>
          <w:rFonts w:cs="Times New Roman"/>
          <w:color w:val="000000" w:themeColor="text1"/>
          <w:sz w:val="24"/>
          <w:szCs w:val="24"/>
        </w:rPr>
        <w:t xml:space="preserve">A temporal additive attention scheme is used on the hidden representations from </w:t>
      </w:r>
      <w:proofErr w:type="spellStart"/>
      <w:r w:rsidRPr="009A4EB4">
        <w:rPr>
          <w:rFonts w:cs="Times New Roman"/>
          <w:color w:val="000000" w:themeColor="text1"/>
          <w:sz w:val="24"/>
          <w:szCs w:val="24"/>
        </w:rPr>
        <w:t>BiGRU</w:t>
      </w:r>
      <w:proofErr w:type="spellEnd"/>
      <w:r w:rsidRPr="009A4EB4">
        <w:rPr>
          <w:rFonts w:cs="Times New Roman"/>
          <w:color w:val="000000" w:themeColor="text1"/>
          <w:sz w:val="24"/>
          <w:szCs w:val="24"/>
        </w:rPr>
        <w:t xml:space="preserve"> for estimating the relevance of observations at t-2, t-1, and t. The normalized attention scores are obtained by applying a </w:t>
      </w:r>
      <w:proofErr w:type="spellStart"/>
      <w:r w:rsidRPr="009A4EB4">
        <w:rPr>
          <w:rFonts w:cs="Times New Roman"/>
          <w:color w:val="000000" w:themeColor="text1"/>
          <w:sz w:val="24"/>
          <w:szCs w:val="24"/>
        </w:rPr>
        <w:t>softmax</w:t>
      </w:r>
      <w:proofErr w:type="spellEnd"/>
      <w:r w:rsidRPr="009A4EB4">
        <w:rPr>
          <w:rFonts w:cs="Times New Roman"/>
          <w:color w:val="000000" w:themeColor="text1"/>
          <w:sz w:val="24"/>
          <w:szCs w:val="24"/>
        </w:rPr>
        <w:t xml:space="preserve"> function and the resultant weights are used for constructing a weighted temporal context vector which is projected non-linearly to the common latent space of 80 dimensions.</w:t>
      </w:r>
    </w:p>
    <w:p w14:paraId="1D2B54D8" w14:textId="77777777"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e</m:t>
            </m:r>
          </m:e>
          <m:sub>
            <m:r>
              <m:rPr>
                <m:sty m:val="p"/>
              </m:rPr>
              <w:rPr>
                <w:rFonts w:ascii="Cambria Math" w:hAnsi="Cambria Math" w:cs="Times New Roman"/>
                <w:color w:val="000000" w:themeColor="text1"/>
                <w:szCs w:val="24"/>
              </w:rPr>
              <m:t>i,k</m:t>
            </m:r>
          </m:sub>
        </m:sSub>
        <m:r>
          <m:rPr>
            <m:sty m:val="p"/>
          </m:rPr>
          <w:rPr>
            <w:rFonts w:ascii="Cambria Math" w:hAnsi="Cambria Math" w:cs="Times New Roman"/>
            <w:color w:val="000000" w:themeColor="text1"/>
            <w:szCs w:val="24"/>
          </w:rPr>
          <m:t>=</m:t>
        </m:r>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v</m:t>
            </m:r>
          </m:e>
          <m:sub>
            <m:r>
              <m:rPr>
                <m:sty m:val="p"/>
              </m:rPr>
              <w:rPr>
                <w:rFonts w:ascii="Cambria Math" w:hAnsi="Cambria Math" w:cs="Times New Roman"/>
                <w:color w:val="000000" w:themeColor="text1"/>
                <w:szCs w:val="24"/>
              </w:rPr>
              <m:t>a</m:t>
            </m:r>
          </m:sub>
          <m:sup>
            <m:r>
              <m:rPr>
                <m:sty m:val="p"/>
              </m:rPr>
              <w:rPr>
                <w:rFonts w:ascii="Cambria Math" w:hAnsi="Cambria Math" w:cs="Times New Roman"/>
                <w:color w:val="000000" w:themeColor="text1"/>
                <w:szCs w:val="24"/>
              </w:rPr>
              <m:t>⊤</m:t>
            </m:r>
          </m:sup>
        </m:sSubSup>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tanh</m:t>
            </m:r>
          </m:fName>
          <m:e>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W</m:t>
                    </m:r>
                  </m:e>
                  <m:sub>
                    <m:r>
                      <m:rPr>
                        <m:sty m:val="p"/>
                      </m:rPr>
                      <w:rPr>
                        <w:rFonts w:ascii="Cambria Math" w:hAnsi="Cambria Math" w:cs="Times New Roman"/>
                        <w:color w:val="000000" w:themeColor="text1"/>
                        <w:szCs w:val="24"/>
                      </w:rPr>
                      <m:t>a</m:t>
                    </m:r>
                  </m:sub>
                </m:sSub>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h</m:t>
                    </m:r>
                  </m:e>
                  <m:sub>
                    <m:r>
                      <m:rPr>
                        <m:sty m:val="p"/>
                      </m:rPr>
                      <w:rPr>
                        <w:rFonts w:ascii="Cambria Math" w:hAnsi="Cambria Math" w:cs="Times New Roman"/>
                        <w:color w:val="000000" w:themeColor="text1"/>
                        <w:szCs w:val="24"/>
                      </w:rPr>
                      <m:t>i,k</m:t>
                    </m:r>
                  </m:sub>
                </m:sSub>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b</m:t>
                    </m:r>
                  </m:e>
                  <m:sub>
                    <m:r>
                      <m:rPr>
                        <m:sty m:val="p"/>
                      </m:rPr>
                      <w:rPr>
                        <w:rFonts w:ascii="Cambria Math" w:hAnsi="Cambria Math" w:cs="Times New Roman"/>
                        <w:color w:val="000000" w:themeColor="text1"/>
                        <w:szCs w:val="24"/>
                      </w:rPr>
                      <m:t>a</m:t>
                    </m:r>
                  </m:sub>
                </m:sSub>
              </m:e>
            </m:d>
            <m:r>
              <w:rPr>
                <w:rFonts w:ascii="Cambria Math" w:hAnsi="Cambria Math" w:cs="Times New Roman"/>
                <w:color w:val="000000" w:themeColor="text1"/>
                <w:szCs w:val="24"/>
              </w:rPr>
              <m:t xml:space="preserve">                                                                                                   </m:t>
            </m:r>
          </m:e>
        </m:func>
      </m:oMath>
      <w:r w:rsidRPr="005835F7">
        <w:rPr>
          <w:rFonts w:cs="Times New Roman"/>
          <w:color w:val="000000" w:themeColor="text1"/>
          <w:szCs w:val="24"/>
        </w:rPr>
        <w:tab/>
        <w:t>(10)</w:t>
      </w:r>
    </w:p>
    <w:p w14:paraId="2262B305" w14:textId="77777777"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α</m:t>
            </m:r>
          </m:e>
          <m:sub>
            <m:r>
              <m:rPr>
                <m:sty m:val="p"/>
              </m:rPr>
              <w:rPr>
                <w:rFonts w:ascii="Cambria Math" w:hAnsi="Cambria Math" w:cs="Times New Roman"/>
                <w:color w:val="000000" w:themeColor="text1"/>
                <w:szCs w:val="24"/>
              </w:rPr>
              <m:t>i,k</m:t>
            </m:r>
          </m:sub>
        </m:sSub>
        <m:r>
          <m:rPr>
            <m:sty m:val="p"/>
          </m:rPr>
          <w:rPr>
            <w:rFonts w:ascii="Cambria Math" w:hAnsi="Cambria Math" w:cs="Times New Roman"/>
            <w:color w:val="000000" w:themeColor="text1"/>
            <w:szCs w:val="24"/>
          </w:rPr>
          <m:t>=</m:t>
        </m:r>
        <m:f>
          <m:fPr>
            <m:ctrlPr>
              <w:rPr>
                <w:rFonts w:ascii="Cambria Math" w:hAnsi="Cambria Math" w:cs="Times New Roman"/>
                <w:color w:val="000000" w:themeColor="text1"/>
                <w:szCs w:val="24"/>
              </w:rPr>
            </m:ctrlPr>
          </m:fPr>
          <m:num>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exp</m:t>
                </m:r>
              </m:fName>
              <m:e>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e</m:t>
                        </m:r>
                      </m:e>
                      <m:sub>
                        <m:r>
                          <m:rPr>
                            <m:sty m:val="p"/>
                          </m:rPr>
                          <w:rPr>
                            <w:rFonts w:ascii="Cambria Math" w:hAnsi="Cambria Math" w:cs="Times New Roman"/>
                            <w:color w:val="000000" w:themeColor="text1"/>
                            <w:szCs w:val="24"/>
                          </w:rPr>
                          <m:t>i,k</m:t>
                        </m:r>
                      </m:sub>
                    </m:sSub>
                  </m:e>
                </m:d>
              </m:e>
            </m:func>
          </m:num>
          <m:den>
            <m:nary>
              <m:naryPr>
                <m:chr m:val="∑"/>
                <m:limLoc m:val="undOvr"/>
                <m:ctrlPr>
                  <w:rPr>
                    <w:rFonts w:ascii="Cambria Math" w:hAnsi="Cambria Math" w:cs="Times New Roman"/>
                    <w:color w:val="000000" w:themeColor="text1"/>
                    <w:szCs w:val="24"/>
                  </w:rPr>
                </m:ctrlPr>
              </m:naryPr>
              <m:sub>
                <m:r>
                  <m:rPr>
                    <m:sty m:val="p"/>
                  </m:rPr>
                  <w:rPr>
                    <w:rFonts w:ascii="Cambria Math" w:hAnsi="Cambria Math" w:cs="Times New Roman"/>
                    <w:color w:val="000000" w:themeColor="text1"/>
                    <w:szCs w:val="24"/>
                  </w:rPr>
                  <m:t>r=1</m:t>
                </m:r>
              </m:sub>
              <m:sup>
                <m:r>
                  <m:rPr>
                    <m:sty m:val="p"/>
                  </m:rPr>
                  <w:rPr>
                    <w:rFonts w:ascii="Cambria Math" w:hAnsi="Cambria Math" w:cs="Times New Roman"/>
                    <w:color w:val="000000" w:themeColor="text1"/>
                    <w:szCs w:val="24"/>
                  </w:rPr>
                  <m:t>3</m:t>
                </m:r>
              </m:sup>
              <m:e>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exp</m:t>
                    </m:r>
                  </m:fName>
                  <m:e>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e</m:t>
                            </m:r>
                          </m:e>
                          <m:sub>
                            <m:r>
                              <m:rPr>
                                <m:sty m:val="p"/>
                              </m:rPr>
                              <w:rPr>
                                <w:rFonts w:ascii="Cambria Math" w:hAnsi="Cambria Math" w:cs="Times New Roman"/>
                                <w:color w:val="000000" w:themeColor="text1"/>
                                <w:szCs w:val="24"/>
                              </w:rPr>
                              <m:t>i,r</m:t>
                            </m:r>
                          </m:sub>
                        </m:sSub>
                      </m:e>
                    </m:d>
                  </m:e>
                </m:func>
              </m:e>
            </m:nary>
          </m:den>
        </m:f>
        <m:r>
          <w:rPr>
            <w:rFonts w:ascii="Cambria Math" w:hAnsi="Cambria Math" w:cs="Times New Roman"/>
            <w:color w:val="000000" w:themeColor="text1"/>
            <w:szCs w:val="24"/>
          </w:rPr>
          <m:t xml:space="preserve">                                                                                                                       </m:t>
        </m:r>
      </m:oMath>
      <w:r w:rsidRPr="005835F7">
        <w:rPr>
          <w:rFonts w:cs="Times New Roman"/>
          <w:color w:val="000000" w:themeColor="text1"/>
          <w:szCs w:val="24"/>
        </w:rPr>
        <w:tab/>
        <w:t>(11)</w:t>
      </w:r>
    </w:p>
    <w:p w14:paraId="3F7A8468" w14:textId="77777777"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c</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nary>
          <m:naryPr>
            <m:chr m:val="∑"/>
            <m:limLoc m:val="undOvr"/>
            <m:ctrlPr>
              <w:rPr>
                <w:rFonts w:ascii="Cambria Math" w:hAnsi="Cambria Math" w:cs="Times New Roman"/>
                <w:color w:val="000000" w:themeColor="text1"/>
                <w:szCs w:val="24"/>
              </w:rPr>
            </m:ctrlPr>
          </m:naryPr>
          <m:sub>
            <m:r>
              <m:rPr>
                <m:sty m:val="p"/>
              </m:rPr>
              <w:rPr>
                <w:rFonts w:ascii="Cambria Math" w:hAnsi="Cambria Math" w:cs="Times New Roman"/>
                <w:color w:val="000000" w:themeColor="text1"/>
                <w:szCs w:val="24"/>
              </w:rPr>
              <m:t>k=1</m:t>
            </m:r>
          </m:sub>
          <m:sup>
            <m:r>
              <m:rPr>
                <m:sty m:val="p"/>
              </m:rPr>
              <w:rPr>
                <w:rFonts w:ascii="Cambria Math" w:hAnsi="Cambria Math" w:cs="Times New Roman"/>
                <w:color w:val="000000" w:themeColor="text1"/>
                <w:szCs w:val="24"/>
              </w:rPr>
              <m:t>3</m:t>
            </m:r>
          </m:sup>
          <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α</m:t>
                </m:r>
              </m:e>
              <m:sub>
                <m:r>
                  <m:rPr>
                    <m:sty m:val="p"/>
                  </m:rPr>
                  <w:rPr>
                    <w:rFonts w:ascii="Cambria Math" w:hAnsi="Cambria Math" w:cs="Times New Roman"/>
                    <w:color w:val="000000" w:themeColor="text1"/>
                    <w:szCs w:val="24"/>
                  </w:rPr>
                  <m:t>i,k</m:t>
                </m:r>
              </m:sub>
            </m:sSub>
          </m:e>
        </m:nary>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h</m:t>
            </m:r>
          </m:e>
          <m:sub>
            <m:r>
              <m:rPr>
                <m:sty m:val="p"/>
              </m:rPr>
              <w:rPr>
                <w:rFonts w:ascii="Cambria Math" w:hAnsi="Cambria Math" w:cs="Times New Roman"/>
                <w:color w:val="000000" w:themeColor="text1"/>
                <w:szCs w:val="24"/>
              </w:rPr>
              <m:t xml:space="preserve">i,k                                                                                                                                                                     </m:t>
            </m:r>
          </m:sub>
        </m:sSub>
      </m:oMath>
      <w:r w:rsidRPr="005835F7">
        <w:rPr>
          <w:rFonts w:cs="Times New Roman"/>
          <w:color w:val="000000" w:themeColor="text1"/>
          <w:szCs w:val="24"/>
        </w:rPr>
        <w:tab/>
        <w:t>(12)</w:t>
      </w:r>
    </w:p>
    <w:p w14:paraId="5A366F75" w14:textId="77777777"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T</m:t>
            </m:r>
          </m:sup>
        </m:sSubSup>
        <m:r>
          <m:rPr>
            <m:sty m:val="p"/>
          </m:rPr>
          <w:rPr>
            <w:rFonts w:ascii="Cambria Math" w:hAnsi="Cambria Math" w:cs="Times New Roman"/>
            <w:color w:val="000000" w:themeColor="text1"/>
            <w:szCs w:val="24"/>
          </w:rPr>
          <m:t>=</m:t>
        </m:r>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LN</m:t>
            </m:r>
          </m:fName>
          <m:e>
            <m:d>
              <m:dPr>
                <m:ctrlPr>
                  <w:rPr>
                    <w:rFonts w:ascii="Cambria Math" w:hAnsi="Cambria Math" w:cs="Times New Roman"/>
                    <w:color w:val="000000" w:themeColor="text1"/>
                    <w:szCs w:val="24"/>
                  </w:rPr>
                </m:ctrlPr>
              </m:dPr>
              <m:e>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GELU</m:t>
                    </m:r>
                  </m:fName>
                  <m:e>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W</m:t>
                            </m:r>
                          </m:e>
                          <m:sub>
                            <m:r>
                              <m:rPr>
                                <m:sty m:val="p"/>
                              </m:rPr>
                              <w:rPr>
                                <w:rFonts w:ascii="Cambria Math" w:hAnsi="Cambria Math" w:cs="Times New Roman"/>
                                <w:color w:val="000000" w:themeColor="text1"/>
                                <w:szCs w:val="24"/>
                              </w:rPr>
                              <m:t>T</m:t>
                            </m:r>
                          </m:sub>
                        </m:sSub>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c</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b</m:t>
                            </m:r>
                          </m:e>
                          <m:sub>
                            <m:r>
                              <m:rPr>
                                <m:sty m:val="p"/>
                              </m:rPr>
                              <w:rPr>
                                <w:rFonts w:ascii="Cambria Math" w:hAnsi="Cambria Math" w:cs="Times New Roman"/>
                                <w:color w:val="000000" w:themeColor="text1"/>
                                <w:szCs w:val="24"/>
                              </w:rPr>
                              <m:t>T</m:t>
                            </m:r>
                          </m:sub>
                        </m:sSub>
                      </m:e>
                    </m:d>
                  </m:e>
                </m:func>
              </m:e>
            </m:d>
          </m:e>
        </m:func>
        <m:r>
          <m:rPr>
            <m:sty m:val="p"/>
          </m:rPr>
          <w:rPr>
            <w:rFonts w:ascii="Cambria Math" w:hAnsi="Cambria Math" w:cs="Times New Roman"/>
            <w:color w:val="000000" w:themeColor="text1"/>
            <w:szCs w:val="24"/>
          </w:rPr>
          <m:t>∈</m:t>
        </m:r>
        <m:sSup>
          <m:sSupPr>
            <m:ctrlPr>
              <w:rPr>
                <w:rFonts w:ascii="Cambria Math" w:hAnsi="Cambria Math" w:cs="Times New Roman"/>
                <w:color w:val="000000" w:themeColor="text1"/>
                <w:szCs w:val="24"/>
              </w:rPr>
            </m:ctrlPr>
          </m:sSupPr>
          <m:e>
            <m:r>
              <m:rPr>
                <m:scr m:val="double-struck"/>
                <m:sty m:val="p"/>
              </m:rPr>
              <w:rPr>
                <w:rFonts w:ascii="Cambria Math" w:hAnsi="Cambria Math" w:cs="Times New Roman"/>
                <w:color w:val="000000" w:themeColor="text1"/>
                <w:szCs w:val="24"/>
              </w:rPr>
              <m:t>R</m:t>
            </m:r>
          </m:e>
          <m:sup>
            <m:r>
              <m:rPr>
                <m:sty m:val="p"/>
              </m:rPr>
              <w:rPr>
                <w:rFonts w:ascii="Cambria Math" w:hAnsi="Cambria Math" w:cs="Times New Roman"/>
                <w:color w:val="000000" w:themeColor="text1"/>
                <w:szCs w:val="24"/>
              </w:rPr>
              <m:t>80</m:t>
            </m:r>
          </m:sup>
        </m:sSup>
        <m:r>
          <w:rPr>
            <w:rFonts w:ascii="Cambria Math" w:hAnsi="Cambria Math" w:cs="Times New Roman"/>
            <w:color w:val="000000" w:themeColor="text1"/>
            <w:szCs w:val="24"/>
          </w:rPr>
          <m:t xml:space="preserve">                                                                                   </m:t>
        </m:r>
      </m:oMath>
      <w:r w:rsidRPr="005835F7">
        <w:rPr>
          <w:rFonts w:cs="Times New Roman"/>
          <w:color w:val="000000" w:themeColor="text1"/>
          <w:szCs w:val="24"/>
        </w:rPr>
        <w:tab/>
        <w:t>(13)</w:t>
      </w:r>
    </w:p>
    <w:p w14:paraId="48BA16AA" w14:textId="77777777" w:rsidR="009A4EB4" w:rsidRDefault="009A4EB4" w:rsidP="006E6660">
      <w:pPr>
        <w:pStyle w:val="Heading3"/>
        <w:spacing w:after="120" w:line="276" w:lineRule="auto"/>
        <w:rPr>
          <w:rFonts w:ascii="Times New Roman" w:eastAsia="Times New Roman" w:hAnsi="Times New Roman" w:cs="Times New Roman"/>
          <w:b w:val="0"/>
          <w:bCs w:val="0"/>
          <w:color w:val="000000" w:themeColor="text1"/>
          <w:sz w:val="24"/>
          <w:szCs w:val="24"/>
        </w:rPr>
      </w:pPr>
      <w:r w:rsidRPr="009A4EB4">
        <w:rPr>
          <w:rFonts w:ascii="Times New Roman" w:eastAsia="Times New Roman" w:hAnsi="Times New Roman" w:cs="Times New Roman"/>
          <w:b w:val="0"/>
          <w:bCs w:val="0"/>
          <w:color w:val="000000" w:themeColor="text1"/>
          <w:sz w:val="24"/>
          <w:szCs w:val="24"/>
        </w:rPr>
        <w:t>In Equations (10)-(13), “e” is the unnormalized attention score, while alpha is the normalized weight for time and “c” is the context vector weighted. The mapping function projects from the 160-dimensional space of context to the 80-dimensional shared space. The attention weights are learned correlations in the model, but not causal explanations for individual years.</w:t>
      </w:r>
    </w:p>
    <w:p w14:paraId="502B8270" w14:textId="19FAE1EE" w:rsidR="00B71BC0" w:rsidRPr="005835F7" w:rsidRDefault="00B71BC0" w:rsidP="006E6660">
      <w:pPr>
        <w:pStyle w:val="Heading3"/>
        <w:spacing w:after="120" w:line="276" w:lineRule="auto"/>
        <w:rPr>
          <w:rFonts w:ascii="Times New Roman" w:hAnsi="Times New Roman" w:cs="Times New Roman"/>
          <w:color w:val="000000" w:themeColor="text1"/>
          <w:sz w:val="24"/>
          <w:szCs w:val="24"/>
          <w:lang w:val="en-IN"/>
        </w:rPr>
      </w:pPr>
      <w:r w:rsidRPr="005835F7">
        <w:rPr>
          <w:rFonts w:ascii="Times New Roman" w:eastAsia="Times New Roman" w:hAnsi="Times New Roman" w:cs="Times New Roman"/>
          <w:color w:val="000000" w:themeColor="text1"/>
          <w:sz w:val="24"/>
          <w:szCs w:val="24"/>
        </w:rPr>
        <w:t>3.5.3 Static and Categorical Encoders</w:t>
      </w:r>
    </w:p>
    <w:p w14:paraId="6DC3054A" w14:textId="2D67FC02" w:rsidR="009A4EB4" w:rsidRDefault="009A4EB4" w:rsidP="009A4EB4">
      <w:pPr>
        <w:pStyle w:val="EquationCaption"/>
        <w:tabs>
          <w:tab w:val="center" w:pos="4320"/>
          <w:tab w:val="right" w:pos="8640"/>
        </w:tabs>
        <w:spacing w:before="120"/>
        <w:rPr>
          <w:rFonts w:cs="Times New Roman"/>
          <w:color w:val="000000" w:themeColor="text1"/>
          <w:szCs w:val="24"/>
        </w:rPr>
      </w:pPr>
      <w:r w:rsidRPr="009A4EB4">
        <w:rPr>
          <w:rFonts w:cs="Times New Roman"/>
          <w:color w:val="000000" w:themeColor="text1"/>
          <w:szCs w:val="24"/>
        </w:rPr>
        <w:t>Static encoder encodes three numerical attributes of the platform, namely water depth, latitude, and longitude, by applying the transformation through two feed-forward layers with GELU activation, followed by dropout and layer normalization. Simultaneously, eight categorical features of the platform are encoded by using eight separate embedding layers. These embeddings are concatenated and projected to the latent space with dimensionality 80.</w:t>
      </w:r>
    </w:p>
    <w:p w14:paraId="6B7868AD" w14:textId="23A78C6D"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S</m:t>
            </m:r>
          </m:sup>
        </m:sSubSup>
        <m:r>
          <m:rPr>
            <m:sty m:val="p"/>
          </m:rPr>
          <w:rPr>
            <w:rFonts w:ascii="Cambria Math" w:hAnsi="Cambria Math" w:cs="Times New Roman"/>
            <w:color w:val="000000" w:themeColor="text1"/>
            <w:szCs w:val="24"/>
          </w:rPr>
          <m:t>=</m:t>
        </m:r>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LN</m:t>
            </m:r>
          </m:fName>
          <m:e>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W</m:t>
                    </m:r>
                  </m:e>
                  <m:sub>
                    <m:r>
                      <m:rPr>
                        <m:sty m:val="p"/>
                      </m:rPr>
                      <w:rPr>
                        <w:rFonts w:ascii="Cambria Math" w:hAnsi="Cambria Math" w:cs="Times New Roman"/>
                        <w:color w:val="000000" w:themeColor="text1"/>
                        <w:szCs w:val="24"/>
                      </w:rPr>
                      <m:t>S,2</m:t>
                    </m:r>
                  </m:sub>
                </m:sSub>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Dropout</m:t>
                    </m:r>
                  </m:fName>
                  <m:e>
                    <m:d>
                      <m:dPr>
                        <m:ctrlPr>
                          <w:rPr>
                            <w:rFonts w:ascii="Cambria Math" w:hAnsi="Cambria Math" w:cs="Times New Roman"/>
                            <w:color w:val="000000" w:themeColor="text1"/>
                            <w:szCs w:val="24"/>
                          </w:rPr>
                        </m:ctrlPr>
                      </m:dPr>
                      <m:e>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GELU</m:t>
                            </m:r>
                          </m:fName>
                          <m:e>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W</m:t>
                                    </m:r>
                                  </m:e>
                                  <m:sub>
                                    <m:r>
                                      <m:rPr>
                                        <m:sty m:val="p"/>
                                      </m:rPr>
                                      <w:rPr>
                                        <w:rFonts w:ascii="Cambria Math" w:hAnsi="Cambria Math" w:cs="Times New Roman"/>
                                        <w:color w:val="000000" w:themeColor="text1"/>
                                        <w:szCs w:val="24"/>
                                      </w:rPr>
                                      <m:t>S,1</m:t>
                                    </m:r>
                                  </m:sub>
                                </m:sSub>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s</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b</m:t>
                                    </m:r>
                                  </m:e>
                                  <m:sub>
                                    <m:r>
                                      <m:rPr>
                                        <m:sty m:val="p"/>
                                      </m:rPr>
                                      <w:rPr>
                                        <w:rFonts w:ascii="Cambria Math" w:hAnsi="Cambria Math" w:cs="Times New Roman"/>
                                        <w:color w:val="000000" w:themeColor="text1"/>
                                        <w:szCs w:val="24"/>
                                      </w:rPr>
                                      <m:t>S,1</m:t>
                                    </m:r>
                                  </m:sub>
                                </m:sSub>
                              </m:e>
                            </m:d>
                          </m:e>
                        </m:func>
                      </m:e>
                    </m:d>
                  </m:e>
                </m:func>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b</m:t>
                    </m:r>
                  </m:e>
                  <m:sub>
                    <m:r>
                      <m:rPr>
                        <m:sty m:val="p"/>
                      </m:rPr>
                      <w:rPr>
                        <w:rFonts w:ascii="Cambria Math" w:hAnsi="Cambria Math" w:cs="Times New Roman"/>
                        <w:color w:val="000000" w:themeColor="text1"/>
                        <w:szCs w:val="24"/>
                      </w:rPr>
                      <m:t>S,2</m:t>
                    </m:r>
                  </m:sub>
                </m:sSub>
              </m:e>
            </m:d>
            <m:r>
              <w:rPr>
                <w:rFonts w:ascii="Cambria Math" w:hAnsi="Cambria Math" w:cs="Times New Roman"/>
                <w:color w:val="000000" w:themeColor="text1"/>
                <w:szCs w:val="24"/>
              </w:rPr>
              <m:t xml:space="preserve">                                                 </m:t>
            </m:r>
          </m:e>
        </m:func>
      </m:oMath>
      <w:r w:rsidRPr="005835F7">
        <w:rPr>
          <w:rFonts w:cs="Times New Roman"/>
          <w:color w:val="000000" w:themeColor="text1"/>
          <w:szCs w:val="24"/>
        </w:rPr>
        <w:tab/>
        <w:t>(14)</w:t>
      </w:r>
    </w:p>
    <w:p w14:paraId="0554A851" w14:textId="77777777"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C</m:t>
            </m:r>
          </m:sup>
        </m:sSubSup>
        <m:r>
          <m:rPr>
            <m:sty m:val="p"/>
          </m:rPr>
          <w:rPr>
            <w:rFonts w:ascii="Cambria Math" w:hAnsi="Cambria Math" w:cs="Times New Roman"/>
            <w:color w:val="000000" w:themeColor="text1"/>
            <w:szCs w:val="24"/>
          </w:rPr>
          <m:t>=</m:t>
        </m:r>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LN</m:t>
            </m:r>
          </m:fName>
          <m:e>
            <m:d>
              <m:dPr>
                <m:ctrlPr>
                  <w:rPr>
                    <w:rFonts w:ascii="Cambria Math" w:hAnsi="Cambria Math" w:cs="Times New Roman"/>
                    <w:color w:val="000000" w:themeColor="text1"/>
                    <w:szCs w:val="24"/>
                  </w:rPr>
                </m:ctrlPr>
              </m:dPr>
              <m:e>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Dropout</m:t>
                    </m:r>
                  </m:fName>
                  <m:e>
                    <m:d>
                      <m:dPr>
                        <m:ctrlPr>
                          <w:rPr>
                            <w:rFonts w:ascii="Cambria Math" w:hAnsi="Cambria Math" w:cs="Times New Roman"/>
                            <w:color w:val="000000" w:themeColor="text1"/>
                            <w:szCs w:val="24"/>
                          </w:rPr>
                        </m:ctrlPr>
                      </m:dPr>
                      <m:e>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GELU</m:t>
                            </m:r>
                          </m:fName>
                          <m:e>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W</m:t>
                                    </m:r>
                                  </m:e>
                                  <m:sub>
                                    <m:r>
                                      <m:rPr>
                                        <m:sty m:val="p"/>
                                      </m:rPr>
                                      <w:rPr>
                                        <w:rFonts w:ascii="Cambria Math" w:hAnsi="Cambria Math" w:cs="Times New Roman"/>
                                        <w:color w:val="000000" w:themeColor="text1"/>
                                        <w:szCs w:val="24"/>
                                      </w:rPr>
                                      <m:t>C</m:t>
                                    </m:r>
                                  </m:sub>
                                </m:sSub>
                                <m:d>
                                  <m:dPr>
                                    <m:begChr m:val="["/>
                                    <m:endChr m:val="]"/>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E</m:t>
                                        </m:r>
                                      </m:e>
                                      <m:sub>
                                        <m:r>
                                          <m:rPr>
                                            <m:sty m:val="p"/>
                                          </m:rPr>
                                          <w:rPr>
                                            <w:rFonts w:ascii="Cambria Math" w:hAnsi="Cambria Math" w:cs="Times New Roman"/>
                                            <w:color w:val="000000" w:themeColor="text1"/>
                                            <w:szCs w:val="24"/>
                                          </w:rPr>
                                          <m:t>1</m:t>
                                        </m:r>
                                      </m:sub>
                                    </m:sSub>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c</m:t>
                                            </m:r>
                                          </m:e>
                                          <m:sub>
                                            <m:r>
                                              <m:rPr>
                                                <m:sty m:val="p"/>
                                              </m:rPr>
                                              <w:rPr>
                                                <w:rFonts w:ascii="Cambria Math" w:hAnsi="Cambria Math" w:cs="Times New Roman"/>
                                                <w:color w:val="000000" w:themeColor="text1"/>
                                                <w:szCs w:val="24"/>
                                              </w:rPr>
                                              <m:t>i,1</m:t>
                                            </m:r>
                                          </m:sub>
                                        </m:sSub>
                                      </m:e>
                                    </m:d>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E</m:t>
                                        </m:r>
                                      </m:e>
                                      <m:sub>
                                        <m:r>
                                          <m:rPr>
                                            <m:sty m:val="p"/>
                                          </m:rPr>
                                          <w:rPr>
                                            <w:rFonts w:ascii="Cambria Math" w:hAnsi="Cambria Math" w:cs="Times New Roman"/>
                                            <w:color w:val="000000" w:themeColor="text1"/>
                                            <w:szCs w:val="24"/>
                                          </w:rPr>
                                          <m:t>8</m:t>
                                        </m:r>
                                      </m:sub>
                                    </m:sSub>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c</m:t>
                                            </m:r>
                                          </m:e>
                                          <m:sub>
                                            <m:r>
                                              <m:rPr>
                                                <m:sty m:val="p"/>
                                              </m:rPr>
                                              <w:rPr>
                                                <w:rFonts w:ascii="Cambria Math" w:hAnsi="Cambria Math" w:cs="Times New Roman"/>
                                                <w:color w:val="000000" w:themeColor="text1"/>
                                                <w:szCs w:val="24"/>
                                              </w:rPr>
                                              <m:t>i,8</m:t>
                                            </m:r>
                                          </m:sub>
                                        </m:sSub>
                                      </m:e>
                                    </m:d>
                                  </m:e>
                                </m:d>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b</m:t>
                                    </m:r>
                                  </m:e>
                                  <m:sub>
                                    <m:r>
                                      <m:rPr>
                                        <m:sty m:val="p"/>
                                      </m:rPr>
                                      <w:rPr>
                                        <w:rFonts w:ascii="Cambria Math" w:hAnsi="Cambria Math" w:cs="Times New Roman"/>
                                        <w:color w:val="000000" w:themeColor="text1"/>
                                        <w:szCs w:val="24"/>
                                      </w:rPr>
                                      <m:t>C</m:t>
                                    </m:r>
                                  </m:sub>
                                </m:sSub>
                              </m:e>
                            </m:d>
                          </m:e>
                        </m:func>
                      </m:e>
                    </m:d>
                  </m:e>
                </m:func>
              </m:e>
            </m:d>
            <m:r>
              <w:rPr>
                <w:rFonts w:ascii="Cambria Math" w:hAnsi="Cambria Math" w:cs="Times New Roman"/>
                <w:color w:val="000000" w:themeColor="text1"/>
                <w:szCs w:val="24"/>
              </w:rPr>
              <m:t xml:space="preserve">                                  </m:t>
            </m:r>
          </m:e>
        </m:func>
      </m:oMath>
      <w:r w:rsidRPr="005835F7">
        <w:rPr>
          <w:rFonts w:cs="Times New Roman"/>
          <w:color w:val="000000" w:themeColor="text1"/>
          <w:szCs w:val="24"/>
        </w:rPr>
        <w:tab/>
        <w:t>(15)</w:t>
      </w:r>
    </w:p>
    <w:p w14:paraId="1BC9DB75" w14:textId="77777777" w:rsidR="001C7961" w:rsidRPr="005835F7" w:rsidRDefault="001C7961" w:rsidP="006E6660">
      <w:pPr>
        <w:spacing w:after="100"/>
        <w:rPr>
          <w:rFonts w:cs="Times New Roman"/>
          <w:color w:val="000000" w:themeColor="text1"/>
          <w:sz w:val="24"/>
          <w:szCs w:val="24"/>
        </w:rPr>
      </w:pPr>
    </w:p>
    <w:p w14:paraId="29F4DB8A" w14:textId="77777777" w:rsidR="00B71BC0" w:rsidRPr="005835F7" w:rsidRDefault="001C7961" w:rsidP="006E6660">
      <w:pPr>
        <w:spacing w:after="100"/>
        <w:rPr>
          <w:rFonts w:cs="Times New Roman"/>
          <w:color w:val="000000" w:themeColor="text1"/>
          <w:sz w:val="24"/>
          <w:szCs w:val="24"/>
        </w:rPr>
      </w:pPr>
      <w:r w:rsidRPr="005835F7">
        <w:rPr>
          <w:rFonts w:cs="Times New Roman"/>
          <w:color w:val="000000" w:themeColor="text1"/>
          <w:sz w:val="24"/>
          <w:szCs w:val="24"/>
        </w:rPr>
        <w:t>In Equations (14)</w:t>
      </w:r>
      <w:proofErr w:type="gramStart"/>
      <w:r w:rsidRPr="005835F7">
        <w:rPr>
          <w:rFonts w:cs="Times New Roman"/>
          <w:color w:val="000000" w:themeColor="text1"/>
          <w:sz w:val="24"/>
          <w:szCs w:val="24"/>
        </w:rPr>
        <w:t>–(</w:t>
      </w:r>
      <w:proofErr w:type="gramEnd"/>
      <w:r w:rsidRPr="005835F7">
        <w:rPr>
          <w:rFonts w:cs="Times New Roman"/>
          <w:color w:val="000000" w:themeColor="text1"/>
          <w:sz w:val="24"/>
          <w:szCs w:val="24"/>
        </w:rPr>
        <w:t>15), the static vector contains water depth, latitude, and longitude, while each categorical variable has an independent training-derived embedding table. Both encoders produce 80-dimensional tokens. These branches reproduce the archived experiment; the historical validity of several attached snapshot attributes remains unresolved.</w:t>
      </w:r>
    </w:p>
    <w:p w14:paraId="31971447" w14:textId="77777777" w:rsidR="001C7961" w:rsidRPr="005835F7" w:rsidRDefault="001C7961" w:rsidP="006E6660">
      <w:pPr>
        <w:spacing w:after="100"/>
        <w:rPr>
          <w:rFonts w:cs="Times New Roman"/>
          <w:color w:val="000000" w:themeColor="text1"/>
          <w:sz w:val="24"/>
          <w:szCs w:val="24"/>
        </w:rPr>
      </w:pPr>
    </w:p>
    <w:p w14:paraId="0BF1A4CA" w14:textId="77777777" w:rsidR="00B71BC0" w:rsidRPr="005835F7" w:rsidRDefault="00B71BC0" w:rsidP="006E6660">
      <w:pPr>
        <w:pStyle w:val="Heading3"/>
        <w:spacing w:after="120" w:line="276" w:lineRule="auto"/>
        <w:rPr>
          <w:rFonts w:ascii="Times New Roman" w:hAnsi="Times New Roman" w:cs="Times New Roman"/>
          <w:color w:val="000000" w:themeColor="text1"/>
          <w:sz w:val="24"/>
          <w:szCs w:val="24"/>
          <w:lang w:val="en-IN"/>
        </w:rPr>
      </w:pPr>
      <w:r w:rsidRPr="005835F7">
        <w:rPr>
          <w:rFonts w:ascii="Times New Roman" w:eastAsia="Times New Roman" w:hAnsi="Times New Roman" w:cs="Times New Roman"/>
          <w:color w:val="000000" w:themeColor="text1"/>
          <w:sz w:val="24"/>
          <w:szCs w:val="24"/>
        </w:rPr>
        <w:lastRenderedPageBreak/>
        <w:t>3.5.4 Cross-Modal Attention and Residual Fusion</w:t>
      </w:r>
    </w:p>
    <w:p w14:paraId="7C92EF29" w14:textId="14574260" w:rsidR="00B71BC0" w:rsidRPr="005835F7" w:rsidRDefault="009A4EB4" w:rsidP="006E6660">
      <w:pPr>
        <w:pStyle w:val="EquationCaption"/>
        <w:tabs>
          <w:tab w:val="center" w:pos="4320"/>
          <w:tab w:val="right" w:pos="8640"/>
        </w:tabs>
        <w:spacing w:before="120"/>
        <w:jc w:val="right"/>
        <w:rPr>
          <w:rFonts w:cs="Times New Roman"/>
          <w:color w:val="000000" w:themeColor="text1"/>
          <w:szCs w:val="24"/>
        </w:rPr>
      </w:pPr>
      <w:r w:rsidRPr="009A4EB4">
        <w:rPr>
          <w:rFonts w:eastAsia="Times New Roman" w:cs="Times New Roman"/>
          <w:color w:val="000000" w:themeColor="text1"/>
          <w:szCs w:val="24"/>
        </w:rPr>
        <w:t>The temporal-static-numerical and categorical tokens are combined using an eight-head learned query attention-pooling mechanism. A trainable query computes a weighted sum of the three independently encoded tokens; this is not token swapping. An arithmetic mean provides a residual pathway, retaining the information present in all branches. The concatenated pool and mean result in a 160-dimensional representation, which is inputted to a two-layer classification head with GELU activation and dropout layers, to yield a logit, the sigmoid of which is the model prediction for a recorded INC at t+1.</w:t>
      </w:r>
      <w:r w:rsidR="00000000" w:rsidRPr="005835F7">
        <w:rPr>
          <w:rFonts w:cs="Times New Roman"/>
          <w:color w:val="000000" w:themeColor="text1"/>
          <w:szCs w:val="24"/>
        </w:rPr>
        <w:tab/>
      </w:r>
      <m:oMath>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a</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MHA</m:t>
            </m:r>
          </m:fName>
          <m:e>
            <m:d>
              <m:dPr>
                <m:ctrlPr>
                  <w:rPr>
                    <w:rFonts w:ascii="Cambria Math" w:hAnsi="Cambria Math" w:cs="Times New Roman"/>
                    <w:color w:val="000000" w:themeColor="text1"/>
                    <w:szCs w:val="24"/>
                  </w:rPr>
                </m:ctrlPr>
              </m:dPr>
              <m:e>
                <m:r>
                  <m:rPr>
                    <m:sty m:val="b"/>
                  </m:rPr>
                  <w:rPr>
                    <w:rFonts w:ascii="Cambria Math" w:hAnsi="Cambria Math" w:cs="Times New Roman"/>
                    <w:color w:val="000000" w:themeColor="text1"/>
                    <w:szCs w:val="24"/>
                  </w:rPr>
                  <m:t>q</m:t>
                </m:r>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Sub>
              </m:e>
            </m:d>
          </m:e>
        </m:func>
        <m:r>
          <m:rPr>
            <m:sty m:val="p"/>
          </m:rPr>
          <w:rPr>
            <w:rFonts w:ascii="Cambria Math" w:hAnsi="Cambria Math" w:cs="Times New Roman"/>
            <w:color w:val="000000" w:themeColor="text1"/>
            <w:szCs w:val="24"/>
          </w:rPr>
          <m:t>∈</m:t>
        </m:r>
        <m:sSup>
          <m:sSupPr>
            <m:ctrlPr>
              <w:rPr>
                <w:rFonts w:ascii="Cambria Math" w:hAnsi="Cambria Math" w:cs="Times New Roman"/>
                <w:color w:val="000000" w:themeColor="text1"/>
                <w:szCs w:val="24"/>
              </w:rPr>
            </m:ctrlPr>
          </m:sSupPr>
          <m:e>
            <m:r>
              <m:rPr>
                <m:scr m:val="double-struck"/>
                <m:sty m:val="p"/>
              </m:rPr>
              <w:rPr>
                <w:rFonts w:ascii="Cambria Math" w:hAnsi="Cambria Math" w:cs="Times New Roman"/>
                <w:color w:val="000000" w:themeColor="text1"/>
                <w:szCs w:val="24"/>
              </w:rPr>
              <m:t>R</m:t>
            </m:r>
          </m:e>
          <m:sup>
            <m:r>
              <m:rPr>
                <m:sty m:val="p"/>
              </m:rPr>
              <w:rPr>
                <w:rFonts w:ascii="Cambria Math" w:hAnsi="Cambria Math" w:cs="Times New Roman"/>
                <w:color w:val="000000" w:themeColor="text1"/>
                <w:szCs w:val="24"/>
              </w:rPr>
              <m:t>80</m:t>
            </m:r>
          </m:sup>
        </m:sSup>
        <m:r>
          <m:rPr>
            <m:sty m:val="p"/>
          </m:rPr>
          <w:rPr>
            <w:rFonts w:ascii="Cambria Math" w:hAnsi="Cambria Math" w:cs="Times New Roman"/>
            <w:color w:val="000000" w:themeColor="text1"/>
            <w:szCs w:val="24"/>
          </w:rPr>
          <m:t>,</m:t>
        </m:r>
        <m:r>
          <m:rPr>
            <m:sty m:val="p"/>
          </m:rPr>
          <w:rPr>
            <w:rFonts w:ascii="Cambria Math" w:hAnsi="Cambria Math" w:cs="Times New Roman"/>
            <w:color w:val="000000" w:themeColor="text1"/>
            <w:szCs w:val="24"/>
          </w:rPr>
          <m:t> </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d>
          <m:dPr>
            <m:begChr m:val="["/>
            <m:endChr m:val="]"/>
            <m:ctrlPr>
              <w:rPr>
                <w:rFonts w:ascii="Cambria Math" w:hAnsi="Cambria Math" w:cs="Times New Roman"/>
                <w:color w:val="000000" w:themeColor="text1"/>
                <w:szCs w:val="24"/>
              </w:rPr>
            </m:ctrlPr>
          </m:dPr>
          <m:e>
            <m:m>
              <m:mPr>
                <m:mcs>
                  <m:mc>
                    <m:mcPr>
                      <m:count m:val="1"/>
                      <m:mcJc m:val="center"/>
                    </m:mcPr>
                  </m:mc>
                </m:mcs>
                <m:ctrlPr>
                  <w:rPr>
                    <w:rFonts w:ascii="Cambria Math" w:hAnsi="Cambria Math" w:cs="Times New Roman"/>
                    <w:color w:val="000000" w:themeColor="text1"/>
                    <w:szCs w:val="24"/>
                  </w:rPr>
                </m:ctrlPr>
              </m:mPr>
              <m:mr>
                <m:e>
                  <m:sSup>
                    <m:sSupPr>
                      <m:ctrlPr>
                        <w:rPr>
                          <w:rFonts w:ascii="Cambria Math" w:hAnsi="Cambria Math" w:cs="Times New Roman"/>
                          <w:color w:val="000000" w:themeColor="text1"/>
                          <w:szCs w:val="24"/>
                        </w:rPr>
                      </m:ctrlPr>
                    </m:sSupPr>
                    <m:e>
                      <m:d>
                        <m:dPr>
                          <m:ctrlPr>
                            <w:rPr>
                              <w:rFonts w:ascii="Cambria Math" w:hAnsi="Cambria Math" w:cs="Times New Roman"/>
                              <w:color w:val="000000" w:themeColor="text1"/>
                              <w:szCs w:val="24"/>
                            </w:rPr>
                          </m:ctrlPr>
                        </m:dPr>
                        <m:e>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T</m:t>
                              </m:r>
                            </m:sup>
                          </m:sSubSup>
                        </m:e>
                      </m:d>
                    </m:e>
                    <m:sup>
                      <m:r>
                        <m:rPr>
                          <m:sty m:val="p"/>
                        </m:rPr>
                        <w:rPr>
                          <w:rFonts w:ascii="Cambria Math" w:hAnsi="Cambria Math" w:cs="Times New Roman"/>
                          <w:color w:val="000000" w:themeColor="text1"/>
                          <w:szCs w:val="24"/>
                        </w:rPr>
                        <m:t>⊤</m:t>
                      </m:r>
                    </m:sup>
                  </m:sSup>
                </m:e>
              </m:mr>
              <m:mr>
                <m:e>
                  <m:sSup>
                    <m:sSupPr>
                      <m:ctrlPr>
                        <w:rPr>
                          <w:rFonts w:ascii="Cambria Math" w:hAnsi="Cambria Math" w:cs="Times New Roman"/>
                          <w:color w:val="000000" w:themeColor="text1"/>
                          <w:szCs w:val="24"/>
                        </w:rPr>
                      </m:ctrlPr>
                    </m:sSupPr>
                    <m:e>
                      <m:d>
                        <m:dPr>
                          <m:ctrlPr>
                            <w:rPr>
                              <w:rFonts w:ascii="Cambria Math" w:hAnsi="Cambria Math" w:cs="Times New Roman"/>
                              <w:color w:val="000000" w:themeColor="text1"/>
                              <w:szCs w:val="24"/>
                            </w:rPr>
                          </m:ctrlPr>
                        </m:dPr>
                        <m:e>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S</m:t>
                              </m:r>
                            </m:sup>
                          </m:sSubSup>
                        </m:e>
                      </m:d>
                    </m:e>
                    <m:sup>
                      <m:r>
                        <m:rPr>
                          <m:sty m:val="p"/>
                        </m:rPr>
                        <w:rPr>
                          <w:rFonts w:ascii="Cambria Math" w:hAnsi="Cambria Math" w:cs="Times New Roman"/>
                          <w:color w:val="000000" w:themeColor="text1"/>
                          <w:szCs w:val="24"/>
                        </w:rPr>
                        <m:t>⊤</m:t>
                      </m:r>
                    </m:sup>
                  </m:sSup>
                </m:e>
              </m:mr>
              <m:mr>
                <m:e>
                  <m:sSup>
                    <m:sSupPr>
                      <m:ctrlPr>
                        <w:rPr>
                          <w:rFonts w:ascii="Cambria Math" w:hAnsi="Cambria Math" w:cs="Times New Roman"/>
                          <w:color w:val="000000" w:themeColor="text1"/>
                          <w:szCs w:val="24"/>
                        </w:rPr>
                      </m:ctrlPr>
                    </m:sSupPr>
                    <m:e>
                      <m:d>
                        <m:dPr>
                          <m:ctrlPr>
                            <w:rPr>
                              <w:rFonts w:ascii="Cambria Math" w:hAnsi="Cambria Math" w:cs="Times New Roman"/>
                              <w:color w:val="000000" w:themeColor="text1"/>
                              <w:szCs w:val="24"/>
                            </w:rPr>
                          </m:ctrlPr>
                        </m:dPr>
                        <m:e>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C</m:t>
                              </m:r>
                            </m:sup>
                          </m:sSubSup>
                        </m:e>
                      </m:d>
                    </m:e>
                    <m:sup>
                      <m:r>
                        <m:rPr>
                          <m:sty m:val="p"/>
                        </m:rPr>
                        <w:rPr>
                          <w:rFonts w:ascii="Cambria Math" w:hAnsi="Cambria Math" w:cs="Times New Roman"/>
                          <w:color w:val="000000" w:themeColor="text1"/>
                          <w:szCs w:val="24"/>
                        </w:rPr>
                        <m:t>⊤</m:t>
                      </m:r>
                    </m:sup>
                  </m:sSup>
                </m:e>
              </m:mr>
            </m:m>
          </m:e>
        </m:d>
        <m:r>
          <w:rPr>
            <w:rFonts w:ascii="Cambria Math" w:hAnsi="Cambria Math" w:cs="Times New Roman"/>
            <w:color w:val="000000" w:themeColor="text1"/>
            <w:szCs w:val="24"/>
          </w:rPr>
          <m:t xml:space="preserve">                                                                               </m:t>
        </m:r>
      </m:oMath>
      <w:r w:rsidR="00000000" w:rsidRPr="005835F7">
        <w:rPr>
          <w:rFonts w:cs="Times New Roman"/>
          <w:color w:val="000000" w:themeColor="text1"/>
          <w:szCs w:val="24"/>
        </w:rPr>
        <w:tab/>
        <w:t>(16)</w:t>
      </w:r>
    </w:p>
    <w:p w14:paraId="2BEDF5B3" w14:textId="77777777"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u</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d>
          <m:dPr>
            <m:begChr m:val="["/>
            <m:endChr m:val="]"/>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a</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f>
              <m:fPr>
                <m:ctrlPr>
                  <w:rPr>
                    <w:rFonts w:ascii="Cambria Math" w:hAnsi="Cambria Math" w:cs="Times New Roman"/>
                    <w:color w:val="000000" w:themeColor="text1"/>
                    <w:szCs w:val="24"/>
                  </w:rPr>
                </m:ctrlPr>
              </m:fPr>
              <m:num>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T</m:t>
                    </m:r>
                  </m:sup>
                </m:sSubSup>
                <m:r>
                  <m:rPr>
                    <m:sty m:val="p"/>
                  </m:rPr>
                  <w:rPr>
                    <w:rFonts w:ascii="Cambria Math" w:hAnsi="Cambria Math" w:cs="Times New Roman"/>
                    <w:color w:val="000000" w:themeColor="text1"/>
                    <w:szCs w:val="24"/>
                  </w:rPr>
                  <m:t>+</m:t>
                </m:r>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S</m:t>
                    </m:r>
                  </m:sup>
                </m:sSubSup>
                <m:r>
                  <m:rPr>
                    <m:sty m:val="p"/>
                  </m:rPr>
                  <w:rPr>
                    <w:rFonts w:ascii="Cambria Math" w:hAnsi="Cambria Math" w:cs="Times New Roman"/>
                    <w:color w:val="000000" w:themeColor="text1"/>
                    <w:szCs w:val="24"/>
                  </w:rPr>
                  <m:t>+</m:t>
                </m:r>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C</m:t>
                    </m:r>
                  </m:sup>
                </m:sSubSup>
              </m:num>
              <m:den>
                <m:r>
                  <m:rPr>
                    <m:sty m:val="p"/>
                  </m:rPr>
                  <w:rPr>
                    <w:rFonts w:ascii="Cambria Math" w:hAnsi="Cambria Math" w:cs="Times New Roman"/>
                    <w:color w:val="000000" w:themeColor="text1"/>
                    <w:szCs w:val="24"/>
                  </w:rPr>
                  <m:t>3</m:t>
                </m:r>
              </m:den>
            </m:f>
          </m:e>
        </m:d>
        <m:r>
          <m:rPr>
            <m:sty m:val="p"/>
          </m:rPr>
          <w:rPr>
            <w:rFonts w:ascii="Cambria Math" w:hAnsi="Cambria Math" w:cs="Times New Roman"/>
            <w:color w:val="000000" w:themeColor="text1"/>
            <w:szCs w:val="24"/>
          </w:rPr>
          <m:t>∈</m:t>
        </m:r>
        <m:sSup>
          <m:sSupPr>
            <m:ctrlPr>
              <w:rPr>
                <w:rFonts w:ascii="Cambria Math" w:hAnsi="Cambria Math" w:cs="Times New Roman"/>
                <w:color w:val="000000" w:themeColor="text1"/>
                <w:szCs w:val="24"/>
              </w:rPr>
            </m:ctrlPr>
          </m:sSupPr>
          <m:e>
            <m:r>
              <m:rPr>
                <m:scr m:val="double-struck"/>
                <m:sty m:val="p"/>
              </m:rPr>
              <w:rPr>
                <w:rFonts w:ascii="Cambria Math" w:hAnsi="Cambria Math" w:cs="Times New Roman"/>
                <w:color w:val="000000" w:themeColor="text1"/>
                <w:szCs w:val="24"/>
              </w:rPr>
              <m:t>R</m:t>
            </m:r>
          </m:e>
          <m:sup>
            <m:r>
              <m:rPr>
                <m:sty m:val="p"/>
              </m:rPr>
              <w:rPr>
                <w:rFonts w:ascii="Cambria Math" w:hAnsi="Cambria Math" w:cs="Times New Roman"/>
                <w:color w:val="000000" w:themeColor="text1"/>
                <w:szCs w:val="24"/>
              </w:rPr>
              <m:t xml:space="preserve">160                                                                                                                                                      </m:t>
            </m:r>
          </m:sup>
        </m:sSup>
      </m:oMath>
      <w:r w:rsidRPr="005835F7">
        <w:rPr>
          <w:rFonts w:cs="Times New Roman"/>
          <w:color w:val="000000" w:themeColor="text1"/>
          <w:szCs w:val="24"/>
        </w:rPr>
        <w:tab/>
        <w:t>(17)</w:t>
      </w:r>
    </w:p>
    <w:p w14:paraId="62F7ACF7" w14:textId="77777777"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sSub>
          <m:sSubPr>
            <m:ctrlPr>
              <w:rPr>
                <w:rFonts w:ascii="Cambria Math" w:hAnsi="Cambria Math" w:cs="Times New Roman"/>
                <w:color w:val="000000" w:themeColor="text1"/>
                <w:szCs w:val="24"/>
              </w:rPr>
            </m:ctrlPr>
          </m:sSubPr>
          <m:e>
            <m:acc>
              <m:accPr>
                <m:chr m:val="ˆ"/>
                <m:ctrlPr>
                  <w:rPr>
                    <w:rFonts w:ascii="Cambria Math" w:hAnsi="Cambria Math" w:cs="Times New Roman"/>
                    <w:color w:val="000000" w:themeColor="text1"/>
                    <w:szCs w:val="24"/>
                  </w:rPr>
                </m:ctrlPr>
              </m:accPr>
              <m:e>
                <m:r>
                  <m:rPr>
                    <m:sty m:val="p"/>
                  </m:rPr>
                  <w:rPr>
                    <w:rFonts w:ascii="Cambria Math" w:hAnsi="Cambria Math" w:cs="Times New Roman"/>
                    <w:color w:val="000000" w:themeColor="text1"/>
                    <w:szCs w:val="24"/>
                  </w:rPr>
                  <m:t>p</m:t>
                </m:r>
              </m:e>
            </m:acc>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=σ</m:t>
        </m:r>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W</m:t>
                </m:r>
              </m:e>
              <m:sub>
                <m:r>
                  <m:rPr>
                    <m:sty m:val="p"/>
                  </m:rPr>
                  <w:rPr>
                    <w:rFonts w:ascii="Cambria Math" w:hAnsi="Cambria Math" w:cs="Times New Roman"/>
                    <w:color w:val="000000" w:themeColor="text1"/>
                    <w:szCs w:val="24"/>
                  </w:rPr>
                  <m:t>2</m:t>
                </m:r>
              </m:sub>
            </m:sSub>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Dropout</m:t>
                </m:r>
              </m:fName>
              <m:e>
                <m:d>
                  <m:dPr>
                    <m:ctrlPr>
                      <w:rPr>
                        <w:rFonts w:ascii="Cambria Math" w:hAnsi="Cambria Math" w:cs="Times New Roman"/>
                        <w:color w:val="000000" w:themeColor="text1"/>
                        <w:szCs w:val="24"/>
                      </w:rPr>
                    </m:ctrlPr>
                  </m:dPr>
                  <m:e>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GELU</m:t>
                        </m:r>
                      </m:fName>
                      <m:e>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W</m:t>
                                </m:r>
                              </m:e>
                              <m:sub>
                                <m:r>
                                  <m:rPr>
                                    <m:sty m:val="p"/>
                                  </m:rPr>
                                  <w:rPr>
                                    <w:rFonts w:ascii="Cambria Math" w:hAnsi="Cambria Math" w:cs="Times New Roman"/>
                                    <w:color w:val="000000" w:themeColor="text1"/>
                                    <w:szCs w:val="24"/>
                                  </w:rPr>
                                  <m:t>1</m:t>
                                </m:r>
                              </m:sub>
                            </m:sSub>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u</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b</m:t>
                                </m:r>
                              </m:e>
                              <m:sub>
                                <m:r>
                                  <m:rPr>
                                    <m:sty m:val="p"/>
                                  </m:rPr>
                                  <w:rPr>
                                    <w:rFonts w:ascii="Cambria Math" w:hAnsi="Cambria Math" w:cs="Times New Roman"/>
                                    <w:color w:val="000000" w:themeColor="text1"/>
                                    <w:szCs w:val="24"/>
                                  </w:rPr>
                                  <m:t>1</m:t>
                                </m:r>
                              </m:sub>
                            </m:sSub>
                          </m:e>
                        </m:d>
                      </m:e>
                    </m:func>
                  </m:e>
                </m:d>
              </m:e>
            </m:func>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b</m:t>
                </m:r>
              </m:e>
              <m:sub>
                <m:r>
                  <m:rPr>
                    <m:sty m:val="p"/>
                  </m:rPr>
                  <w:rPr>
                    <w:rFonts w:ascii="Cambria Math" w:hAnsi="Cambria Math" w:cs="Times New Roman"/>
                    <w:color w:val="000000" w:themeColor="text1"/>
                    <w:szCs w:val="24"/>
                  </w:rPr>
                  <m:t>2</m:t>
                </m:r>
              </m:sub>
            </m:sSub>
          </m:e>
        </m:d>
        <m:r>
          <w:rPr>
            <w:rFonts w:ascii="Cambria Math" w:hAnsi="Cambria Math" w:cs="Times New Roman"/>
            <w:color w:val="000000" w:themeColor="text1"/>
            <w:szCs w:val="24"/>
          </w:rPr>
          <m:t xml:space="preserve">                                                                      </m:t>
        </m:r>
      </m:oMath>
      <w:r w:rsidRPr="005835F7">
        <w:rPr>
          <w:rFonts w:cs="Times New Roman"/>
          <w:color w:val="000000" w:themeColor="text1"/>
          <w:szCs w:val="24"/>
        </w:rPr>
        <w:t xml:space="preserve">   (18)</w:t>
      </w:r>
    </w:p>
    <w:p w14:paraId="4D3375C7" w14:textId="77777777" w:rsidR="009A4EB4" w:rsidRDefault="009A4EB4" w:rsidP="009A4EB4">
      <w:pPr>
        <w:spacing w:after="100"/>
        <w:rPr>
          <w:rFonts w:cs="Times New Roman"/>
          <w:color w:val="000000" w:themeColor="text1"/>
          <w:sz w:val="24"/>
          <w:szCs w:val="24"/>
        </w:rPr>
      </w:pPr>
      <w:r w:rsidRPr="009A4EB4">
        <w:rPr>
          <w:rFonts w:cs="Times New Roman"/>
          <w:color w:val="000000" w:themeColor="text1"/>
          <w:sz w:val="24"/>
          <w:szCs w:val="24"/>
        </w:rPr>
        <w:t>Equations (16)</w:t>
      </w:r>
      <w:proofErr w:type="gramStart"/>
      <w:r w:rsidRPr="009A4EB4">
        <w:rPr>
          <w:rFonts w:cs="Times New Roman"/>
          <w:color w:val="000000" w:themeColor="text1"/>
          <w:sz w:val="24"/>
          <w:szCs w:val="24"/>
        </w:rPr>
        <w:t>–(</w:t>
      </w:r>
      <w:proofErr w:type="gramEnd"/>
      <w:r w:rsidRPr="009A4EB4">
        <w:rPr>
          <w:rFonts w:cs="Times New Roman"/>
          <w:color w:val="000000" w:themeColor="text1"/>
          <w:sz w:val="24"/>
          <w:szCs w:val="24"/>
        </w:rPr>
        <w:t>18) show how the learned 80-dimensional query q operates on the three modality tokens in Z using attention pooling. Concatenation of the pool and mean produces the 160-dimensional fusion vector, which the classifier maps to the sigmoid probability of the outcome at t+1.</w:t>
      </w:r>
    </w:p>
    <w:p w14:paraId="48FDFF7E" w14:textId="63C30F6B" w:rsidR="002A6ACB" w:rsidRPr="005835F7" w:rsidRDefault="002A6ACB" w:rsidP="0019468E">
      <w:pPr>
        <w:spacing w:after="100"/>
        <w:jc w:val="center"/>
        <w:rPr>
          <w:rFonts w:cs="Times New Roman"/>
          <w:color w:val="000000" w:themeColor="text1"/>
          <w:sz w:val="24"/>
          <w:szCs w:val="24"/>
        </w:rPr>
      </w:pPr>
      <w:r w:rsidRPr="005835F7">
        <w:rPr>
          <w:rFonts w:cs="Times New Roman"/>
          <w:noProof/>
          <w:color w:val="000000" w:themeColor="text1"/>
          <w:sz w:val="24"/>
          <w:szCs w:val="24"/>
        </w:rPr>
        <w:drawing>
          <wp:inline distT="0" distB="0" distL="0" distR="0" wp14:anchorId="04D2DBA0" wp14:editId="7E0FDC82">
            <wp:extent cx="5544000" cy="4398190"/>
            <wp:effectExtent l="0" t="0" r="3175" b="2540"/>
            <wp:docPr id="204352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44000" cy="4398190"/>
                    </a:xfrm>
                    <a:prstGeom prst="rect">
                      <a:avLst/>
                    </a:prstGeom>
                    <a:noFill/>
                    <a:ln>
                      <a:noFill/>
                    </a:ln>
                  </pic:spPr>
                </pic:pic>
              </a:graphicData>
            </a:graphic>
          </wp:inline>
        </w:drawing>
      </w:r>
    </w:p>
    <w:p w14:paraId="533F4E81" w14:textId="77777777" w:rsidR="0019468E" w:rsidRPr="005835F7" w:rsidRDefault="0019468E" w:rsidP="0019468E">
      <w:pPr>
        <w:pStyle w:val="Caption"/>
        <w:rPr>
          <w:rFonts w:cs="Times New Roman"/>
          <w:color w:val="000000" w:themeColor="text1"/>
          <w:sz w:val="24"/>
          <w:szCs w:val="24"/>
        </w:rPr>
      </w:pPr>
      <w:r w:rsidRPr="005835F7">
        <w:rPr>
          <w:rFonts w:cs="Times New Roman"/>
          <w:color w:val="000000" w:themeColor="text1"/>
          <w:sz w:val="24"/>
          <w:szCs w:val="24"/>
        </w:rPr>
        <w:t>Figure 2. Proposed TECR-Net architecture for next-year recorded Incident of Non-Compliance (INC) prediction using dynamic temporal encoding, static numerical and categorical feature representations, eight-head cross-modal attention, and residual fusion for risk-based inspection prioritization.</w:t>
      </w:r>
    </w:p>
    <w:p w14:paraId="3EB37A83" w14:textId="77777777" w:rsidR="0019468E" w:rsidRPr="005835F7" w:rsidRDefault="0019468E" w:rsidP="009055DD">
      <w:pPr>
        <w:spacing w:after="100"/>
        <w:rPr>
          <w:rFonts w:cs="Times New Roman"/>
          <w:color w:val="000000" w:themeColor="text1"/>
          <w:sz w:val="24"/>
          <w:szCs w:val="24"/>
        </w:rPr>
      </w:pPr>
      <w:r w:rsidRPr="005835F7">
        <w:rPr>
          <w:rFonts w:cs="Times New Roman"/>
          <w:color w:val="000000" w:themeColor="text1"/>
          <w:sz w:val="24"/>
          <w:szCs w:val="24"/>
          <w:highlight w:val="yellow"/>
        </w:rPr>
        <w:t xml:space="preserve">Figure 2 traces the three branches and their tensor flow. The dynamic 3×26 history is gated, encoded by a bidirectional GRU and summarized by temporal attention; static numerical and categorical inputs are encoded separately; the three 80-dimensional tokens are combined by learned-query attention pooling </w:t>
      </w:r>
      <w:r w:rsidRPr="005835F7">
        <w:rPr>
          <w:rFonts w:cs="Times New Roman"/>
          <w:color w:val="000000" w:themeColor="text1"/>
          <w:sz w:val="24"/>
          <w:szCs w:val="24"/>
          <w:highlight w:val="yellow"/>
        </w:rPr>
        <w:lastRenderedPageBreak/>
        <w:t>and a residual mean before classification. ‘Modality’ denotes these feature branches, and the displayed gate and attention coefficients are fitted associations rather than causal importance.</w:t>
      </w:r>
    </w:p>
    <w:p w14:paraId="066FD0A8" w14:textId="77777777"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3.6 Optimization and Development Procedure</w:t>
      </w:r>
    </w:p>
    <w:p w14:paraId="0AA46113" w14:textId="268262E7" w:rsidR="00012482" w:rsidRPr="00847EAC" w:rsidRDefault="009A4EB4" w:rsidP="006E6660">
      <w:pPr>
        <w:spacing w:after="100"/>
        <w:rPr>
          <w:rFonts w:cs="Times New Roman"/>
          <w:color w:val="000000" w:themeColor="text1"/>
          <w:sz w:val="24"/>
          <w:szCs w:val="24"/>
          <w:highlight w:val="yellow"/>
        </w:rPr>
      </w:pPr>
      <w:r w:rsidRPr="00847EAC">
        <w:rPr>
          <w:rFonts w:cs="Times New Roman"/>
          <w:color w:val="000000" w:themeColor="text1"/>
          <w:sz w:val="24"/>
          <w:szCs w:val="24"/>
          <w:highlight w:val="yellow"/>
        </w:rPr>
        <w:t xml:space="preserve">Alpha-balanced focal loss was applied to cope with class imbalance. For the logit z, probability p, and label y, </w:t>
      </w:r>
      <w:proofErr w:type="spellStart"/>
      <w:r w:rsidRPr="00847EAC">
        <w:rPr>
          <w:rFonts w:cs="Times New Roman"/>
          <w:color w:val="000000" w:themeColor="text1"/>
          <w:sz w:val="24"/>
          <w:szCs w:val="24"/>
          <w:highlight w:val="yellow"/>
        </w:rPr>
        <w:t>p_t</w:t>
      </w:r>
      <w:proofErr w:type="spellEnd"/>
      <w:r w:rsidRPr="00847EAC">
        <w:rPr>
          <w:rFonts w:cs="Times New Roman"/>
          <w:color w:val="000000" w:themeColor="text1"/>
          <w:sz w:val="24"/>
          <w:szCs w:val="24"/>
          <w:highlight w:val="yellow"/>
        </w:rPr>
        <w:t xml:space="preserve"> is equal to p if y = 1 and 1 − p if not, whereas the loss function is the batch-wise mean of α_</w:t>
      </w:r>
      <w:proofErr w:type="gramStart"/>
      <w:r w:rsidRPr="00847EAC">
        <w:rPr>
          <w:rFonts w:cs="Times New Roman"/>
          <w:color w:val="000000" w:themeColor="text1"/>
          <w:sz w:val="24"/>
          <w:szCs w:val="24"/>
          <w:highlight w:val="yellow"/>
        </w:rPr>
        <w:t>t(</w:t>
      </w:r>
      <w:proofErr w:type="gramEnd"/>
      <w:r w:rsidRPr="00847EAC">
        <w:rPr>
          <w:rFonts w:cs="Times New Roman"/>
          <w:color w:val="000000" w:themeColor="text1"/>
          <w:sz w:val="24"/>
          <w:szCs w:val="24"/>
          <w:highlight w:val="yellow"/>
        </w:rPr>
        <w:t xml:space="preserve">1 − </w:t>
      </w:r>
      <w:proofErr w:type="spellStart"/>
      <w:r w:rsidRPr="00847EAC">
        <w:rPr>
          <w:rFonts w:cs="Times New Roman"/>
          <w:color w:val="000000" w:themeColor="text1"/>
          <w:sz w:val="24"/>
          <w:szCs w:val="24"/>
          <w:highlight w:val="yellow"/>
        </w:rPr>
        <w:t>p_</w:t>
      </w:r>
      <w:proofErr w:type="gramStart"/>
      <w:r w:rsidRPr="00847EAC">
        <w:rPr>
          <w:rFonts w:cs="Times New Roman"/>
          <w:color w:val="000000" w:themeColor="text1"/>
          <w:sz w:val="24"/>
          <w:szCs w:val="24"/>
          <w:highlight w:val="yellow"/>
        </w:rPr>
        <w:t>t</w:t>
      </w:r>
      <w:proofErr w:type="spellEnd"/>
      <w:r w:rsidRPr="00847EAC">
        <w:rPr>
          <w:rFonts w:cs="Times New Roman"/>
          <w:color w:val="000000" w:themeColor="text1"/>
          <w:sz w:val="24"/>
          <w:szCs w:val="24"/>
          <w:highlight w:val="yellow"/>
        </w:rPr>
        <w:t>)^</w:t>
      </w:r>
      <w:proofErr w:type="gramEnd"/>
      <w:r w:rsidRPr="00847EAC">
        <w:rPr>
          <w:rFonts w:cs="Times New Roman"/>
          <w:color w:val="000000" w:themeColor="text1"/>
          <w:sz w:val="24"/>
          <w:szCs w:val="24"/>
          <w:highlight w:val="yellow"/>
        </w:rPr>
        <w:t xml:space="preserve">γ multiplied by the binary cross-entropy, where α_t equals α for positives and 1 − α for negatives. The coefficient α is the ratio of negative labels in the training sequences of the fitting period (approximately 0.934 for 538 positives out of 8,200 sequences), constrained to the range from 0.55 to 0.95, and γ is the hyperparameter. The implementation leverages a gated bidirectional GRU, additive temporal attention, multi-head attention, layer normalization, </w:t>
      </w:r>
      <w:proofErr w:type="spellStart"/>
      <w:r w:rsidRPr="00847EAC">
        <w:rPr>
          <w:rFonts w:cs="Times New Roman"/>
          <w:color w:val="000000" w:themeColor="text1"/>
          <w:sz w:val="24"/>
          <w:szCs w:val="24"/>
          <w:highlight w:val="yellow"/>
        </w:rPr>
        <w:t>AdamW</w:t>
      </w:r>
      <w:proofErr w:type="spellEnd"/>
      <w:r w:rsidRPr="00847EAC">
        <w:rPr>
          <w:rFonts w:cs="Times New Roman"/>
          <w:color w:val="000000" w:themeColor="text1"/>
          <w:sz w:val="24"/>
          <w:szCs w:val="24"/>
          <w:highlight w:val="yellow"/>
        </w:rPr>
        <w:t xml:space="preserve"> optimizer, </w:t>
      </w:r>
      <w:proofErr w:type="spellStart"/>
      <w:r w:rsidRPr="00847EAC">
        <w:rPr>
          <w:rFonts w:cs="Times New Roman"/>
          <w:color w:val="000000" w:themeColor="text1"/>
          <w:sz w:val="24"/>
          <w:szCs w:val="24"/>
          <w:highlight w:val="yellow"/>
        </w:rPr>
        <w:t>Optuna</w:t>
      </w:r>
      <w:proofErr w:type="spellEnd"/>
      <w:r w:rsidRPr="00847EAC">
        <w:rPr>
          <w:rFonts w:cs="Times New Roman"/>
          <w:color w:val="000000" w:themeColor="text1"/>
          <w:sz w:val="24"/>
          <w:szCs w:val="24"/>
          <w:highlight w:val="yellow"/>
        </w:rPr>
        <w:t xml:space="preserve"> [39,40] with TPE sampler, and scikit-learn. TECR-Net hyperparameters and early stopping strategy were chosen using the 2020–2021 development cohort. For each random seed, a logistic regression model (L-BFGS solver with default L2 regularization and C = 1) implemented in scikit-learn was fitted to the output sigmoid probabilities of the 2020–2021 sequences using the Platt method but probability rather than logit inputs, after which the seven transformed values were averaged.</w:t>
      </w:r>
      <w:r w:rsidR="00847EAC" w:rsidRPr="00847EAC">
        <w:rPr>
          <w:highlight w:val="yellow"/>
        </w:rPr>
        <w:t xml:space="preserve"> </w:t>
      </w:r>
      <w:r w:rsidR="00847EAC" w:rsidRPr="00847EAC">
        <w:rPr>
          <w:rFonts w:cs="Times New Roman"/>
          <w:color w:val="000000" w:themeColor="text1"/>
          <w:sz w:val="24"/>
          <w:szCs w:val="24"/>
          <w:highlight w:val="yellow"/>
        </w:rPr>
        <w:t xml:space="preserve">The logits were cut off at ±30 before the sigmoid function. The probability-to-probability mapping for this transformation is referred to as Platt-like mapping as opposed to the standard logit input Platt scaling. The threshold for maximum F1 score was also chosen on the basis of the development set instead of the separate ensembles’ scores (or alternatively a quantile of 2,000 for those in excess). The ensemble threshold (0.04909, Table 8) is thus not equal to the average threshold for each of the seeds (0.04982, Table 7). The F1-maximizing threshold is a statistical convention and does not contain any considerations for the cost, benefits or budget for inspection. The original replacement tabular baseline had an inner holdout of 2018-2019 with 25 runs per model. A symmetric rerun of this process followed using the identical selection period (2018-2019), 25 trial budget and seven-seed sequence for TECR-Net, plain GRU, </w:t>
      </w:r>
      <w:proofErr w:type="spellStart"/>
      <w:r w:rsidR="00847EAC" w:rsidRPr="00847EAC">
        <w:rPr>
          <w:rFonts w:cs="Times New Roman"/>
          <w:color w:val="000000" w:themeColor="text1"/>
          <w:sz w:val="24"/>
          <w:szCs w:val="24"/>
          <w:highlight w:val="yellow"/>
        </w:rPr>
        <w:t>CatBoost</w:t>
      </w:r>
      <w:proofErr w:type="spellEnd"/>
      <w:r w:rsidR="00847EAC" w:rsidRPr="00847EAC">
        <w:rPr>
          <w:rFonts w:cs="Times New Roman"/>
          <w:color w:val="000000" w:themeColor="text1"/>
          <w:sz w:val="24"/>
          <w:szCs w:val="24"/>
          <w:highlight w:val="yellow"/>
        </w:rPr>
        <w:t xml:space="preserve">, </w:t>
      </w:r>
      <w:proofErr w:type="spellStart"/>
      <w:r w:rsidR="00847EAC" w:rsidRPr="00847EAC">
        <w:rPr>
          <w:rFonts w:cs="Times New Roman"/>
          <w:color w:val="000000" w:themeColor="text1"/>
          <w:sz w:val="24"/>
          <w:szCs w:val="24"/>
          <w:highlight w:val="yellow"/>
        </w:rPr>
        <w:t>LightGBM</w:t>
      </w:r>
      <w:proofErr w:type="spellEnd"/>
      <w:r w:rsidR="00847EAC" w:rsidRPr="00847EAC">
        <w:rPr>
          <w:rFonts w:cs="Times New Roman"/>
          <w:color w:val="000000" w:themeColor="text1"/>
          <w:sz w:val="24"/>
          <w:szCs w:val="24"/>
          <w:highlight w:val="yellow"/>
        </w:rPr>
        <w:t xml:space="preserve">, </w:t>
      </w:r>
      <w:proofErr w:type="spellStart"/>
      <w:r w:rsidR="00847EAC" w:rsidRPr="00847EAC">
        <w:rPr>
          <w:rFonts w:cs="Times New Roman"/>
          <w:color w:val="000000" w:themeColor="text1"/>
          <w:sz w:val="24"/>
          <w:szCs w:val="24"/>
          <w:highlight w:val="yellow"/>
        </w:rPr>
        <w:t>XGBoost</w:t>
      </w:r>
      <w:proofErr w:type="spellEnd"/>
      <w:r w:rsidR="00847EAC" w:rsidRPr="00847EAC">
        <w:rPr>
          <w:rFonts w:cs="Times New Roman"/>
          <w:color w:val="000000" w:themeColor="text1"/>
          <w:sz w:val="24"/>
          <w:szCs w:val="24"/>
          <w:highlight w:val="yellow"/>
        </w:rPr>
        <w:t xml:space="preserve">, </w:t>
      </w:r>
      <w:proofErr w:type="spellStart"/>
      <w:r w:rsidR="00847EAC" w:rsidRPr="00847EAC">
        <w:rPr>
          <w:rFonts w:cs="Times New Roman"/>
          <w:color w:val="000000" w:themeColor="text1"/>
          <w:sz w:val="24"/>
          <w:szCs w:val="24"/>
          <w:highlight w:val="yellow"/>
        </w:rPr>
        <w:t>HistGradientBoosting</w:t>
      </w:r>
      <w:proofErr w:type="spellEnd"/>
      <w:r w:rsidR="00847EAC" w:rsidRPr="00847EAC">
        <w:rPr>
          <w:rFonts w:cs="Times New Roman"/>
          <w:color w:val="000000" w:themeColor="text1"/>
          <w:sz w:val="24"/>
          <w:szCs w:val="24"/>
          <w:highlight w:val="yellow"/>
        </w:rPr>
        <w:t xml:space="preserve"> and logistic regression. The untouched requirement has yet to be satisfied.</w:t>
      </w:r>
    </w:p>
    <w:p w14:paraId="5655A777" w14:textId="77777777" w:rsidR="00012482" w:rsidRPr="00847EAC" w:rsidRDefault="00000000" w:rsidP="006E6660">
      <w:pPr>
        <w:pStyle w:val="Caption"/>
        <w:rPr>
          <w:rFonts w:cs="Times New Roman"/>
          <w:color w:val="000000" w:themeColor="text1"/>
          <w:sz w:val="24"/>
          <w:szCs w:val="24"/>
          <w:highlight w:val="yellow"/>
        </w:rPr>
      </w:pPr>
      <w:r w:rsidRPr="00847EAC">
        <w:rPr>
          <w:rFonts w:cs="Times New Roman"/>
          <w:color w:val="000000" w:themeColor="text1"/>
          <w:sz w:val="24"/>
          <w:szCs w:val="24"/>
          <w:highlight w:val="yellow"/>
        </w:rPr>
        <w:t>Table 5. TECR-Net architecture and optimization configuration</w:t>
      </w:r>
    </w:p>
    <w:tbl>
      <w:tblPr>
        <w:tblStyle w:val="TableGrid"/>
        <w:tblW w:w="9564" w:type="dxa"/>
        <w:tblLook w:val="04A0" w:firstRow="1" w:lastRow="0" w:firstColumn="1" w:lastColumn="0" w:noHBand="0" w:noVBand="1"/>
      </w:tblPr>
      <w:tblGrid>
        <w:gridCol w:w="2657"/>
        <w:gridCol w:w="3871"/>
        <w:gridCol w:w="3036"/>
      </w:tblGrid>
      <w:tr w:rsidR="00012482" w:rsidRPr="00847EAC" w14:paraId="5223051F" w14:textId="77777777" w:rsidTr="005835F7">
        <w:tc>
          <w:tcPr>
            <w:tcW w:w="2657" w:type="dxa"/>
          </w:tcPr>
          <w:p w14:paraId="2F06745F" w14:textId="77777777" w:rsidR="00012482" w:rsidRPr="00847EAC" w:rsidRDefault="00000000" w:rsidP="006E6660">
            <w:pPr>
              <w:spacing w:after="0"/>
              <w:rPr>
                <w:rFonts w:cs="Times New Roman"/>
                <w:color w:val="000000" w:themeColor="text1"/>
                <w:sz w:val="24"/>
                <w:szCs w:val="24"/>
                <w:highlight w:val="yellow"/>
              </w:rPr>
            </w:pPr>
            <w:r w:rsidRPr="00847EAC">
              <w:rPr>
                <w:rFonts w:cs="Times New Roman"/>
                <w:b/>
                <w:color w:val="000000" w:themeColor="text1"/>
                <w:sz w:val="24"/>
                <w:szCs w:val="24"/>
                <w:highlight w:val="yellow"/>
              </w:rPr>
              <w:t>Component</w:t>
            </w:r>
          </w:p>
        </w:tc>
        <w:tc>
          <w:tcPr>
            <w:tcW w:w="3871" w:type="dxa"/>
          </w:tcPr>
          <w:p w14:paraId="25AB28D2" w14:textId="77777777" w:rsidR="00012482" w:rsidRPr="00847EAC" w:rsidRDefault="00000000" w:rsidP="006E6660">
            <w:pPr>
              <w:spacing w:after="0"/>
              <w:rPr>
                <w:rFonts w:cs="Times New Roman"/>
                <w:color w:val="000000" w:themeColor="text1"/>
                <w:sz w:val="24"/>
                <w:szCs w:val="24"/>
                <w:highlight w:val="yellow"/>
              </w:rPr>
            </w:pPr>
            <w:r w:rsidRPr="00847EAC">
              <w:rPr>
                <w:rFonts w:cs="Times New Roman"/>
                <w:b/>
                <w:color w:val="000000" w:themeColor="text1"/>
                <w:sz w:val="24"/>
                <w:szCs w:val="24"/>
                <w:highlight w:val="yellow"/>
              </w:rPr>
              <w:t>Setting</w:t>
            </w:r>
          </w:p>
        </w:tc>
        <w:tc>
          <w:tcPr>
            <w:tcW w:w="3036" w:type="dxa"/>
          </w:tcPr>
          <w:p w14:paraId="3249BEA1" w14:textId="77777777" w:rsidR="00012482" w:rsidRPr="00847EAC" w:rsidRDefault="00000000" w:rsidP="006E6660">
            <w:pPr>
              <w:spacing w:after="0"/>
              <w:rPr>
                <w:rFonts w:cs="Times New Roman"/>
                <w:color w:val="000000" w:themeColor="text1"/>
                <w:sz w:val="24"/>
                <w:szCs w:val="24"/>
                <w:highlight w:val="yellow"/>
              </w:rPr>
            </w:pPr>
            <w:r w:rsidRPr="00847EAC">
              <w:rPr>
                <w:rFonts w:cs="Times New Roman"/>
                <w:b/>
                <w:color w:val="000000" w:themeColor="text1"/>
                <w:sz w:val="24"/>
                <w:szCs w:val="24"/>
                <w:highlight w:val="yellow"/>
              </w:rPr>
              <w:t>Value</w:t>
            </w:r>
          </w:p>
        </w:tc>
      </w:tr>
      <w:tr w:rsidR="00012482" w:rsidRPr="00847EAC" w14:paraId="00BF36E5" w14:textId="77777777" w:rsidTr="005835F7">
        <w:tc>
          <w:tcPr>
            <w:tcW w:w="2657" w:type="dxa"/>
          </w:tcPr>
          <w:p w14:paraId="24885FEA" w14:textId="77777777" w:rsidR="00012482" w:rsidRPr="00847EAC" w:rsidRDefault="00000000" w:rsidP="006E6660">
            <w:pPr>
              <w:spacing w:after="0"/>
              <w:rPr>
                <w:rFonts w:cs="Times New Roman"/>
                <w:color w:val="000000" w:themeColor="text1"/>
                <w:sz w:val="24"/>
                <w:szCs w:val="24"/>
                <w:highlight w:val="yellow"/>
              </w:rPr>
            </w:pPr>
            <w:r w:rsidRPr="00847EAC">
              <w:rPr>
                <w:rFonts w:cs="Times New Roman"/>
                <w:color w:val="000000" w:themeColor="text1"/>
                <w:sz w:val="24"/>
                <w:szCs w:val="24"/>
                <w:highlight w:val="yellow"/>
              </w:rPr>
              <w:t>Dynamic encoder</w:t>
            </w:r>
          </w:p>
        </w:tc>
        <w:tc>
          <w:tcPr>
            <w:tcW w:w="3871" w:type="dxa"/>
          </w:tcPr>
          <w:p w14:paraId="1ED44BD5" w14:textId="77777777" w:rsidR="00012482" w:rsidRPr="00847EAC" w:rsidRDefault="00000000" w:rsidP="006E6660">
            <w:pPr>
              <w:spacing w:after="0"/>
              <w:rPr>
                <w:rFonts w:cs="Times New Roman"/>
                <w:color w:val="000000" w:themeColor="text1"/>
                <w:sz w:val="24"/>
                <w:szCs w:val="24"/>
                <w:highlight w:val="yellow"/>
              </w:rPr>
            </w:pPr>
            <w:r w:rsidRPr="00847EAC">
              <w:rPr>
                <w:rFonts w:cs="Times New Roman"/>
                <w:color w:val="000000" w:themeColor="text1"/>
                <w:sz w:val="24"/>
                <w:szCs w:val="24"/>
                <w:highlight w:val="yellow"/>
              </w:rPr>
              <w:t>One-layer bidirectional GRU</w:t>
            </w:r>
          </w:p>
        </w:tc>
        <w:tc>
          <w:tcPr>
            <w:tcW w:w="3036" w:type="dxa"/>
          </w:tcPr>
          <w:p w14:paraId="516DEA38" w14:textId="77777777" w:rsidR="00012482" w:rsidRPr="00847EAC" w:rsidRDefault="00000000" w:rsidP="006E6660">
            <w:pPr>
              <w:spacing w:after="0"/>
              <w:rPr>
                <w:rFonts w:cs="Times New Roman"/>
                <w:color w:val="000000" w:themeColor="text1"/>
                <w:sz w:val="24"/>
                <w:szCs w:val="24"/>
                <w:highlight w:val="yellow"/>
              </w:rPr>
            </w:pPr>
            <w:r w:rsidRPr="00847EAC">
              <w:rPr>
                <w:rFonts w:cs="Times New Roman"/>
                <w:color w:val="000000" w:themeColor="text1"/>
                <w:sz w:val="24"/>
                <w:szCs w:val="24"/>
                <w:highlight w:val="yellow"/>
              </w:rPr>
              <w:t>80 units per direction</w:t>
            </w:r>
          </w:p>
        </w:tc>
      </w:tr>
      <w:tr w:rsidR="00012482" w:rsidRPr="00847EAC" w14:paraId="007A1888" w14:textId="77777777" w:rsidTr="005835F7">
        <w:tc>
          <w:tcPr>
            <w:tcW w:w="2657" w:type="dxa"/>
          </w:tcPr>
          <w:p w14:paraId="42A9ACC8"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Temporal projection</w:t>
            </w:r>
          </w:p>
        </w:tc>
        <w:tc>
          <w:tcPr>
            <w:tcW w:w="3871" w:type="dxa"/>
          </w:tcPr>
          <w:p w14:paraId="02565A57"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Linear, GELU, layer normalization</w:t>
            </w:r>
          </w:p>
        </w:tc>
        <w:tc>
          <w:tcPr>
            <w:tcW w:w="3036" w:type="dxa"/>
          </w:tcPr>
          <w:p w14:paraId="45D466D7"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160 to 80</w:t>
            </w:r>
          </w:p>
        </w:tc>
      </w:tr>
      <w:tr w:rsidR="00012482" w:rsidRPr="00847EAC" w14:paraId="342B7233" w14:textId="77777777" w:rsidTr="005835F7">
        <w:tc>
          <w:tcPr>
            <w:tcW w:w="2657" w:type="dxa"/>
          </w:tcPr>
          <w:p w14:paraId="670BDC64"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Static encoder</w:t>
            </w:r>
          </w:p>
        </w:tc>
        <w:tc>
          <w:tcPr>
            <w:tcW w:w="3871" w:type="dxa"/>
          </w:tcPr>
          <w:p w14:paraId="4D12D101"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Two-layer MLP</w:t>
            </w:r>
          </w:p>
        </w:tc>
        <w:tc>
          <w:tcPr>
            <w:tcW w:w="3036" w:type="dxa"/>
          </w:tcPr>
          <w:p w14:paraId="65E8EF26"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3 to 80 to 80</w:t>
            </w:r>
          </w:p>
        </w:tc>
      </w:tr>
      <w:tr w:rsidR="00012482" w:rsidRPr="00847EAC" w14:paraId="0BECA0B8" w14:textId="77777777" w:rsidTr="005835F7">
        <w:tc>
          <w:tcPr>
            <w:tcW w:w="2657" w:type="dxa"/>
          </w:tcPr>
          <w:p w14:paraId="01C8EFDD"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Categorical encoder</w:t>
            </w:r>
          </w:p>
        </w:tc>
        <w:tc>
          <w:tcPr>
            <w:tcW w:w="3871" w:type="dxa"/>
          </w:tcPr>
          <w:p w14:paraId="14A6A2E4"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Eight embeddings plus projection</w:t>
            </w:r>
          </w:p>
        </w:tc>
        <w:tc>
          <w:tcPr>
            <w:tcW w:w="3036" w:type="dxa"/>
          </w:tcPr>
          <w:p w14:paraId="57C3C1BF"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Embedding dimension 3–16</w:t>
            </w:r>
          </w:p>
        </w:tc>
      </w:tr>
      <w:tr w:rsidR="00012482" w:rsidRPr="00847EAC" w14:paraId="012211B7" w14:textId="77777777" w:rsidTr="005835F7">
        <w:tc>
          <w:tcPr>
            <w:tcW w:w="2657" w:type="dxa"/>
          </w:tcPr>
          <w:p w14:paraId="0FDE6EA4"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Cross-modal attention</w:t>
            </w:r>
          </w:p>
        </w:tc>
        <w:tc>
          <w:tcPr>
            <w:tcW w:w="3871" w:type="dxa"/>
          </w:tcPr>
          <w:p w14:paraId="63473B1B"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Multi-head attention</w:t>
            </w:r>
          </w:p>
        </w:tc>
        <w:tc>
          <w:tcPr>
            <w:tcW w:w="3036" w:type="dxa"/>
          </w:tcPr>
          <w:p w14:paraId="3EB3571F"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8 heads; 80-dimensional tokens</w:t>
            </w:r>
          </w:p>
        </w:tc>
      </w:tr>
      <w:tr w:rsidR="00012482" w:rsidRPr="00847EAC" w14:paraId="214716BF" w14:textId="77777777" w:rsidTr="005835F7">
        <w:tc>
          <w:tcPr>
            <w:tcW w:w="2657" w:type="dxa"/>
          </w:tcPr>
          <w:p w14:paraId="130E379B"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Optimizer</w:t>
            </w:r>
          </w:p>
        </w:tc>
        <w:tc>
          <w:tcPr>
            <w:tcW w:w="3871" w:type="dxa"/>
          </w:tcPr>
          <w:p w14:paraId="2377E989"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AdamW</w:t>
            </w:r>
          </w:p>
        </w:tc>
        <w:tc>
          <w:tcPr>
            <w:tcW w:w="3036" w:type="dxa"/>
          </w:tcPr>
          <w:p w14:paraId="4A4702E6"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Gradient norm clipped at 1.0</w:t>
            </w:r>
          </w:p>
        </w:tc>
      </w:tr>
      <w:tr w:rsidR="00012482" w:rsidRPr="00847EAC" w14:paraId="25DFDBA9" w14:textId="77777777" w:rsidTr="005835F7">
        <w:tc>
          <w:tcPr>
            <w:tcW w:w="2657" w:type="dxa"/>
          </w:tcPr>
          <w:p w14:paraId="3F406FCF"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Scheduler</w:t>
            </w:r>
          </w:p>
        </w:tc>
        <w:tc>
          <w:tcPr>
            <w:tcW w:w="3871" w:type="dxa"/>
          </w:tcPr>
          <w:p w14:paraId="260E2A8C"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ReduceLROnPlateau</w:t>
            </w:r>
          </w:p>
        </w:tc>
        <w:tc>
          <w:tcPr>
            <w:tcW w:w="3036" w:type="dxa"/>
          </w:tcPr>
          <w:p w14:paraId="0883083E"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Factor 0.5; patience 4 in tuning, 5 in final fits</w:t>
            </w:r>
          </w:p>
        </w:tc>
      </w:tr>
      <w:tr w:rsidR="00012482" w:rsidRPr="00847EAC" w14:paraId="4EF4FBC7" w14:textId="77777777" w:rsidTr="005835F7">
        <w:tc>
          <w:tcPr>
            <w:tcW w:w="2657" w:type="dxa"/>
          </w:tcPr>
          <w:p w14:paraId="17FAB186"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Dropout</w:t>
            </w:r>
          </w:p>
        </w:tc>
        <w:tc>
          <w:tcPr>
            <w:tcW w:w="3871" w:type="dxa"/>
          </w:tcPr>
          <w:p w14:paraId="07790DF7"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Selected configuration</w:t>
            </w:r>
          </w:p>
        </w:tc>
        <w:tc>
          <w:tcPr>
            <w:tcW w:w="3036" w:type="dxa"/>
          </w:tcPr>
          <w:p w14:paraId="4A197D9E"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0.2690</w:t>
            </w:r>
          </w:p>
        </w:tc>
      </w:tr>
      <w:tr w:rsidR="00012482" w:rsidRPr="00847EAC" w14:paraId="7DD68A78" w14:textId="77777777" w:rsidTr="005835F7">
        <w:tc>
          <w:tcPr>
            <w:tcW w:w="2657" w:type="dxa"/>
          </w:tcPr>
          <w:p w14:paraId="276BD1EB"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Learning rate</w:t>
            </w:r>
          </w:p>
        </w:tc>
        <w:tc>
          <w:tcPr>
            <w:tcW w:w="3871" w:type="dxa"/>
          </w:tcPr>
          <w:p w14:paraId="6E60E8EE"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Selected configuration</w:t>
            </w:r>
          </w:p>
        </w:tc>
        <w:tc>
          <w:tcPr>
            <w:tcW w:w="3036" w:type="dxa"/>
          </w:tcPr>
          <w:p w14:paraId="16D4D405"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0.001617</w:t>
            </w:r>
          </w:p>
        </w:tc>
      </w:tr>
      <w:tr w:rsidR="00012482" w:rsidRPr="00847EAC" w14:paraId="3AAF122C" w14:textId="77777777" w:rsidTr="005835F7">
        <w:tc>
          <w:tcPr>
            <w:tcW w:w="2657" w:type="dxa"/>
          </w:tcPr>
          <w:p w14:paraId="2A8B28D0"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Weight decay</w:t>
            </w:r>
          </w:p>
        </w:tc>
        <w:tc>
          <w:tcPr>
            <w:tcW w:w="3871" w:type="dxa"/>
          </w:tcPr>
          <w:p w14:paraId="37A979EC"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Selected configuration</w:t>
            </w:r>
          </w:p>
        </w:tc>
        <w:tc>
          <w:tcPr>
            <w:tcW w:w="3036" w:type="dxa"/>
          </w:tcPr>
          <w:p w14:paraId="7BB71BB6"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2.439×10−5</w:t>
            </w:r>
          </w:p>
        </w:tc>
      </w:tr>
      <w:tr w:rsidR="00012482" w:rsidRPr="00847EAC" w14:paraId="6B01AF59" w14:textId="77777777" w:rsidTr="005835F7">
        <w:tc>
          <w:tcPr>
            <w:tcW w:w="2657" w:type="dxa"/>
          </w:tcPr>
          <w:p w14:paraId="695901F7"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Focal exponent γ</w:t>
            </w:r>
          </w:p>
        </w:tc>
        <w:tc>
          <w:tcPr>
            <w:tcW w:w="3871" w:type="dxa"/>
          </w:tcPr>
          <w:p w14:paraId="16AD54B9"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Selected configuration</w:t>
            </w:r>
          </w:p>
        </w:tc>
        <w:tc>
          <w:tcPr>
            <w:tcW w:w="3036" w:type="dxa"/>
          </w:tcPr>
          <w:p w14:paraId="1297F794"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1.7523</w:t>
            </w:r>
          </w:p>
        </w:tc>
      </w:tr>
      <w:tr w:rsidR="00012482" w:rsidRPr="00847EAC" w14:paraId="21BEC04D" w14:textId="77777777" w:rsidTr="005835F7">
        <w:tc>
          <w:tcPr>
            <w:tcW w:w="2657" w:type="dxa"/>
          </w:tcPr>
          <w:p w14:paraId="3AB0C738"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Focal weight α</w:t>
            </w:r>
          </w:p>
        </w:tc>
        <w:tc>
          <w:tcPr>
            <w:tcW w:w="3871" w:type="dxa"/>
          </w:tcPr>
          <w:p w14:paraId="2AD779C0"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Fitting-period</w:t>
            </w:r>
          </w:p>
        </w:tc>
        <w:tc>
          <w:tcPr>
            <w:tcW w:w="3036" w:type="dxa"/>
          </w:tcPr>
          <w:p w14:paraId="27667C64"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Negative-class fraction of fitting labels, clipped to 0.55–0.95</w:t>
            </w:r>
          </w:p>
        </w:tc>
      </w:tr>
      <w:tr w:rsidR="00012482" w:rsidRPr="00847EAC" w14:paraId="290DFE05" w14:textId="77777777" w:rsidTr="005835F7">
        <w:tc>
          <w:tcPr>
            <w:tcW w:w="2657" w:type="dxa"/>
          </w:tcPr>
          <w:p w14:paraId="2DE417C0"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Batch size</w:t>
            </w:r>
          </w:p>
        </w:tc>
        <w:tc>
          <w:tcPr>
            <w:tcW w:w="3871" w:type="dxa"/>
          </w:tcPr>
          <w:p w14:paraId="226FE90F"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Selected configuration</w:t>
            </w:r>
          </w:p>
        </w:tc>
        <w:tc>
          <w:tcPr>
            <w:tcW w:w="3036" w:type="dxa"/>
          </w:tcPr>
          <w:p w14:paraId="3A4CA2CA"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256</w:t>
            </w:r>
          </w:p>
        </w:tc>
      </w:tr>
      <w:tr w:rsidR="00012482" w:rsidRPr="00847EAC" w14:paraId="07D88CDB" w14:textId="77777777" w:rsidTr="005835F7">
        <w:tc>
          <w:tcPr>
            <w:tcW w:w="2657" w:type="dxa"/>
          </w:tcPr>
          <w:p w14:paraId="18D6C91B"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Maximum epochs</w:t>
            </w:r>
          </w:p>
        </w:tc>
        <w:tc>
          <w:tcPr>
            <w:tcW w:w="3871" w:type="dxa"/>
          </w:tcPr>
          <w:p w14:paraId="02EDC8A2"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Early stopping</w:t>
            </w:r>
          </w:p>
        </w:tc>
        <w:tc>
          <w:tcPr>
            <w:tcW w:w="3036" w:type="dxa"/>
          </w:tcPr>
          <w:p w14:paraId="7736AEB0"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100; patience 15</w:t>
            </w:r>
          </w:p>
        </w:tc>
      </w:tr>
      <w:tr w:rsidR="00012482" w:rsidRPr="00847EAC" w14:paraId="21AB3A96" w14:textId="77777777" w:rsidTr="005835F7">
        <w:tc>
          <w:tcPr>
            <w:tcW w:w="2657" w:type="dxa"/>
          </w:tcPr>
          <w:p w14:paraId="19A05BCB"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Hyperparameter search</w:t>
            </w:r>
          </w:p>
        </w:tc>
        <w:tc>
          <w:tcPr>
            <w:tcW w:w="3871" w:type="dxa"/>
          </w:tcPr>
          <w:p w14:paraId="37EE30FF"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 xml:space="preserve">Optuna TPE </w:t>
            </w:r>
          </w:p>
        </w:tc>
        <w:tc>
          <w:tcPr>
            <w:tcW w:w="3036" w:type="dxa"/>
          </w:tcPr>
          <w:p w14:paraId="47DA6D98"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40 trials; TPE (sampler seed 2026), no pruning; objective = mean development AP − 0.25 × SD across tuning seeds 101, 202, 303</w:t>
            </w:r>
          </w:p>
        </w:tc>
      </w:tr>
      <w:tr w:rsidR="00012482" w:rsidRPr="00847EAC" w14:paraId="6140A186" w14:textId="77777777" w:rsidTr="005835F7">
        <w:tc>
          <w:tcPr>
            <w:tcW w:w="2657" w:type="dxa"/>
          </w:tcPr>
          <w:p w14:paraId="40F34237"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lastRenderedPageBreak/>
              <w:t>Replacement baselines</w:t>
            </w:r>
          </w:p>
        </w:tc>
        <w:tc>
          <w:tcPr>
            <w:tcW w:w="3871" w:type="dxa"/>
          </w:tcPr>
          <w:p w14:paraId="4F401AE3"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Optuna TPE</w:t>
            </w:r>
          </w:p>
        </w:tc>
        <w:tc>
          <w:tcPr>
            <w:tcW w:w="3036" w:type="dxa"/>
          </w:tcPr>
          <w:p w14:paraId="6954474F"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25 trials/model on 2018–2019 inner holdout</w:t>
            </w:r>
          </w:p>
        </w:tc>
      </w:tr>
      <w:tr w:rsidR="00012482" w:rsidRPr="00847EAC" w14:paraId="3E783871" w14:textId="77777777" w:rsidTr="005835F7">
        <w:tc>
          <w:tcPr>
            <w:tcW w:w="2657" w:type="dxa"/>
          </w:tcPr>
          <w:p w14:paraId="07818D3D"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Seeds</w:t>
            </w:r>
          </w:p>
        </w:tc>
        <w:tc>
          <w:tcPr>
            <w:tcW w:w="3871" w:type="dxa"/>
          </w:tcPr>
          <w:p w14:paraId="101424CB"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Repeated fitting</w:t>
            </w:r>
          </w:p>
        </w:tc>
        <w:tc>
          <w:tcPr>
            <w:tcW w:w="3036" w:type="dxa"/>
          </w:tcPr>
          <w:p w14:paraId="6FD44C18"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11, 22, 33, 44, 55, 66, 77</w:t>
            </w:r>
          </w:p>
        </w:tc>
      </w:tr>
    </w:tbl>
    <w:p w14:paraId="251A2D7B" w14:textId="77777777" w:rsidR="00012482" w:rsidRPr="00847EAC" w:rsidRDefault="00012482" w:rsidP="006E6660">
      <w:pPr>
        <w:spacing w:after="100"/>
        <w:rPr>
          <w:rFonts w:cs="Times New Roman"/>
          <w:color w:val="000000" w:themeColor="text1"/>
          <w:sz w:val="24"/>
          <w:szCs w:val="24"/>
          <w:highlight w:val="yellow"/>
        </w:rPr>
      </w:pPr>
    </w:p>
    <w:p w14:paraId="784F86C5" w14:textId="4B3771FE" w:rsidR="00012482" w:rsidRPr="005835F7" w:rsidRDefault="00847EAC" w:rsidP="006E6660">
      <w:pPr>
        <w:keepNext/>
        <w:spacing w:after="100"/>
        <w:rPr>
          <w:rFonts w:cs="Times New Roman"/>
          <w:color w:val="000000" w:themeColor="text1"/>
          <w:sz w:val="24"/>
          <w:szCs w:val="24"/>
        </w:rPr>
      </w:pPr>
      <w:r w:rsidRPr="00847EAC">
        <w:rPr>
          <w:rFonts w:cs="Times New Roman"/>
          <w:color w:val="000000" w:themeColor="text1"/>
          <w:sz w:val="24"/>
          <w:szCs w:val="24"/>
          <w:highlight w:val="yellow"/>
        </w:rPr>
        <w:t xml:space="preserve">The implementation configuration necessary to replicate the experiment from its archive is provided in Table 5. Explicitly specified are </w:t>
      </w:r>
      <w:proofErr w:type="spellStart"/>
      <w:r w:rsidRPr="00847EAC">
        <w:rPr>
          <w:rFonts w:cs="Times New Roman"/>
          <w:color w:val="000000" w:themeColor="text1"/>
          <w:sz w:val="24"/>
          <w:szCs w:val="24"/>
          <w:highlight w:val="yellow"/>
        </w:rPr>
        <w:t>AdamW</w:t>
      </w:r>
      <w:proofErr w:type="spellEnd"/>
      <w:r w:rsidRPr="00847EAC">
        <w:rPr>
          <w:rFonts w:cs="Times New Roman"/>
          <w:color w:val="000000" w:themeColor="text1"/>
          <w:sz w:val="24"/>
          <w:szCs w:val="24"/>
          <w:highlight w:val="yellow"/>
        </w:rPr>
        <w:t xml:space="preserve"> optimizer, adaptive learning rate decay, gradient clipping, focal loss parameters, </w:t>
      </w:r>
      <w:proofErr w:type="spellStart"/>
      <w:r w:rsidRPr="00847EAC">
        <w:rPr>
          <w:rFonts w:cs="Times New Roman"/>
          <w:color w:val="000000" w:themeColor="text1"/>
          <w:sz w:val="24"/>
          <w:szCs w:val="24"/>
          <w:highlight w:val="yellow"/>
        </w:rPr>
        <w:t>Optuna</w:t>
      </w:r>
      <w:proofErr w:type="spellEnd"/>
      <w:r w:rsidRPr="00847EAC">
        <w:rPr>
          <w:rFonts w:cs="Times New Roman"/>
          <w:color w:val="000000" w:themeColor="text1"/>
          <w:sz w:val="24"/>
          <w:szCs w:val="24"/>
          <w:highlight w:val="yellow"/>
        </w:rPr>
        <w:t xml:space="preserve"> search, and early stopping. The architecture is fixed for the seven final seeds, while initialization and mini-batch ordering are not; seed variation corresponds to stochastic training alone and not uncertainty in generalizing to a new hardware platform, year, or calibration. For </w:t>
      </w:r>
      <w:proofErr w:type="spellStart"/>
      <w:r w:rsidRPr="00847EAC">
        <w:rPr>
          <w:rFonts w:cs="Times New Roman"/>
          <w:color w:val="000000" w:themeColor="text1"/>
          <w:sz w:val="24"/>
          <w:szCs w:val="24"/>
          <w:highlight w:val="yellow"/>
        </w:rPr>
        <w:t>Optuna</w:t>
      </w:r>
      <w:proofErr w:type="spellEnd"/>
      <w:r w:rsidRPr="00847EAC">
        <w:rPr>
          <w:rFonts w:cs="Times New Roman"/>
          <w:color w:val="000000" w:themeColor="text1"/>
          <w:sz w:val="24"/>
          <w:szCs w:val="24"/>
          <w:highlight w:val="yellow"/>
        </w:rPr>
        <w:t xml:space="preserve"> search space, hidden size was {48, 64, 80, 96, 128}, GRU layers were {1, 2}, attention heads {2, 4, 8} of the hidden size, dropout was 0.12-0.38, learning rate 2×10−4 to 3×10−3 (logarithmic scale), weight decay 10−6 to 10−3 (logarithmic scale), γ was 1.25-3.0, and batch size was {128, 256, 512}. Every trial consisted of up to 75 epochs with patience 15. The chosen configuration had one GRU layer, hidden size of 80, and 8 heads. Implementation choices left out of reporting include sigmoid initialization of gates at 0.5, a learned query initialized with standard deviation 0.02, attention dropout being equal to model dropout, and categorical embeddings sizes </w:t>
      </w:r>
      <w:proofErr w:type="gramStart"/>
      <w:r w:rsidRPr="00847EAC">
        <w:rPr>
          <w:rFonts w:cs="Times New Roman"/>
          <w:color w:val="000000" w:themeColor="text1"/>
          <w:sz w:val="24"/>
          <w:szCs w:val="24"/>
          <w:highlight w:val="yellow"/>
        </w:rPr>
        <w:t>min(</w:t>
      </w:r>
      <w:proofErr w:type="gramEnd"/>
      <w:r w:rsidRPr="00847EAC">
        <w:rPr>
          <w:rFonts w:cs="Times New Roman"/>
          <w:color w:val="000000" w:themeColor="text1"/>
          <w:sz w:val="24"/>
          <w:szCs w:val="24"/>
          <w:highlight w:val="yellow"/>
        </w:rPr>
        <w:t xml:space="preserve">16, </w:t>
      </w:r>
      <w:proofErr w:type="gramStart"/>
      <w:r w:rsidRPr="00847EAC">
        <w:rPr>
          <w:rFonts w:cs="Times New Roman"/>
          <w:color w:val="000000" w:themeColor="text1"/>
          <w:sz w:val="24"/>
          <w:szCs w:val="24"/>
          <w:highlight w:val="yellow"/>
        </w:rPr>
        <w:t>max(</w:t>
      </w:r>
      <w:proofErr w:type="gramEnd"/>
      <w:r w:rsidRPr="00847EAC">
        <w:rPr>
          <w:rFonts w:cs="Times New Roman"/>
          <w:color w:val="000000" w:themeColor="text1"/>
          <w:sz w:val="24"/>
          <w:szCs w:val="24"/>
          <w:highlight w:val="yellow"/>
        </w:rPr>
        <w:t>3, √cardinality)</w:t>
      </w:r>
      <w:proofErr w:type="gramStart"/>
      <w:r w:rsidRPr="00847EAC">
        <w:rPr>
          <w:rFonts w:cs="Times New Roman"/>
          <w:color w:val="000000" w:themeColor="text1"/>
          <w:sz w:val="24"/>
          <w:szCs w:val="24"/>
          <w:highlight w:val="yellow"/>
        </w:rPr>
        <w:t>).</w:t>
      </w:r>
      <w:r w:rsidR="00000000" w:rsidRPr="00847EAC">
        <w:rPr>
          <w:rFonts w:cs="Times New Roman"/>
          <w:color w:val="000000" w:themeColor="text1"/>
          <w:sz w:val="24"/>
          <w:szCs w:val="24"/>
          <w:highlight w:val="yellow"/>
        </w:rPr>
        <w:t>Excluding</w:t>
      </w:r>
      <w:proofErr w:type="gramEnd"/>
      <w:r w:rsidR="00000000" w:rsidRPr="00847EAC">
        <w:rPr>
          <w:rFonts w:cs="Times New Roman"/>
          <w:color w:val="000000" w:themeColor="text1"/>
          <w:sz w:val="24"/>
          <w:szCs w:val="24"/>
          <w:highlight w:val="yellow"/>
        </w:rPr>
        <w:t xml:space="preserve"> the categorical embeddings and encoder, the model has at least 123,788 trainable parameters. Because TECR-Net selection, probability mapping, threshold determination, and reporting used the same development period, the resulting estimates may be optimistic for unseen data.</w:t>
      </w:r>
    </w:p>
    <w:p w14:paraId="1DF23186" w14:textId="77777777"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3.7 Evaluation Measures</w:t>
      </w:r>
    </w:p>
    <w:p w14:paraId="6F62A231" w14:textId="3975CE48" w:rsidR="00012482" w:rsidRPr="005835F7" w:rsidRDefault="00847EAC" w:rsidP="006E6660">
      <w:pPr>
        <w:spacing w:after="100"/>
        <w:rPr>
          <w:rFonts w:cs="Times New Roman"/>
          <w:color w:val="000000" w:themeColor="text1"/>
          <w:sz w:val="24"/>
          <w:szCs w:val="24"/>
        </w:rPr>
      </w:pPr>
      <w:r w:rsidRPr="00847EAC">
        <w:rPr>
          <w:rFonts w:cs="Times New Roman"/>
          <w:color w:val="000000" w:themeColor="text1"/>
          <w:sz w:val="24"/>
          <w:szCs w:val="24"/>
          <w:highlight w:val="yellow"/>
        </w:rPr>
        <w:t xml:space="preserve">Average precision (AP), computed by </w:t>
      </w:r>
      <w:proofErr w:type="spellStart"/>
      <w:proofErr w:type="gramStart"/>
      <w:r w:rsidRPr="00847EAC">
        <w:rPr>
          <w:rFonts w:cs="Times New Roman"/>
          <w:color w:val="000000" w:themeColor="text1"/>
          <w:sz w:val="24"/>
          <w:szCs w:val="24"/>
          <w:highlight w:val="yellow"/>
        </w:rPr>
        <w:t>sklearn.metrics</w:t>
      </w:r>
      <w:proofErr w:type="gramEnd"/>
      <w:r w:rsidRPr="00847EAC">
        <w:rPr>
          <w:rFonts w:cs="Times New Roman"/>
          <w:color w:val="000000" w:themeColor="text1"/>
          <w:sz w:val="24"/>
          <w:szCs w:val="24"/>
          <w:highlight w:val="yellow"/>
        </w:rPr>
        <w:t>.average_precision_score</w:t>
      </w:r>
      <w:proofErr w:type="spellEnd"/>
      <w:r w:rsidRPr="00847EAC">
        <w:rPr>
          <w:rFonts w:cs="Times New Roman"/>
          <w:color w:val="000000" w:themeColor="text1"/>
          <w:sz w:val="24"/>
          <w:szCs w:val="24"/>
          <w:highlight w:val="yellow"/>
        </w:rPr>
        <w:t>, is the main measure without any threshold since positives are scarce. Formerly archived figures and files had been labeled with a vague precision-recall name for this measure; the updated paper refers to AP because average precision is not equivalent to the trapezoid area under the precision-recall curve. When working with very imbalanced binary responses, the precision-recall approach focuses on positive gains and is more revealing than the ROC approach. ROC-AUC reflects ranking through all possible thresholds. F1, F2, precision, recall, specificity, balanced accuracy, MCC, and the confusion matrix rely on the threshold set during development. Brier score reflects squared probability error, while Brier skill is one minus model Brier score over constant-reference Brier score. The constant reference is the development prevalence. Precision and lift at k = 50, 100 and 200 refer to ranked platform-year pairs rather than guaranteed distinct platforms</w:t>
      </w:r>
      <w:r w:rsidRPr="00847EAC">
        <w:rPr>
          <w:rFonts w:cs="Times New Roman"/>
          <w:color w:val="000000" w:themeColor="text1"/>
          <w:sz w:val="24"/>
          <w:szCs w:val="24"/>
          <w:highlight w:val="yellow"/>
        </w:rPr>
        <w:t>.</w:t>
      </w:r>
      <w:r w:rsidR="00000000" w:rsidRPr="005835F7">
        <w:rPr>
          <w:rFonts w:cs="Times New Roman"/>
          <w:color w:val="000000" w:themeColor="text1"/>
          <w:sz w:val="24"/>
          <w:szCs w:val="24"/>
          <w:highlight w:val="yellow"/>
        </w:rPr>
        <w:t xml:space="preserve"> Probability and calibration measures are reported only as apparent development diagnostics.</w:t>
      </w:r>
    </w:p>
    <w:p w14:paraId="35F51AB4"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Table 6. Development metrics and interpretation</w:t>
      </w:r>
    </w:p>
    <w:tbl>
      <w:tblPr>
        <w:tblStyle w:val="TableGrid"/>
        <w:tblW w:w="9641" w:type="dxa"/>
        <w:tblLook w:val="04A0" w:firstRow="1" w:lastRow="0" w:firstColumn="1" w:lastColumn="0" w:noHBand="0" w:noVBand="1"/>
      </w:tblPr>
      <w:tblGrid>
        <w:gridCol w:w="2372"/>
        <w:gridCol w:w="2372"/>
        <w:gridCol w:w="4897"/>
      </w:tblGrid>
      <w:tr w:rsidR="00012482" w:rsidRPr="005835F7" w14:paraId="1FDAE4C2" w14:textId="77777777" w:rsidTr="005835F7">
        <w:tc>
          <w:tcPr>
            <w:tcW w:w="2372" w:type="dxa"/>
          </w:tcPr>
          <w:p w14:paraId="170E2A42"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Metric</w:t>
            </w:r>
          </w:p>
        </w:tc>
        <w:tc>
          <w:tcPr>
            <w:tcW w:w="2372" w:type="dxa"/>
          </w:tcPr>
          <w:p w14:paraId="1577E8AA"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Type</w:t>
            </w:r>
          </w:p>
        </w:tc>
        <w:tc>
          <w:tcPr>
            <w:tcW w:w="4897" w:type="dxa"/>
          </w:tcPr>
          <w:p w14:paraId="34258E8F"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Role</w:t>
            </w:r>
          </w:p>
        </w:tc>
      </w:tr>
      <w:tr w:rsidR="00012482" w:rsidRPr="005835F7" w14:paraId="27EDE3EE" w14:textId="77777777" w:rsidTr="005835F7">
        <w:tc>
          <w:tcPr>
            <w:tcW w:w="2372" w:type="dxa"/>
          </w:tcPr>
          <w:p w14:paraId="2B86B40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AP</w:t>
            </w:r>
          </w:p>
        </w:tc>
        <w:tc>
          <w:tcPr>
            <w:tcW w:w="2372" w:type="dxa"/>
          </w:tcPr>
          <w:p w14:paraId="69B54A4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Threshold-free</w:t>
            </w:r>
          </w:p>
        </w:tc>
        <w:tc>
          <w:tcPr>
            <w:tcW w:w="4897" w:type="dxa"/>
          </w:tcPr>
          <w:p w14:paraId="6AF0836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Primary ranking measure for rare positive outcomes</w:t>
            </w:r>
          </w:p>
        </w:tc>
      </w:tr>
      <w:tr w:rsidR="00012482" w:rsidRPr="005835F7" w14:paraId="0CD1EB68" w14:textId="77777777" w:rsidTr="005835F7">
        <w:tc>
          <w:tcPr>
            <w:tcW w:w="2372" w:type="dxa"/>
          </w:tcPr>
          <w:p w14:paraId="6C4DEF4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AP/prevalence</w:t>
            </w:r>
          </w:p>
        </w:tc>
        <w:tc>
          <w:tcPr>
            <w:tcW w:w="2372" w:type="dxa"/>
          </w:tcPr>
          <w:p w14:paraId="04E29F5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Threshold-free</w:t>
            </w:r>
          </w:p>
        </w:tc>
        <w:tc>
          <w:tcPr>
            <w:tcW w:w="4897" w:type="dxa"/>
          </w:tcPr>
          <w:p w14:paraId="050786F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Improvement over random prevalence baseline</w:t>
            </w:r>
          </w:p>
        </w:tc>
      </w:tr>
      <w:tr w:rsidR="00012482" w:rsidRPr="005835F7" w14:paraId="6F62FFD6" w14:textId="77777777" w:rsidTr="005835F7">
        <w:tc>
          <w:tcPr>
            <w:tcW w:w="2372" w:type="dxa"/>
          </w:tcPr>
          <w:p w14:paraId="6C40AC4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ROC-AUC</w:t>
            </w:r>
          </w:p>
        </w:tc>
        <w:tc>
          <w:tcPr>
            <w:tcW w:w="2372" w:type="dxa"/>
          </w:tcPr>
          <w:p w14:paraId="081EF6A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Threshold-free</w:t>
            </w:r>
          </w:p>
        </w:tc>
        <w:tc>
          <w:tcPr>
            <w:tcW w:w="4897" w:type="dxa"/>
          </w:tcPr>
          <w:p w14:paraId="26E9B8C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Global ranking discrimination</w:t>
            </w:r>
          </w:p>
        </w:tc>
      </w:tr>
      <w:tr w:rsidR="00012482" w:rsidRPr="005835F7" w14:paraId="25BF3C8F" w14:textId="77777777" w:rsidTr="005835F7">
        <w:tc>
          <w:tcPr>
            <w:tcW w:w="2372" w:type="dxa"/>
          </w:tcPr>
          <w:p w14:paraId="43FDA88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F1 and F2</w:t>
            </w:r>
          </w:p>
        </w:tc>
        <w:tc>
          <w:tcPr>
            <w:tcW w:w="2372" w:type="dxa"/>
          </w:tcPr>
          <w:p w14:paraId="75364F2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Threshold-dependent</w:t>
            </w:r>
          </w:p>
        </w:tc>
        <w:tc>
          <w:tcPr>
            <w:tcW w:w="4897" w:type="dxa"/>
          </w:tcPr>
          <w:p w14:paraId="3F867EE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Balance of precision and recall; F2 emphasizes recall</w:t>
            </w:r>
          </w:p>
        </w:tc>
      </w:tr>
      <w:tr w:rsidR="00012482" w:rsidRPr="005835F7" w14:paraId="4281522D" w14:textId="77777777" w:rsidTr="005835F7">
        <w:tc>
          <w:tcPr>
            <w:tcW w:w="2372" w:type="dxa"/>
          </w:tcPr>
          <w:p w14:paraId="34830F3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 and recall</w:t>
            </w:r>
          </w:p>
        </w:tc>
        <w:tc>
          <w:tcPr>
            <w:tcW w:w="2372" w:type="dxa"/>
          </w:tcPr>
          <w:p w14:paraId="22EBA5F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Threshold-dependent</w:t>
            </w:r>
          </w:p>
        </w:tc>
        <w:tc>
          <w:tcPr>
            <w:tcW w:w="4897" w:type="dxa"/>
          </w:tcPr>
          <w:p w14:paraId="4549FD2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Yield and coverage of predicted positives</w:t>
            </w:r>
          </w:p>
        </w:tc>
      </w:tr>
      <w:tr w:rsidR="00012482" w:rsidRPr="005835F7" w14:paraId="7812CE89" w14:textId="77777777" w:rsidTr="005835F7">
        <w:tc>
          <w:tcPr>
            <w:tcW w:w="2372" w:type="dxa"/>
          </w:tcPr>
          <w:p w14:paraId="763A6B1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Balanced accuracy</w:t>
            </w:r>
          </w:p>
        </w:tc>
        <w:tc>
          <w:tcPr>
            <w:tcW w:w="2372" w:type="dxa"/>
          </w:tcPr>
          <w:p w14:paraId="3A2BADB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Threshold-dependent</w:t>
            </w:r>
          </w:p>
        </w:tc>
        <w:tc>
          <w:tcPr>
            <w:tcW w:w="4897" w:type="dxa"/>
          </w:tcPr>
          <w:p w14:paraId="38B44DA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Mean sensitivity and specificity</w:t>
            </w:r>
          </w:p>
        </w:tc>
      </w:tr>
      <w:tr w:rsidR="00012482" w:rsidRPr="005835F7" w14:paraId="73FD19FD" w14:textId="77777777" w:rsidTr="005835F7">
        <w:tc>
          <w:tcPr>
            <w:tcW w:w="2372" w:type="dxa"/>
          </w:tcPr>
          <w:p w14:paraId="048A4EB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MCC</w:t>
            </w:r>
          </w:p>
        </w:tc>
        <w:tc>
          <w:tcPr>
            <w:tcW w:w="2372" w:type="dxa"/>
          </w:tcPr>
          <w:p w14:paraId="48F9859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Threshold-dependent</w:t>
            </w:r>
          </w:p>
        </w:tc>
        <w:tc>
          <w:tcPr>
            <w:tcW w:w="4897" w:type="dxa"/>
          </w:tcPr>
          <w:p w14:paraId="2786A88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Correlation-like summary robust to imbalance</w:t>
            </w:r>
          </w:p>
        </w:tc>
      </w:tr>
      <w:tr w:rsidR="00012482" w:rsidRPr="005835F7" w14:paraId="7460ADAC" w14:textId="77777777" w:rsidTr="005835F7">
        <w:tc>
          <w:tcPr>
            <w:tcW w:w="2372" w:type="dxa"/>
          </w:tcPr>
          <w:p w14:paraId="4FDAE6E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Brier score</w:t>
            </w:r>
          </w:p>
        </w:tc>
        <w:tc>
          <w:tcPr>
            <w:tcW w:w="2372" w:type="dxa"/>
          </w:tcPr>
          <w:p w14:paraId="1BD956F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Probability-based</w:t>
            </w:r>
          </w:p>
        </w:tc>
        <w:tc>
          <w:tcPr>
            <w:tcW w:w="4897" w:type="dxa"/>
          </w:tcPr>
          <w:p w14:paraId="7BEAA8F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Mean squared probability error</w:t>
            </w:r>
          </w:p>
        </w:tc>
      </w:tr>
      <w:tr w:rsidR="00012482" w:rsidRPr="005835F7" w14:paraId="6BEC99B7" w14:textId="77777777" w:rsidTr="005835F7">
        <w:tc>
          <w:tcPr>
            <w:tcW w:w="2372" w:type="dxa"/>
          </w:tcPr>
          <w:p w14:paraId="3BF3844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Precision@k</w:t>
            </w:r>
          </w:p>
        </w:tc>
        <w:tc>
          <w:tcPr>
            <w:tcW w:w="2372" w:type="dxa"/>
          </w:tcPr>
          <w:p w14:paraId="0825E40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Budget-based</w:t>
            </w:r>
          </w:p>
        </w:tc>
        <w:tc>
          <w:tcPr>
            <w:tcW w:w="4897" w:type="dxa"/>
          </w:tcPr>
          <w:p w14:paraId="30A959F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Observed yield among k highest-ranked sequences</w:t>
            </w:r>
          </w:p>
        </w:tc>
      </w:tr>
    </w:tbl>
    <w:p w14:paraId="6ED1E488" w14:textId="77777777" w:rsidR="00012482" w:rsidRPr="005835F7" w:rsidRDefault="00012482" w:rsidP="006E6660">
      <w:pPr>
        <w:spacing w:after="100"/>
        <w:rPr>
          <w:rFonts w:cs="Times New Roman"/>
          <w:color w:val="000000" w:themeColor="text1"/>
          <w:sz w:val="24"/>
          <w:szCs w:val="24"/>
        </w:rPr>
      </w:pPr>
    </w:p>
    <w:p w14:paraId="0CBD7572" w14:textId="77777777" w:rsidR="00847EAC" w:rsidRDefault="00847EAC" w:rsidP="005835F7">
      <w:pPr>
        <w:keepNext/>
        <w:spacing w:after="100"/>
        <w:rPr>
          <w:rFonts w:cs="Times New Roman"/>
          <w:color w:val="000000" w:themeColor="text1"/>
          <w:sz w:val="24"/>
          <w:szCs w:val="24"/>
        </w:rPr>
      </w:pPr>
      <w:r w:rsidRPr="00847EAC">
        <w:rPr>
          <w:rFonts w:cs="Times New Roman"/>
          <w:color w:val="000000" w:themeColor="text1"/>
          <w:sz w:val="24"/>
          <w:szCs w:val="24"/>
        </w:rPr>
        <w:t xml:space="preserve">Table 6 contrasts ranking metrics with threshold-dependent metrics. It is important to understand that the threshold used was chosen on development data. AP and ROC-AUC are order-based metrics, while F1 and the confusion matrix are order-based metrics that also consider the choice of operating point. Platform-clustered bootstrap confidence intervals are calculated on predictions based on paired </w:t>
      </w:r>
      <w:r w:rsidRPr="00847EAC">
        <w:rPr>
          <w:rFonts w:cs="Times New Roman"/>
          <w:color w:val="000000" w:themeColor="text1"/>
          <w:sz w:val="24"/>
          <w:szCs w:val="24"/>
        </w:rPr>
        <w:lastRenderedPageBreak/>
        <w:t>bootstrap sampling of platforms. The provided manuscript does not include a complete trace of the number of replicates, seed, treatment of zero-positive replicates, and higher-level operator/year/</w:t>
      </w:r>
      <w:proofErr w:type="spellStart"/>
      <w:r w:rsidRPr="00847EAC">
        <w:rPr>
          <w:rFonts w:cs="Times New Roman"/>
          <w:color w:val="000000" w:themeColor="text1"/>
          <w:sz w:val="24"/>
          <w:szCs w:val="24"/>
        </w:rPr>
        <w:t>bootstraping</w:t>
      </w:r>
      <w:proofErr w:type="spellEnd"/>
      <w:r w:rsidRPr="00847EAC">
        <w:rPr>
          <w:rFonts w:cs="Times New Roman"/>
          <w:color w:val="000000" w:themeColor="text1"/>
          <w:sz w:val="24"/>
          <w:szCs w:val="24"/>
        </w:rPr>
        <w:t>. As such, the confidence intervals are considered descriptive archived outputs rather than independently reproducible confirmation.</w:t>
      </w:r>
    </w:p>
    <w:p w14:paraId="7F8DEA9F" w14:textId="1A4CBB63" w:rsidR="00995A43" w:rsidRPr="005835F7" w:rsidRDefault="00995A43" w:rsidP="005835F7">
      <w:pPr>
        <w:keepNext/>
        <w:spacing w:after="100"/>
        <w:rPr>
          <w:rFonts w:cs="Times New Roman"/>
          <w:color w:val="000000" w:themeColor="text1"/>
          <w:sz w:val="24"/>
          <w:szCs w:val="24"/>
        </w:rPr>
      </w:pPr>
      <w:r w:rsidRPr="005835F7">
        <w:rPr>
          <w:rFonts w:cs="Times New Roman"/>
          <w:b/>
          <w:bCs/>
          <w:color w:val="000000" w:themeColor="text1"/>
          <w:sz w:val="24"/>
          <w:szCs w:val="24"/>
          <w:highlight w:val="yellow"/>
          <w:lang w:val="en-IN"/>
        </w:rPr>
        <w:t>3.8 Prototype Research Interface</w:t>
      </w:r>
    </w:p>
    <w:p w14:paraId="4D28B36B" w14:textId="77777777" w:rsidR="00847EAC" w:rsidRPr="00847EAC" w:rsidRDefault="00847EAC" w:rsidP="00847EAC">
      <w:pPr>
        <w:keepNext/>
        <w:spacing w:after="100"/>
        <w:rPr>
          <w:rFonts w:cs="Times New Roman"/>
          <w:color w:val="000000" w:themeColor="text1"/>
          <w:sz w:val="24"/>
          <w:szCs w:val="24"/>
          <w:highlight w:val="yellow"/>
        </w:rPr>
      </w:pPr>
      <w:r w:rsidRPr="00847EAC">
        <w:rPr>
          <w:rFonts w:cs="Times New Roman"/>
          <w:color w:val="000000" w:themeColor="text1"/>
          <w:sz w:val="24"/>
          <w:szCs w:val="24"/>
          <w:highlight w:val="yellow"/>
        </w:rPr>
        <w:t>The created interface was intended only for demonstration purposes for entering data and presenting results; no other purpose such as cohort creation, training, selection or evaluation was served by this interface. The required input years for the interface include t-2, t-1, and t; however, the recorded-INC result year is t+1 and does not go into the input tensor. Interface should be able to read the threshold, feature order, preprocessing object, and probability mapping function from the same manifest. Threshold value in the frozen manifest is 0.04908876769816646, mean seed threshold 0.04982 and symmetric-rerun threshold 0.07110931251823678 belong to different analytical models and hence are for comparisons only and not operating controls. No display of the interface is a validation or calibration.</w:t>
      </w:r>
    </w:p>
    <w:p w14:paraId="51870195" w14:textId="6DD1CB54" w:rsidR="005835F7" w:rsidRDefault="00847EAC" w:rsidP="00847EAC">
      <w:pPr>
        <w:keepNext/>
        <w:spacing w:after="100"/>
        <w:rPr>
          <w:rFonts w:cs="Times New Roman"/>
          <w:color w:val="000000" w:themeColor="text1"/>
          <w:sz w:val="24"/>
          <w:szCs w:val="24"/>
        </w:rPr>
      </w:pPr>
      <w:r w:rsidRPr="00847EAC">
        <w:rPr>
          <w:rFonts w:cs="Times New Roman"/>
          <w:color w:val="000000" w:themeColor="text1"/>
          <w:sz w:val="24"/>
          <w:szCs w:val="24"/>
          <w:highlight w:val="yellow"/>
        </w:rPr>
        <w:t>Interface shows the probability mapped ensemble ranking score and might be able to provide a heuristic research prioritization band against the threshold of the manifest. No optimization or validation of bands was done using decision curve analysis or regulatory resource constraints.</w:t>
      </w:r>
      <w:r w:rsidR="00995A43" w:rsidRPr="005835F7">
        <w:rPr>
          <w:rFonts w:cs="Times New Roman"/>
          <w:color w:val="000000" w:themeColor="text1"/>
          <w:sz w:val="24"/>
          <w:szCs w:val="24"/>
          <w:highlight w:val="yellow"/>
        </w:rPr>
        <w:t xml:space="preserve"> Temporal-attention, learned-query pooling and feature-gate displays are internal model associations or rescaling quantities, not causal explanations or feature-importance estimates. Input-completeness checks verify only whether required values were supplied or imputed under the frozen preprocessing rules; they do not verify source accuracy, publication timing, effective dates or regulatory status. The displayed score is not a finding </w:t>
      </w:r>
      <w:r w:rsidR="00995A43" w:rsidRPr="005835F7">
        <w:rPr>
          <w:rFonts w:cs="Times New Roman"/>
          <w:color w:val="000000" w:themeColor="text1"/>
          <w:sz w:val="24"/>
          <w:szCs w:val="24"/>
          <w:highlight w:val="yellow"/>
        </w:rPr>
        <w:lastRenderedPageBreak/>
        <w:t>of non-compliance, a safety assessment, a production-suitability determination or an enforcement recommendation.</w:t>
      </w:r>
    </w:p>
    <w:p w14:paraId="1E725D13" w14:textId="24696F88" w:rsidR="005835F7" w:rsidRDefault="005835F7" w:rsidP="005835F7">
      <w:pPr>
        <w:keepNext/>
        <w:spacing w:after="100"/>
        <w:jc w:val="center"/>
        <w:rPr>
          <w:rFonts w:cs="Times New Roman"/>
          <w:color w:val="000000" w:themeColor="text1"/>
          <w:sz w:val="24"/>
          <w:szCs w:val="24"/>
        </w:rPr>
      </w:pPr>
      <w:r w:rsidRPr="005C07D8">
        <w:rPr>
          <w:rFonts w:cs="Times New Roman"/>
          <w:b/>
          <w:bCs/>
          <w:noProof/>
          <w:color w:val="auto"/>
          <w:sz w:val="24"/>
          <w:szCs w:val="24"/>
          <w:lang w:val="en-IN"/>
        </w:rPr>
        <w:drawing>
          <wp:inline distT="0" distB="0" distL="0" distR="0" wp14:anchorId="7BE86EC6" wp14:editId="7567C4CA">
            <wp:extent cx="6264910" cy="3291840"/>
            <wp:effectExtent l="0" t="0" r="2540" b="3810"/>
            <wp:docPr id="207715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50809" name=""/>
                    <pic:cNvPicPr/>
                  </pic:nvPicPr>
                  <pic:blipFill>
                    <a:blip r:embed="rId22"/>
                    <a:stretch>
                      <a:fillRect/>
                    </a:stretch>
                  </pic:blipFill>
                  <pic:spPr>
                    <a:xfrm>
                      <a:off x="0" y="0"/>
                      <a:ext cx="6264910" cy="3291840"/>
                    </a:xfrm>
                    <a:prstGeom prst="rect">
                      <a:avLst/>
                    </a:prstGeom>
                  </pic:spPr>
                </pic:pic>
              </a:graphicData>
            </a:graphic>
          </wp:inline>
        </w:drawing>
      </w:r>
    </w:p>
    <w:p w14:paraId="6110AE4B" w14:textId="43549203" w:rsidR="006031DD" w:rsidRPr="005835F7" w:rsidRDefault="006031DD" w:rsidP="005835F7">
      <w:pPr>
        <w:keepNext/>
        <w:spacing w:after="100"/>
        <w:jc w:val="center"/>
        <w:rPr>
          <w:rFonts w:cs="Times New Roman"/>
          <w:color w:val="000000" w:themeColor="text1"/>
          <w:sz w:val="24"/>
          <w:szCs w:val="24"/>
          <w:lang w:val="en-IN"/>
        </w:rPr>
      </w:pPr>
      <w:r w:rsidRPr="005835F7">
        <w:rPr>
          <w:rFonts w:cs="Times New Roman"/>
          <w:color w:val="000000" w:themeColor="text1"/>
          <w:sz w:val="24"/>
          <w:szCs w:val="24"/>
          <w:lang w:val="en-IN"/>
        </w:rPr>
        <w:t>(a)</w:t>
      </w:r>
    </w:p>
    <w:p w14:paraId="57FB4A76" w14:textId="77CAF3CD" w:rsidR="00995A43" w:rsidRPr="005835F7" w:rsidRDefault="005835F7" w:rsidP="005835F7">
      <w:pPr>
        <w:keepNext/>
        <w:spacing w:after="100"/>
        <w:jc w:val="center"/>
        <w:rPr>
          <w:rFonts w:cs="Times New Roman"/>
          <w:b/>
          <w:bCs/>
          <w:color w:val="000000" w:themeColor="text1"/>
          <w:sz w:val="24"/>
          <w:szCs w:val="24"/>
          <w:lang w:val="en-IN"/>
        </w:rPr>
      </w:pPr>
      <w:r w:rsidRPr="005C07D8">
        <w:rPr>
          <w:rFonts w:cs="Times New Roman"/>
          <w:b/>
          <w:bCs/>
          <w:noProof/>
          <w:color w:val="auto"/>
          <w:sz w:val="24"/>
          <w:szCs w:val="24"/>
          <w:lang w:val="en-IN"/>
        </w:rPr>
        <w:drawing>
          <wp:inline distT="0" distB="0" distL="0" distR="0" wp14:anchorId="3FF7FC61" wp14:editId="11D0C79B">
            <wp:extent cx="6264910" cy="3321050"/>
            <wp:effectExtent l="0" t="0" r="2540" b="0"/>
            <wp:docPr id="41250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05491" name=""/>
                    <pic:cNvPicPr/>
                  </pic:nvPicPr>
                  <pic:blipFill>
                    <a:blip r:embed="rId23"/>
                    <a:stretch>
                      <a:fillRect/>
                    </a:stretch>
                  </pic:blipFill>
                  <pic:spPr>
                    <a:xfrm>
                      <a:off x="0" y="0"/>
                      <a:ext cx="6264910" cy="3321050"/>
                    </a:xfrm>
                    <a:prstGeom prst="rect">
                      <a:avLst/>
                    </a:prstGeom>
                  </pic:spPr>
                </pic:pic>
              </a:graphicData>
            </a:graphic>
          </wp:inline>
        </w:drawing>
      </w:r>
    </w:p>
    <w:p w14:paraId="5E647B30" w14:textId="77777777" w:rsidR="006031DD" w:rsidRPr="005835F7" w:rsidRDefault="006031DD" w:rsidP="005835F7">
      <w:pPr>
        <w:keepNext/>
        <w:spacing w:after="100"/>
        <w:jc w:val="center"/>
        <w:rPr>
          <w:rFonts w:cs="Times New Roman"/>
          <w:color w:val="000000" w:themeColor="text1"/>
          <w:sz w:val="24"/>
          <w:szCs w:val="24"/>
          <w:lang w:val="en-IN"/>
        </w:rPr>
      </w:pPr>
      <w:r w:rsidRPr="005835F7">
        <w:rPr>
          <w:rFonts w:cs="Times New Roman"/>
          <w:color w:val="000000" w:themeColor="text1"/>
          <w:sz w:val="24"/>
          <w:szCs w:val="24"/>
          <w:lang w:val="en-IN"/>
        </w:rPr>
        <w:t>(b)</w:t>
      </w:r>
    </w:p>
    <w:p w14:paraId="4FD6D6F9" w14:textId="7F6B1763" w:rsidR="006031DD" w:rsidRPr="005835F7" w:rsidRDefault="005835F7" w:rsidP="005835F7">
      <w:pPr>
        <w:keepNext/>
        <w:spacing w:after="100"/>
        <w:jc w:val="center"/>
        <w:rPr>
          <w:rFonts w:cs="Times New Roman"/>
          <w:color w:val="000000" w:themeColor="text1"/>
          <w:sz w:val="24"/>
          <w:szCs w:val="24"/>
          <w:lang w:val="en-IN"/>
        </w:rPr>
      </w:pPr>
      <w:r w:rsidRPr="005C07D8">
        <w:rPr>
          <w:rFonts w:cs="Times New Roman"/>
          <w:noProof/>
          <w:color w:val="auto"/>
          <w:sz w:val="24"/>
          <w:szCs w:val="24"/>
          <w:lang w:val="en-IN"/>
        </w:rPr>
        <w:lastRenderedPageBreak/>
        <w:drawing>
          <wp:inline distT="0" distB="0" distL="0" distR="0" wp14:anchorId="4A6D24E1" wp14:editId="180DD3DA">
            <wp:extent cx="6264910" cy="3303905"/>
            <wp:effectExtent l="0" t="0" r="2540" b="0"/>
            <wp:docPr id="17050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9506" name=""/>
                    <pic:cNvPicPr/>
                  </pic:nvPicPr>
                  <pic:blipFill>
                    <a:blip r:embed="rId24"/>
                    <a:stretch>
                      <a:fillRect/>
                    </a:stretch>
                  </pic:blipFill>
                  <pic:spPr>
                    <a:xfrm>
                      <a:off x="0" y="0"/>
                      <a:ext cx="6264910" cy="3303905"/>
                    </a:xfrm>
                    <a:prstGeom prst="rect">
                      <a:avLst/>
                    </a:prstGeom>
                  </pic:spPr>
                </pic:pic>
              </a:graphicData>
            </a:graphic>
          </wp:inline>
        </w:drawing>
      </w:r>
    </w:p>
    <w:p w14:paraId="0001F5F0" w14:textId="77777777" w:rsidR="006031DD" w:rsidRPr="005835F7" w:rsidRDefault="006031DD" w:rsidP="005835F7">
      <w:pPr>
        <w:keepNext/>
        <w:spacing w:after="100"/>
        <w:jc w:val="center"/>
        <w:rPr>
          <w:rFonts w:cs="Times New Roman"/>
          <w:color w:val="000000" w:themeColor="text1"/>
          <w:sz w:val="24"/>
          <w:szCs w:val="24"/>
          <w:lang w:val="en-IN"/>
        </w:rPr>
      </w:pPr>
      <w:r w:rsidRPr="005835F7">
        <w:rPr>
          <w:rFonts w:cs="Times New Roman"/>
          <w:color w:val="000000" w:themeColor="text1"/>
          <w:sz w:val="24"/>
          <w:szCs w:val="24"/>
          <w:lang w:val="en-IN"/>
        </w:rPr>
        <w:t>(c)</w:t>
      </w:r>
    </w:p>
    <w:p w14:paraId="6644A5BE" w14:textId="69A8B90A" w:rsidR="006031DD" w:rsidRPr="005835F7" w:rsidRDefault="005835F7" w:rsidP="005835F7">
      <w:pPr>
        <w:keepNext/>
        <w:spacing w:after="100"/>
        <w:jc w:val="center"/>
        <w:rPr>
          <w:rFonts w:cs="Times New Roman"/>
          <w:color w:val="000000" w:themeColor="text1"/>
          <w:sz w:val="24"/>
          <w:szCs w:val="24"/>
          <w:lang w:val="en-IN"/>
        </w:rPr>
      </w:pPr>
      <w:r w:rsidRPr="005C07D8">
        <w:rPr>
          <w:rFonts w:cs="Times New Roman"/>
          <w:noProof/>
          <w:color w:val="auto"/>
          <w:sz w:val="24"/>
          <w:szCs w:val="24"/>
          <w:lang w:val="en-IN"/>
        </w:rPr>
        <w:drawing>
          <wp:inline distT="0" distB="0" distL="0" distR="0" wp14:anchorId="08CF9751" wp14:editId="12F0E5AA">
            <wp:extent cx="6264910" cy="3313430"/>
            <wp:effectExtent l="0" t="0" r="2540" b="1270"/>
            <wp:docPr id="12373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7428" name=""/>
                    <pic:cNvPicPr/>
                  </pic:nvPicPr>
                  <pic:blipFill>
                    <a:blip r:embed="rId25"/>
                    <a:stretch>
                      <a:fillRect/>
                    </a:stretch>
                  </pic:blipFill>
                  <pic:spPr>
                    <a:xfrm>
                      <a:off x="0" y="0"/>
                      <a:ext cx="6264910" cy="3313430"/>
                    </a:xfrm>
                    <a:prstGeom prst="rect">
                      <a:avLst/>
                    </a:prstGeom>
                  </pic:spPr>
                </pic:pic>
              </a:graphicData>
            </a:graphic>
          </wp:inline>
        </w:drawing>
      </w:r>
    </w:p>
    <w:p w14:paraId="729754A5" w14:textId="1DB57D02" w:rsidR="006031DD" w:rsidRPr="005835F7" w:rsidRDefault="006031DD" w:rsidP="005835F7">
      <w:pPr>
        <w:keepNext/>
        <w:spacing w:after="100"/>
        <w:jc w:val="center"/>
        <w:rPr>
          <w:rFonts w:cs="Times New Roman"/>
          <w:color w:val="000000" w:themeColor="text1"/>
          <w:sz w:val="24"/>
          <w:szCs w:val="24"/>
          <w:lang w:val="en-IN"/>
        </w:rPr>
      </w:pPr>
      <w:r w:rsidRPr="005835F7">
        <w:rPr>
          <w:rFonts w:cs="Times New Roman"/>
          <w:color w:val="000000" w:themeColor="text1"/>
          <w:sz w:val="24"/>
          <w:szCs w:val="24"/>
          <w:lang w:val="en-IN"/>
        </w:rPr>
        <w:t>(d</w:t>
      </w:r>
    </w:p>
    <w:p w14:paraId="329737DA" w14:textId="25726BA2" w:rsidR="00995A43" w:rsidRPr="005835F7" w:rsidRDefault="00995A43" w:rsidP="00995A43">
      <w:pPr>
        <w:pStyle w:val="Caption"/>
        <w:rPr>
          <w:rFonts w:cs="Times New Roman"/>
          <w:color w:val="000000" w:themeColor="text1"/>
          <w:sz w:val="24"/>
          <w:szCs w:val="24"/>
          <w:lang w:val="en-IN"/>
        </w:rPr>
      </w:pPr>
      <w:r w:rsidRPr="005835F7">
        <w:rPr>
          <w:rFonts w:cs="Times New Roman"/>
          <w:color w:val="000000" w:themeColor="text1"/>
          <w:sz w:val="24"/>
          <w:szCs w:val="24"/>
          <w:highlight w:val="yellow"/>
        </w:rPr>
        <w:t>Figure 3. Prototype TECR-Net research interface showing the overview, separate input and outcome years, ensemble ranking output and non-causal model-association displays. The interface is a demonstrator and not evidence of independent validation, calibration, usability or operational effectiveness.</w:t>
      </w:r>
    </w:p>
    <w:p w14:paraId="6E466E0D" w14:textId="77777777" w:rsidR="00995A43" w:rsidRPr="005835F7" w:rsidRDefault="00995A43" w:rsidP="009055DD">
      <w:pPr>
        <w:keepNext/>
        <w:spacing w:after="100"/>
        <w:rPr>
          <w:rFonts w:cs="Times New Roman"/>
          <w:color w:val="000000" w:themeColor="text1"/>
          <w:sz w:val="24"/>
          <w:szCs w:val="24"/>
          <w:lang w:val="en-IN"/>
        </w:rPr>
      </w:pPr>
      <w:r w:rsidRPr="005835F7">
        <w:rPr>
          <w:rFonts w:cs="Times New Roman"/>
          <w:color w:val="000000" w:themeColor="text1"/>
          <w:sz w:val="24"/>
          <w:szCs w:val="24"/>
          <w:highlight w:val="yellow"/>
        </w:rPr>
        <w:t xml:space="preserve">Figure 3 illustrates the intended interface workflow. Panel (a) summarizes the frozen seven-seed configuration and research-only scope. Panel (b) separates display-only identifiers from the t−2, t−1 and t model inputs and the t+1 recorded-INC outcome year. Panel (c) reports the ensemble ranking score, the manifest-matched threshold and seed-level variability. Panel (d) presents internal attention and gating quantities with explicit non-causal interpretation. Before publication, the screenshots must show </w:t>
      </w:r>
      <w:r w:rsidRPr="005835F7">
        <w:rPr>
          <w:rFonts w:cs="Times New Roman"/>
          <w:color w:val="000000" w:themeColor="text1"/>
          <w:sz w:val="24"/>
          <w:szCs w:val="24"/>
          <w:highlight w:val="yellow"/>
        </w:rPr>
        <w:lastRenderedPageBreak/>
        <w:t>the exact threshold associated with the loaded model package and must not describe any previously inspected cohort as independent evaluation.</w:t>
      </w:r>
    </w:p>
    <w:p w14:paraId="1EF8C9FB" w14:textId="77777777" w:rsidR="00012482" w:rsidRPr="005835F7" w:rsidRDefault="00000000" w:rsidP="006E6660">
      <w:pPr>
        <w:pStyle w:val="Heading1"/>
        <w:spacing w:line="276" w:lineRule="auto"/>
        <w:rPr>
          <w:rFonts w:ascii="Times New Roman" w:hAnsi="Times New Roman" w:cs="Times New Roman"/>
          <w:color w:val="000000" w:themeColor="text1"/>
          <w:sz w:val="24"/>
          <w:szCs w:val="24"/>
        </w:rPr>
      </w:pPr>
      <w:r w:rsidRPr="005835F7">
        <w:rPr>
          <w:rFonts w:ascii="Times New Roman" w:hAnsi="Times New Roman" w:cs="Times New Roman"/>
          <w:color w:val="000000" w:themeColor="text1"/>
          <w:sz w:val="24"/>
          <w:szCs w:val="24"/>
        </w:rPr>
        <w:t>4. Results</w:t>
      </w:r>
    </w:p>
    <w:p w14:paraId="49697355" w14:textId="77777777" w:rsidR="0019468E" w:rsidRPr="005835F7" w:rsidRDefault="00000000" w:rsidP="009055DD">
      <w:pPr>
        <w:spacing w:after="100"/>
        <w:rPr>
          <w:rFonts w:cs="Times New Roman"/>
          <w:color w:val="000000" w:themeColor="text1"/>
          <w:sz w:val="24"/>
          <w:szCs w:val="24"/>
        </w:rPr>
      </w:pPr>
      <w:r w:rsidRPr="005835F7">
        <w:rPr>
          <w:rFonts w:cs="Times New Roman"/>
          <w:color w:val="000000" w:themeColor="text1"/>
          <w:sz w:val="24"/>
          <w:szCs w:val="24"/>
        </w:rPr>
        <w:t>The 2020–2021 cohort supported hyperparameter selection, early stopping, probability mapping, threshold selection and performance reporting. Consequently, all results from this cohort are apparent development estimates rather than independent validation estimates. Confidence intervals reported in this section are development-cohort bootstrap intervals; they describe sampling uncertainty within the development cohort, not generalization.</w:t>
      </w:r>
    </w:p>
    <w:p w14:paraId="6D7A52DA" w14:textId="77777777" w:rsidR="00012482" w:rsidRPr="005835F7" w:rsidRDefault="00000000" w:rsidP="009055DD">
      <w:pPr>
        <w:pStyle w:val="Heading2"/>
        <w:spacing w:after="120" w:line="276" w:lineRule="auto"/>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4.1 Multi-Seed Stability</w:t>
      </w:r>
    </w:p>
    <w:p w14:paraId="08C96046" w14:textId="77777777" w:rsidR="00012482" w:rsidRPr="005835F7" w:rsidRDefault="00000000" w:rsidP="006E6660">
      <w:pPr>
        <w:pStyle w:val="Caption"/>
        <w:spacing w:line="276" w:lineRule="auto"/>
        <w:rPr>
          <w:rFonts w:cs="Times New Roman"/>
          <w:color w:val="000000" w:themeColor="text1"/>
          <w:sz w:val="24"/>
          <w:szCs w:val="24"/>
        </w:rPr>
      </w:pPr>
      <w:r w:rsidRPr="005835F7">
        <w:rPr>
          <w:rFonts w:cs="Times New Roman"/>
          <w:color w:val="000000" w:themeColor="text1"/>
          <w:sz w:val="24"/>
          <w:szCs w:val="24"/>
        </w:rPr>
        <w:t>Table 7. Apparent development-cohort seed-level performance across seven TECR-Net fits</w:t>
      </w:r>
    </w:p>
    <w:tbl>
      <w:tblPr>
        <w:tblStyle w:val="TableGrid"/>
        <w:tblW w:w="9926" w:type="dxa"/>
        <w:tblLook w:val="04A0" w:firstRow="1" w:lastRow="0" w:firstColumn="1" w:lastColumn="0" w:noHBand="0" w:noVBand="1"/>
      </w:tblPr>
      <w:tblGrid>
        <w:gridCol w:w="2579"/>
        <w:gridCol w:w="2110"/>
        <w:gridCol w:w="2110"/>
        <w:gridCol w:w="3127"/>
      </w:tblGrid>
      <w:tr w:rsidR="00012482" w:rsidRPr="005835F7" w14:paraId="6963B02F" w14:textId="77777777" w:rsidTr="005835F7">
        <w:tc>
          <w:tcPr>
            <w:tcW w:w="2579" w:type="dxa"/>
          </w:tcPr>
          <w:p w14:paraId="307F0046"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Metric</w:t>
            </w:r>
          </w:p>
        </w:tc>
        <w:tc>
          <w:tcPr>
            <w:tcW w:w="2110" w:type="dxa"/>
          </w:tcPr>
          <w:p w14:paraId="133A42AB"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Mean</w:t>
            </w:r>
          </w:p>
        </w:tc>
        <w:tc>
          <w:tcPr>
            <w:tcW w:w="2110" w:type="dxa"/>
          </w:tcPr>
          <w:p w14:paraId="3D1C474E"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SD</w:t>
            </w:r>
          </w:p>
        </w:tc>
        <w:tc>
          <w:tcPr>
            <w:tcW w:w="3127" w:type="dxa"/>
          </w:tcPr>
          <w:p w14:paraId="00E8431F"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Mean ± SD</w:t>
            </w:r>
          </w:p>
        </w:tc>
      </w:tr>
      <w:tr w:rsidR="00012482" w:rsidRPr="005835F7" w14:paraId="3E2BF371" w14:textId="77777777" w:rsidTr="005835F7">
        <w:tc>
          <w:tcPr>
            <w:tcW w:w="2579" w:type="dxa"/>
          </w:tcPr>
          <w:p w14:paraId="306AF68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Prevalence</w:t>
            </w:r>
          </w:p>
        </w:tc>
        <w:tc>
          <w:tcPr>
            <w:tcW w:w="2110" w:type="dxa"/>
          </w:tcPr>
          <w:p w14:paraId="1281981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0.03556</w:t>
            </w:r>
          </w:p>
        </w:tc>
        <w:tc>
          <w:tcPr>
            <w:tcW w:w="2110" w:type="dxa"/>
          </w:tcPr>
          <w:p w14:paraId="10B3FFB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0.00000</w:t>
            </w:r>
          </w:p>
        </w:tc>
        <w:tc>
          <w:tcPr>
            <w:tcW w:w="3127" w:type="dxa"/>
          </w:tcPr>
          <w:p w14:paraId="6466287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0.03556 ± 0.00000</w:t>
            </w:r>
          </w:p>
        </w:tc>
      </w:tr>
      <w:tr w:rsidR="00012482" w:rsidRPr="005835F7" w14:paraId="244DF347" w14:textId="77777777" w:rsidTr="005835F7">
        <w:tc>
          <w:tcPr>
            <w:tcW w:w="2579" w:type="dxa"/>
          </w:tcPr>
          <w:p w14:paraId="3726FA1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AP</w:t>
            </w:r>
          </w:p>
        </w:tc>
        <w:tc>
          <w:tcPr>
            <w:tcW w:w="2110" w:type="dxa"/>
          </w:tcPr>
          <w:p w14:paraId="6D54F52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0.07401</w:t>
            </w:r>
          </w:p>
        </w:tc>
        <w:tc>
          <w:tcPr>
            <w:tcW w:w="2110" w:type="dxa"/>
          </w:tcPr>
          <w:p w14:paraId="6F4CFCB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0.00775</w:t>
            </w:r>
          </w:p>
        </w:tc>
        <w:tc>
          <w:tcPr>
            <w:tcW w:w="3127" w:type="dxa"/>
          </w:tcPr>
          <w:p w14:paraId="7787803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0.07401 ± 0.00775</w:t>
            </w:r>
          </w:p>
        </w:tc>
      </w:tr>
      <w:tr w:rsidR="00012482" w:rsidRPr="005835F7" w14:paraId="2DC3A33F" w14:textId="77777777" w:rsidTr="005835F7">
        <w:tc>
          <w:tcPr>
            <w:tcW w:w="2579" w:type="dxa"/>
          </w:tcPr>
          <w:p w14:paraId="5D7AC10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AP/prevalence</w:t>
            </w:r>
          </w:p>
        </w:tc>
        <w:tc>
          <w:tcPr>
            <w:tcW w:w="2110" w:type="dxa"/>
          </w:tcPr>
          <w:p w14:paraId="494C52B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2.08109</w:t>
            </w:r>
          </w:p>
        </w:tc>
        <w:tc>
          <w:tcPr>
            <w:tcW w:w="2110" w:type="dxa"/>
          </w:tcPr>
          <w:p w14:paraId="100EAF5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0.21780</w:t>
            </w:r>
          </w:p>
        </w:tc>
        <w:tc>
          <w:tcPr>
            <w:tcW w:w="3127" w:type="dxa"/>
          </w:tcPr>
          <w:p w14:paraId="1E68990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2.08109 ± 0.21780</w:t>
            </w:r>
          </w:p>
        </w:tc>
      </w:tr>
      <w:tr w:rsidR="00012482" w:rsidRPr="005835F7" w14:paraId="7D1030F4" w14:textId="77777777" w:rsidTr="005835F7">
        <w:tc>
          <w:tcPr>
            <w:tcW w:w="2579" w:type="dxa"/>
          </w:tcPr>
          <w:p w14:paraId="455A6B7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ROC-AUC</w:t>
            </w:r>
          </w:p>
        </w:tc>
        <w:tc>
          <w:tcPr>
            <w:tcW w:w="2110" w:type="dxa"/>
          </w:tcPr>
          <w:p w14:paraId="38D9D4A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0.63115</w:t>
            </w:r>
          </w:p>
        </w:tc>
        <w:tc>
          <w:tcPr>
            <w:tcW w:w="2110" w:type="dxa"/>
          </w:tcPr>
          <w:p w14:paraId="17BFE06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0.01119</w:t>
            </w:r>
          </w:p>
        </w:tc>
        <w:tc>
          <w:tcPr>
            <w:tcW w:w="3127" w:type="dxa"/>
          </w:tcPr>
          <w:p w14:paraId="3710080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0.63115 ± 0.01119</w:t>
            </w:r>
          </w:p>
        </w:tc>
      </w:tr>
      <w:tr w:rsidR="00012482" w:rsidRPr="005835F7" w14:paraId="68669D64" w14:textId="77777777" w:rsidTr="005835F7">
        <w:tc>
          <w:tcPr>
            <w:tcW w:w="2579" w:type="dxa"/>
          </w:tcPr>
          <w:p w14:paraId="713306F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F1</w:t>
            </w:r>
          </w:p>
        </w:tc>
        <w:tc>
          <w:tcPr>
            <w:tcW w:w="2110" w:type="dxa"/>
          </w:tcPr>
          <w:p w14:paraId="4D9FE59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0.12080</w:t>
            </w:r>
          </w:p>
        </w:tc>
        <w:tc>
          <w:tcPr>
            <w:tcW w:w="2110" w:type="dxa"/>
          </w:tcPr>
          <w:p w14:paraId="0A38797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0.01976</w:t>
            </w:r>
          </w:p>
        </w:tc>
        <w:tc>
          <w:tcPr>
            <w:tcW w:w="3127" w:type="dxa"/>
          </w:tcPr>
          <w:p w14:paraId="3397FA3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0.12080 ± 0.01976</w:t>
            </w:r>
          </w:p>
        </w:tc>
      </w:tr>
      <w:tr w:rsidR="00012482" w:rsidRPr="005835F7" w14:paraId="5FA20FD9" w14:textId="77777777" w:rsidTr="005835F7">
        <w:tc>
          <w:tcPr>
            <w:tcW w:w="2579" w:type="dxa"/>
          </w:tcPr>
          <w:p w14:paraId="43B0F2E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F2</w:t>
            </w:r>
          </w:p>
        </w:tc>
        <w:tc>
          <w:tcPr>
            <w:tcW w:w="2110" w:type="dxa"/>
          </w:tcPr>
          <w:p w14:paraId="7662444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0.15060</w:t>
            </w:r>
          </w:p>
        </w:tc>
        <w:tc>
          <w:tcPr>
            <w:tcW w:w="2110" w:type="dxa"/>
          </w:tcPr>
          <w:p w14:paraId="32E24DE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0.04063</w:t>
            </w:r>
          </w:p>
        </w:tc>
        <w:tc>
          <w:tcPr>
            <w:tcW w:w="3127" w:type="dxa"/>
          </w:tcPr>
          <w:p w14:paraId="2ED294C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0.15060 ± 0.04063</w:t>
            </w:r>
          </w:p>
        </w:tc>
      </w:tr>
      <w:tr w:rsidR="00012482" w:rsidRPr="005835F7" w14:paraId="20E4E5B5" w14:textId="77777777" w:rsidTr="005835F7">
        <w:tc>
          <w:tcPr>
            <w:tcW w:w="2579" w:type="dxa"/>
          </w:tcPr>
          <w:p w14:paraId="6746E03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w:t>
            </w:r>
          </w:p>
        </w:tc>
        <w:tc>
          <w:tcPr>
            <w:tcW w:w="2110" w:type="dxa"/>
          </w:tcPr>
          <w:p w14:paraId="25142C1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0.10295</w:t>
            </w:r>
          </w:p>
        </w:tc>
        <w:tc>
          <w:tcPr>
            <w:tcW w:w="2110" w:type="dxa"/>
          </w:tcPr>
          <w:p w14:paraId="11EB67B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0.02972</w:t>
            </w:r>
          </w:p>
        </w:tc>
        <w:tc>
          <w:tcPr>
            <w:tcW w:w="3127" w:type="dxa"/>
          </w:tcPr>
          <w:p w14:paraId="0EF67B4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0.10295 ± 0.02972</w:t>
            </w:r>
          </w:p>
        </w:tc>
      </w:tr>
      <w:tr w:rsidR="00012482" w:rsidRPr="005835F7" w14:paraId="6425C9F6" w14:textId="77777777" w:rsidTr="005835F7">
        <w:tc>
          <w:tcPr>
            <w:tcW w:w="2579" w:type="dxa"/>
          </w:tcPr>
          <w:p w14:paraId="084D151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Recall</w:t>
            </w:r>
          </w:p>
        </w:tc>
        <w:tc>
          <w:tcPr>
            <w:tcW w:w="2110" w:type="dxa"/>
          </w:tcPr>
          <w:p w14:paraId="102EE00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0.22175</w:t>
            </w:r>
          </w:p>
        </w:tc>
        <w:tc>
          <w:tcPr>
            <w:tcW w:w="2110" w:type="dxa"/>
          </w:tcPr>
          <w:p w14:paraId="71547F9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0.14861</w:t>
            </w:r>
          </w:p>
        </w:tc>
        <w:tc>
          <w:tcPr>
            <w:tcW w:w="3127" w:type="dxa"/>
          </w:tcPr>
          <w:p w14:paraId="51AFE66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0.22175 ± 0.14861</w:t>
            </w:r>
          </w:p>
        </w:tc>
      </w:tr>
      <w:tr w:rsidR="00012482" w:rsidRPr="005835F7" w14:paraId="409A675C" w14:textId="77777777" w:rsidTr="005835F7">
        <w:tc>
          <w:tcPr>
            <w:tcW w:w="2579" w:type="dxa"/>
          </w:tcPr>
          <w:p w14:paraId="18C1E17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Balanced accuracy</w:t>
            </w:r>
          </w:p>
        </w:tc>
        <w:tc>
          <w:tcPr>
            <w:tcW w:w="2110" w:type="dxa"/>
          </w:tcPr>
          <w:p w14:paraId="60F2AEA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0.56197</w:t>
            </w:r>
          </w:p>
        </w:tc>
        <w:tc>
          <w:tcPr>
            <w:tcW w:w="2110" w:type="dxa"/>
          </w:tcPr>
          <w:p w14:paraId="5923072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0.02388</w:t>
            </w:r>
          </w:p>
        </w:tc>
        <w:tc>
          <w:tcPr>
            <w:tcW w:w="3127" w:type="dxa"/>
          </w:tcPr>
          <w:p w14:paraId="2FD6056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0.56197 ± 0.02388</w:t>
            </w:r>
          </w:p>
        </w:tc>
      </w:tr>
      <w:tr w:rsidR="00012482" w:rsidRPr="005835F7" w14:paraId="51C55E8F" w14:textId="77777777" w:rsidTr="005835F7">
        <w:tc>
          <w:tcPr>
            <w:tcW w:w="2579" w:type="dxa"/>
          </w:tcPr>
          <w:p w14:paraId="7E7C029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Specificity</w:t>
            </w:r>
          </w:p>
        </w:tc>
        <w:tc>
          <w:tcPr>
            <w:tcW w:w="2110" w:type="dxa"/>
          </w:tcPr>
          <w:p w14:paraId="767B862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0.90219</w:t>
            </w:r>
          </w:p>
        </w:tc>
        <w:tc>
          <w:tcPr>
            <w:tcW w:w="2110" w:type="dxa"/>
          </w:tcPr>
          <w:p w14:paraId="7BD7AFA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0.11113</w:t>
            </w:r>
          </w:p>
        </w:tc>
        <w:tc>
          <w:tcPr>
            <w:tcW w:w="3127" w:type="dxa"/>
          </w:tcPr>
          <w:p w14:paraId="1C7BBB1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0.90219 ± 0.11113</w:t>
            </w:r>
          </w:p>
        </w:tc>
      </w:tr>
      <w:tr w:rsidR="00012482" w:rsidRPr="005835F7" w14:paraId="52F3D622" w14:textId="77777777" w:rsidTr="005835F7">
        <w:tc>
          <w:tcPr>
            <w:tcW w:w="2579" w:type="dxa"/>
          </w:tcPr>
          <w:p w14:paraId="1BC981C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MCC</w:t>
            </w:r>
          </w:p>
        </w:tc>
        <w:tc>
          <w:tcPr>
            <w:tcW w:w="2110" w:type="dxa"/>
          </w:tcPr>
          <w:p w14:paraId="1C852D8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0.08918</w:t>
            </w:r>
          </w:p>
        </w:tc>
        <w:tc>
          <w:tcPr>
            <w:tcW w:w="2110" w:type="dxa"/>
          </w:tcPr>
          <w:p w14:paraId="3C30534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0.01780</w:t>
            </w:r>
          </w:p>
        </w:tc>
        <w:tc>
          <w:tcPr>
            <w:tcW w:w="3127" w:type="dxa"/>
          </w:tcPr>
          <w:p w14:paraId="24F7D6B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0.08918 ± 0.01780</w:t>
            </w:r>
          </w:p>
        </w:tc>
      </w:tr>
      <w:tr w:rsidR="00012482" w:rsidRPr="005835F7" w14:paraId="4818031D" w14:textId="77777777" w:rsidTr="005835F7">
        <w:tc>
          <w:tcPr>
            <w:tcW w:w="2579" w:type="dxa"/>
          </w:tcPr>
          <w:p w14:paraId="6F6AB90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Brier score</w:t>
            </w:r>
          </w:p>
        </w:tc>
        <w:tc>
          <w:tcPr>
            <w:tcW w:w="2110" w:type="dxa"/>
          </w:tcPr>
          <w:p w14:paraId="6C494A3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0.03407</w:t>
            </w:r>
          </w:p>
        </w:tc>
        <w:tc>
          <w:tcPr>
            <w:tcW w:w="2110" w:type="dxa"/>
          </w:tcPr>
          <w:p w14:paraId="52B0DF7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0.00004</w:t>
            </w:r>
          </w:p>
        </w:tc>
        <w:tc>
          <w:tcPr>
            <w:tcW w:w="3127" w:type="dxa"/>
          </w:tcPr>
          <w:p w14:paraId="6678EC8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0.03407 ± 0.00004</w:t>
            </w:r>
          </w:p>
        </w:tc>
      </w:tr>
      <w:tr w:rsidR="00012482" w:rsidRPr="005835F7" w14:paraId="10137502" w14:textId="77777777" w:rsidTr="005835F7">
        <w:tc>
          <w:tcPr>
            <w:tcW w:w="2579" w:type="dxa"/>
          </w:tcPr>
          <w:p w14:paraId="5C3C4F3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Threshold</w:t>
            </w:r>
          </w:p>
        </w:tc>
        <w:tc>
          <w:tcPr>
            <w:tcW w:w="2110" w:type="dxa"/>
          </w:tcPr>
          <w:p w14:paraId="10B7EF7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0.04982</w:t>
            </w:r>
          </w:p>
        </w:tc>
        <w:tc>
          <w:tcPr>
            <w:tcW w:w="2110" w:type="dxa"/>
          </w:tcPr>
          <w:p w14:paraId="7B6A4CB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0.00516</w:t>
            </w:r>
          </w:p>
        </w:tc>
        <w:tc>
          <w:tcPr>
            <w:tcW w:w="3127" w:type="dxa"/>
          </w:tcPr>
          <w:p w14:paraId="380E1A4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0.04982 ± 0.00516</w:t>
            </w:r>
          </w:p>
        </w:tc>
      </w:tr>
      <w:tr w:rsidR="00012482" w:rsidRPr="005835F7" w14:paraId="1003FB86" w14:textId="77777777" w:rsidTr="005835F7">
        <w:tc>
          <w:tcPr>
            <w:tcW w:w="2579" w:type="dxa"/>
          </w:tcPr>
          <w:p w14:paraId="557C855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Precision@50</w:t>
            </w:r>
          </w:p>
        </w:tc>
        <w:tc>
          <w:tcPr>
            <w:tcW w:w="2110" w:type="dxa"/>
          </w:tcPr>
          <w:p w14:paraId="2513927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0.10857</w:t>
            </w:r>
          </w:p>
        </w:tc>
        <w:tc>
          <w:tcPr>
            <w:tcW w:w="2110" w:type="dxa"/>
          </w:tcPr>
          <w:p w14:paraId="7AE622A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0.02545</w:t>
            </w:r>
          </w:p>
        </w:tc>
        <w:tc>
          <w:tcPr>
            <w:tcW w:w="3127" w:type="dxa"/>
          </w:tcPr>
          <w:p w14:paraId="69CD9CC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0.10857 ± 0.02545</w:t>
            </w:r>
          </w:p>
        </w:tc>
      </w:tr>
      <w:tr w:rsidR="00012482" w:rsidRPr="005835F7" w14:paraId="5D7B7C1E" w14:textId="77777777" w:rsidTr="005835F7">
        <w:tc>
          <w:tcPr>
            <w:tcW w:w="2579" w:type="dxa"/>
          </w:tcPr>
          <w:p w14:paraId="03D501E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Precision@100</w:t>
            </w:r>
          </w:p>
        </w:tc>
        <w:tc>
          <w:tcPr>
            <w:tcW w:w="2110" w:type="dxa"/>
          </w:tcPr>
          <w:p w14:paraId="1DB598B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0.08571</w:t>
            </w:r>
          </w:p>
        </w:tc>
        <w:tc>
          <w:tcPr>
            <w:tcW w:w="2110" w:type="dxa"/>
          </w:tcPr>
          <w:p w14:paraId="5AB049A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0.02225</w:t>
            </w:r>
          </w:p>
        </w:tc>
        <w:tc>
          <w:tcPr>
            <w:tcW w:w="3127" w:type="dxa"/>
          </w:tcPr>
          <w:p w14:paraId="38061C6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0.08571 ± 0.02225</w:t>
            </w:r>
          </w:p>
        </w:tc>
      </w:tr>
      <w:tr w:rsidR="00012482" w:rsidRPr="005835F7" w14:paraId="6C59FB30" w14:textId="77777777" w:rsidTr="005835F7">
        <w:tc>
          <w:tcPr>
            <w:tcW w:w="2579" w:type="dxa"/>
          </w:tcPr>
          <w:p w14:paraId="655584A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Precision@200</w:t>
            </w:r>
          </w:p>
        </w:tc>
        <w:tc>
          <w:tcPr>
            <w:tcW w:w="2110" w:type="dxa"/>
          </w:tcPr>
          <w:p w14:paraId="1CCF013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0.05857</w:t>
            </w:r>
          </w:p>
        </w:tc>
        <w:tc>
          <w:tcPr>
            <w:tcW w:w="2110" w:type="dxa"/>
          </w:tcPr>
          <w:p w14:paraId="4C6F63B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0.01180</w:t>
            </w:r>
          </w:p>
        </w:tc>
        <w:tc>
          <w:tcPr>
            <w:tcW w:w="3127" w:type="dxa"/>
          </w:tcPr>
          <w:p w14:paraId="685051A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0.05857 ± 0.01180</w:t>
            </w:r>
          </w:p>
        </w:tc>
      </w:tr>
    </w:tbl>
    <w:p w14:paraId="0F1040AD" w14:textId="77777777" w:rsidR="00847EAC" w:rsidRPr="00847EAC" w:rsidRDefault="00847EAC" w:rsidP="00847EAC">
      <w:pPr>
        <w:spacing w:after="100"/>
        <w:rPr>
          <w:rFonts w:cs="Times New Roman"/>
          <w:color w:val="000000" w:themeColor="text1"/>
          <w:sz w:val="24"/>
          <w:szCs w:val="24"/>
        </w:rPr>
      </w:pPr>
      <w:r w:rsidRPr="00847EAC">
        <w:rPr>
          <w:rFonts w:cs="Times New Roman"/>
          <w:color w:val="000000" w:themeColor="text1"/>
          <w:sz w:val="24"/>
          <w:szCs w:val="24"/>
        </w:rPr>
        <w:t>The mean AP of the development data using TECR-Net was 0.07401 +/- 0.00775, and ROC-AUC was 0.63115 +/- 0.01119 over seven random seeds. Recall was highly varied over the seven seeds (SD 0.14861), suggesting that the behavior of the algorithm is sensitive to initialization and training variability. These are the metrics of stochasticity present in the adaptive development set; they are not confidence intervals, and therefore not indicative of independent generalization.</w:t>
      </w:r>
    </w:p>
    <w:p w14:paraId="2909FD2A" w14:textId="7D8DDC6C" w:rsidR="00B71BC0" w:rsidRPr="005835F7" w:rsidRDefault="00847EAC" w:rsidP="00847EAC">
      <w:pPr>
        <w:spacing w:after="100"/>
        <w:jc w:val="center"/>
        <w:rPr>
          <w:rFonts w:cs="Times New Roman"/>
          <w:color w:val="000000" w:themeColor="text1"/>
          <w:sz w:val="24"/>
          <w:szCs w:val="24"/>
        </w:rPr>
      </w:pPr>
      <w:r w:rsidRPr="00847EAC">
        <w:rPr>
          <w:rFonts w:cs="Times New Roman"/>
          <w:color w:val="000000" w:themeColor="text1"/>
          <w:sz w:val="24"/>
          <w:szCs w:val="24"/>
        </w:rPr>
        <w:t xml:space="preserve">Figure 4 gives an overview of the threshold-dependent behavior of the seven-seed ensemble on the development set. The confusion matrix is presented as well since the regulator needs to know how </w:t>
      </w:r>
      <w:r w:rsidRPr="00847EAC">
        <w:rPr>
          <w:rFonts w:cs="Times New Roman"/>
          <w:color w:val="000000" w:themeColor="text1"/>
          <w:sz w:val="24"/>
          <w:szCs w:val="24"/>
        </w:rPr>
        <w:lastRenderedPageBreak/>
        <w:t>many positive cases were missed and false alarms produced at the chosen threshold value.</w:t>
      </w:r>
      <w:r w:rsidR="00B71BC0" w:rsidRPr="005835F7">
        <w:rPr>
          <w:rFonts w:cs="Times New Roman"/>
          <w:noProof/>
          <w:color w:val="000000" w:themeColor="text1"/>
          <w:sz w:val="24"/>
          <w:szCs w:val="24"/>
        </w:rPr>
        <w:drawing>
          <wp:inline distT="0" distB="0" distL="0" distR="0" wp14:anchorId="5E1D9C3E" wp14:editId="36396C1E">
            <wp:extent cx="4250690" cy="3398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validation_confusion.png"/>
                    <pic:cNvPicPr/>
                  </pic:nvPicPr>
                  <pic:blipFill rotWithShape="1">
                    <a:blip r:embed="rId26"/>
                    <a:srcRect r="5118" b="5834"/>
                    <a:stretch>
                      <a:fillRect/>
                    </a:stretch>
                  </pic:blipFill>
                  <pic:spPr bwMode="auto">
                    <a:xfrm>
                      <a:off x="0" y="0"/>
                      <a:ext cx="4251278" cy="3398762"/>
                    </a:xfrm>
                    <a:prstGeom prst="rect">
                      <a:avLst/>
                    </a:prstGeom>
                    <a:ln>
                      <a:noFill/>
                    </a:ln>
                    <a:extLst>
                      <a:ext uri="{53640926-AAD7-44D8-BBD7-CCE9431645EC}">
                        <a14:shadowObscured xmlns:a14="http://schemas.microsoft.com/office/drawing/2010/main"/>
                      </a:ext>
                    </a:extLst>
                  </pic:spPr>
                </pic:pic>
              </a:graphicData>
            </a:graphic>
          </wp:inline>
        </w:drawing>
      </w:r>
    </w:p>
    <w:p w14:paraId="7F41FF7B" w14:textId="77777777" w:rsidR="00B71BC0" w:rsidRPr="005835F7" w:rsidRDefault="00B71BC0" w:rsidP="006E6660">
      <w:pPr>
        <w:spacing w:after="100"/>
        <w:rPr>
          <w:rFonts w:cs="Times New Roman"/>
          <w:color w:val="000000" w:themeColor="text1"/>
          <w:sz w:val="24"/>
          <w:szCs w:val="24"/>
        </w:rPr>
      </w:pPr>
    </w:p>
    <w:p w14:paraId="21F31FF9"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Figure 4. Development-cohort confusion matrix for the probability-mapped seven-seed TECR-Net ensemble.</w:t>
      </w:r>
    </w:p>
    <w:p w14:paraId="45AA0A7F" w14:textId="77777777" w:rsidR="00847EAC" w:rsidRDefault="00847EAC" w:rsidP="006E6660">
      <w:pPr>
        <w:pStyle w:val="Heading2"/>
        <w:rPr>
          <w:rFonts w:ascii="Times New Roman" w:eastAsia="Times New Roman" w:hAnsi="Times New Roman" w:cs="Times New Roman"/>
          <w:b w:val="0"/>
          <w:bCs w:val="0"/>
          <w:color w:val="000000" w:themeColor="text1"/>
          <w:sz w:val="24"/>
          <w:szCs w:val="24"/>
        </w:rPr>
      </w:pPr>
      <w:r w:rsidRPr="00847EAC">
        <w:rPr>
          <w:rFonts w:ascii="Times New Roman" w:eastAsia="Times New Roman" w:hAnsi="Times New Roman" w:cs="Times New Roman"/>
          <w:b w:val="0"/>
          <w:bCs w:val="0"/>
          <w:color w:val="000000" w:themeColor="text1"/>
          <w:sz w:val="24"/>
          <w:szCs w:val="24"/>
        </w:rPr>
        <w:t>As can be seen from Figure 4, there are 1,683 true negatives, 134 false positives, 54 false negatives, and 13 true positives when the cutoff value is 0.0491. Since there is a very high specificity as most negative sequences are below the cutoff value, it seems that a priority-based interpretation is possible.</w:t>
      </w:r>
    </w:p>
    <w:p w14:paraId="34F7D26C" w14:textId="12AB034B"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4.2 Ensemble Discrimination and Risk Ranking</w:t>
      </w:r>
    </w:p>
    <w:p w14:paraId="22503D0C"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Table 8. Apparent seven-seed ensemble metrics on the development cohort</w:t>
      </w:r>
    </w:p>
    <w:tbl>
      <w:tblPr>
        <w:tblStyle w:val="TableGrid"/>
        <w:tblW w:w="9805" w:type="dxa"/>
        <w:tblLook w:val="04A0" w:firstRow="1" w:lastRow="0" w:firstColumn="1" w:lastColumn="0" w:noHBand="0" w:noVBand="1"/>
      </w:tblPr>
      <w:tblGrid>
        <w:gridCol w:w="2431"/>
        <w:gridCol w:w="1569"/>
        <w:gridCol w:w="2824"/>
        <w:gridCol w:w="2981"/>
      </w:tblGrid>
      <w:tr w:rsidR="00012482" w:rsidRPr="005835F7" w14:paraId="317A64FE" w14:textId="77777777" w:rsidTr="005D4D06">
        <w:tc>
          <w:tcPr>
            <w:tcW w:w="2431" w:type="dxa"/>
          </w:tcPr>
          <w:p w14:paraId="7B42B798"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Metric</w:t>
            </w:r>
          </w:p>
        </w:tc>
        <w:tc>
          <w:tcPr>
            <w:tcW w:w="1569" w:type="dxa"/>
          </w:tcPr>
          <w:p w14:paraId="498A31F0"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Value</w:t>
            </w:r>
          </w:p>
        </w:tc>
        <w:tc>
          <w:tcPr>
            <w:tcW w:w="2824" w:type="dxa"/>
          </w:tcPr>
          <w:p w14:paraId="55AA976F"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Metric</w:t>
            </w:r>
          </w:p>
        </w:tc>
        <w:tc>
          <w:tcPr>
            <w:tcW w:w="2981" w:type="dxa"/>
          </w:tcPr>
          <w:p w14:paraId="0C804F99"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Value</w:t>
            </w:r>
          </w:p>
        </w:tc>
      </w:tr>
      <w:tr w:rsidR="00012482" w:rsidRPr="005835F7" w14:paraId="5CCFDBBF" w14:textId="77777777" w:rsidTr="005D4D06">
        <w:tc>
          <w:tcPr>
            <w:tcW w:w="2431" w:type="dxa"/>
          </w:tcPr>
          <w:p w14:paraId="3F8137E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Prevalence</w:t>
            </w:r>
          </w:p>
        </w:tc>
        <w:tc>
          <w:tcPr>
            <w:tcW w:w="1569" w:type="dxa"/>
          </w:tcPr>
          <w:p w14:paraId="5B4A1AF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0.03556</w:t>
            </w:r>
          </w:p>
        </w:tc>
        <w:tc>
          <w:tcPr>
            <w:tcW w:w="2824" w:type="dxa"/>
          </w:tcPr>
          <w:p w14:paraId="44F865B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AP/prevalence</w:t>
            </w:r>
          </w:p>
        </w:tc>
        <w:tc>
          <w:tcPr>
            <w:tcW w:w="2981" w:type="dxa"/>
          </w:tcPr>
          <w:p w14:paraId="0863195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2.114×</w:t>
            </w:r>
          </w:p>
        </w:tc>
      </w:tr>
      <w:tr w:rsidR="00012482" w:rsidRPr="005835F7" w14:paraId="02D69562" w14:textId="77777777" w:rsidTr="005D4D06">
        <w:tc>
          <w:tcPr>
            <w:tcW w:w="2431" w:type="dxa"/>
          </w:tcPr>
          <w:p w14:paraId="2D2E109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AP</w:t>
            </w:r>
          </w:p>
        </w:tc>
        <w:tc>
          <w:tcPr>
            <w:tcW w:w="1569" w:type="dxa"/>
          </w:tcPr>
          <w:p w14:paraId="5B405C4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0.07518</w:t>
            </w:r>
          </w:p>
        </w:tc>
        <w:tc>
          <w:tcPr>
            <w:tcW w:w="2824" w:type="dxa"/>
          </w:tcPr>
          <w:p w14:paraId="4F20282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ROC-AUC</w:t>
            </w:r>
          </w:p>
        </w:tc>
        <w:tc>
          <w:tcPr>
            <w:tcW w:w="2981" w:type="dxa"/>
          </w:tcPr>
          <w:p w14:paraId="1FB1CB7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0.63855</w:t>
            </w:r>
          </w:p>
        </w:tc>
      </w:tr>
      <w:tr w:rsidR="00012482" w:rsidRPr="005835F7" w14:paraId="71133AAD" w14:textId="77777777" w:rsidTr="005D4D06">
        <w:tc>
          <w:tcPr>
            <w:tcW w:w="2431" w:type="dxa"/>
          </w:tcPr>
          <w:p w14:paraId="7D2D703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F1</w:t>
            </w:r>
          </w:p>
        </w:tc>
        <w:tc>
          <w:tcPr>
            <w:tcW w:w="1569" w:type="dxa"/>
          </w:tcPr>
          <w:p w14:paraId="5337073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0.12150</w:t>
            </w:r>
          </w:p>
        </w:tc>
        <w:tc>
          <w:tcPr>
            <w:tcW w:w="2824" w:type="dxa"/>
          </w:tcPr>
          <w:p w14:paraId="011C7E8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F2</w:t>
            </w:r>
          </w:p>
        </w:tc>
        <w:tc>
          <w:tcPr>
            <w:tcW w:w="2981" w:type="dxa"/>
          </w:tcPr>
          <w:p w14:paraId="3D2FE28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0.15663</w:t>
            </w:r>
          </w:p>
        </w:tc>
      </w:tr>
      <w:tr w:rsidR="00012482" w:rsidRPr="005835F7" w14:paraId="62526F95" w14:textId="77777777" w:rsidTr="005D4D06">
        <w:tc>
          <w:tcPr>
            <w:tcW w:w="2431" w:type="dxa"/>
          </w:tcPr>
          <w:p w14:paraId="09BEE30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w:t>
            </w:r>
          </w:p>
        </w:tc>
        <w:tc>
          <w:tcPr>
            <w:tcW w:w="1569" w:type="dxa"/>
          </w:tcPr>
          <w:p w14:paraId="7B1857D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0.08844</w:t>
            </w:r>
          </w:p>
        </w:tc>
        <w:tc>
          <w:tcPr>
            <w:tcW w:w="2824" w:type="dxa"/>
          </w:tcPr>
          <w:p w14:paraId="6FEE93D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Recall</w:t>
            </w:r>
          </w:p>
        </w:tc>
        <w:tc>
          <w:tcPr>
            <w:tcW w:w="2981" w:type="dxa"/>
          </w:tcPr>
          <w:p w14:paraId="2EAA9CE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0.19403</w:t>
            </w:r>
          </w:p>
        </w:tc>
      </w:tr>
      <w:tr w:rsidR="00012482" w:rsidRPr="005835F7" w14:paraId="79C604EC" w14:textId="77777777" w:rsidTr="005D4D06">
        <w:tc>
          <w:tcPr>
            <w:tcW w:w="2431" w:type="dxa"/>
          </w:tcPr>
          <w:p w14:paraId="0F8F984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Specificity</w:t>
            </w:r>
          </w:p>
        </w:tc>
        <w:tc>
          <w:tcPr>
            <w:tcW w:w="1569" w:type="dxa"/>
          </w:tcPr>
          <w:p w14:paraId="12D1738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0.92625</w:t>
            </w:r>
          </w:p>
        </w:tc>
        <w:tc>
          <w:tcPr>
            <w:tcW w:w="2824" w:type="dxa"/>
          </w:tcPr>
          <w:p w14:paraId="084A8B9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Balanced accuracy</w:t>
            </w:r>
          </w:p>
        </w:tc>
        <w:tc>
          <w:tcPr>
            <w:tcW w:w="2981" w:type="dxa"/>
          </w:tcPr>
          <w:p w14:paraId="2ED9EF8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0.56014</w:t>
            </w:r>
          </w:p>
        </w:tc>
      </w:tr>
      <w:tr w:rsidR="00012482" w:rsidRPr="005835F7" w14:paraId="0BBD45D4" w14:textId="77777777" w:rsidTr="005D4D06">
        <w:tc>
          <w:tcPr>
            <w:tcW w:w="2431" w:type="dxa"/>
          </w:tcPr>
          <w:p w14:paraId="3CB7C28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MCC</w:t>
            </w:r>
          </w:p>
        </w:tc>
        <w:tc>
          <w:tcPr>
            <w:tcW w:w="1569" w:type="dxa"/>
          </w:tcPr>
          <w:p w14:paraId="70AD909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0.08305</w:t>
            </w:r>
          </w:p>
        </w:tc>
        <w:tc>
          <w:tcPr>
            <w:tcW w:w="2824" w:type="dxa"/>
          </w:tcPr>
          <w:p w14:paraId="4D903CB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Brier score</w:t>
            </w:r>
          </w:p>
        </w:tc>
        <w:tc>
          <w:tcPr>
            <w:tcW w:w="2981" w:type="dxa"/>
          </w:tcPr>
          <w:p w14:paraId="3175B56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0.03406</w:t>
            </w:r>
          </w:p>
        </w:tc>
      </w:tr>
      <w:tr w:rsidR="00012482" w:rsidRPr="005835F7" w14:paraId="1F54B2BB" w14:textId="77777777" w:rsidTr="005D4D06">
        <w:tc>
          <w:tcPr>
            <w:tcW w:w="2431" w:type="dxa"/>
          </w:tcPr>
          <w:p w14:paraId="772C90D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Threshold</w:t>
            </w:r>
          </w:p>
        </w:tc>
        <w:tc>
          <w:tcPr>
            <w:tcW w:w="1569" w:type="dxa"/>
          </w:tcPr>
          <w:p w14:paraId="03BD2BC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0.04909</w:t>
            </w:r>
          </w:p>
        </w:tc>
        <w:tc>
          <w:tcPr>
            <w:tcW w:w="2824" w:type="dxa"/>
          </w:tcPr>
          <w:p w14:paraId="0B45101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TN / FP / FN / TP</w:t>
            </w:r>
          </w:p>
        </w:tc>
        <w:tc>
          <w:tcPr>
            <w:tcW w:w="2981" w:type="dxa"/>
          </w:tcPr>
          <w:p w14:paraId="73870EE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1683 / 134 / 54 / 13</w:t>
            </w:r>
          </w:p>
        </w:tc>
      </w:tr>
      <w:tr w:rsidR="00012482" w:rsidRPr="005835F7" w14:paraId="2632451B" w14:textId="77777777" w:rsidTr="005D4D06">
        <w:tc>
          <w:tcPr>
            <w:tcW w:w="2431" w:type="dxa"/>
          </w:tcPr>
          <w:p w14:paraId="0F59639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Precision@50</w:t>
            </w:r>
          </w:p>
        </w:tc>
        <w:tc>
          <w:tcPr>
            <w:tcW w:w="1569" w:type="dxa"/>
          </w:tcPr>
          <w:p w14:paraId="734D448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0.080</w:t>
            </w:r>
          </w:p>
        </w:tc>
        <w:tc>
          <w:tcPr>
            <w:tcW w:w="2824" w:type="dxa"/>
          </w:tcPr>
          <w:p w14:paraId="764BF31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Lift@50</w:t>
            </w:r>
          </w:p>
        </w:tc>
        <w:tc>
          <w:tcPr>
            <w:tcW w:w="2981" w:type="dxa"/>
          </w:tcPr>
          <w:p w14:paraId="5AB9D52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2.250×</w:t>
            </w:r>
          </w:p>
        </w:tc>
      </w:tr>
      <w:tr w:rsidR="00012482" w:rsidRPr="005835F7" w14:paraId="6E863CD8" w14:textId="77777777" w:rsidTr="005D4D06">
        <w:tc>
          <w:tcPr>
            <w:tcW w:w="2431" w:type="dxa"/>
          </w:tcPr>
          <w:p w14:paraId="7191E8C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Precision@100</w:t>
            </w:r>
          </w:p>
        </w:tc>
        <w:tc>
          <w:tcPr>
            <w:tcW w:w="1569" w:type="dxa"/>
          </w:tcPr>
          <w:p w14:paraId="059C47E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0.080</w:t>
            </w:r>
          </w:p>
        </w:tc>
        <w:tc>
          <w:tcPr>
            <w:tcW w:w="2824" w:type="dxa"/>
          </w:tcPr>
          <w:p w14:paraId="577F3D8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Lift@100</w:t>
            </w:r>
          </w:p>
        </w:tc>
        <w:tc>
          <w:tcPr>
            <w:tcW w:w="2981" w:type="dxa"/>
          </w:tcPr>
          <w:p w14:paraId="4767A73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2.250×</w:t>
            </w:r>
          </w:p>
        </w:tc>
      </w:tr>
      <w:tr w:rsidR="00012482" w:rsidRPr="005835F7" w14:paraId="4049DD1C" w14:textId="77777777" w:rsidTr="005D4D06">
        <w:tc>
          <w:tcPr>
            <w:tcW w:w="2431" w:type="dxa"/>
          </w:tcPr>
          <w:p w14:paraId="2ED92B3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Precision@200</w:t>
            </w:r>
          </w:p>
        </w:tc>
        <w:tc>
          <w:tcPr>
            <w:tcW w:w="1569" w:type="dxa"/>
          </w:tcPr>
          <w:p w14:paraId="5C5AF96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0.070</w:t>
            </w:r>
          </w:p>
        </w:tc>
        <w:tc>
          <w:tcPr>
            <w:tcW w:w="2824" w:type="dxa"/>
          </w:tcPr>
          <w:p w14:paraId="291EAEE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Lift@200</w:t>
            </w:r>
          </w:p>
        </w:tc>
        <w:tc>
          <w:tcPr>
            <w:tcW w:w="2981" w:type="dxa"/>
          </w:tcPr>
          <w:p w14:paraId="1928762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1.968×</w:t>
            </w:r>
          </w:p>
        </w:tc>
      </w:tr>
    </w:tbl>
    <w:p w14:paraId="3885C871" w14:textId="77777777" w:rsidR="00847EAC" w:rsidRPr="00847EAC" w:rsidRDefault="00847EAC" w:rsidP="00847EAC">
      <w:pPr>
        <w:spacing w:after="100"/>
        <w:rPr>
          <w:rFonts w:cs="Times New Roman"/>
          <w:color w:val="000000" w:themeColor="text1"/>
          <w:sz w:val="24"/>
          <w:szCs w:val="24"/>
        </w:rPr>
      </w:pPr>
      <w:r w:rsidRPr="00847EAC">
        <w:rPr>
          <w:rFonts w:cs="Times New Roman"/>
          <w:color w:val="000000" w:themeColor="text1"/>
          <w:sz w:val="24"/>
          <w:szCs w:val="24"/>
        </w:rPr>
        <w:t>In Table 8, ensemble AP is 0.07518, or 2.11 times the 3.56% prevalence in development. In the 50 highest-ranking platform-year combinations, 4 were known to have positive results, giving a Precision@50 of 0.080, with about 2.25 times enrichment. There might be repeated measures from the same physical platform, and thus this is not the yield from 50 different platforms. The absolute yield is low and serves just as a prioritization purpose.</w:t>
      </w:r>
    </w:p>
    <w:p w14:paraId="6CB44952" w14:textId="3B888D59" w:rsidR="00012482" w:rsidRPr="005835F7" w:rsidRDefault="00847EAC" w:rsidP="00847EAC">
      <w:pPr>
        <w:spacing w:after="100"/>
        <w:rPr>
          <w:rFonts w:cs="Times New Roman"/>
          <w:color w:val="000000" w:themeColor="text1"/>
          <w:sz w:val="24"/>
          <w:szCs w:val="24"/>
        </w:rPr>
      </w:pPr>
      <w:r w:rsidRPr="00847EAC">
        <w:rPr>
          <w:rFonts w:cs="Times New Roman"/>
          <w:color w:val="000000" w:themeColor="text1"/>
          <w:sz w:val="24"/>
          <w:szCs w:val="24"/>
        </w:rPr>
        <w:t>Figure 5 demonstrates discrimination independent of an operating point. The ROC curve describes sensitivity as a function of the false-positive rate, while the PR curve gives more information on the rare positive event because it is compared to the cohort prevalence.</w:t>
      </w:r>
    </w:p>
    <w:p w14:paraId="2A2B815E" w14:textId="77777777" w:rsidR="00012482" w:rsidRPr="005835F7" w:rsidRDefault="00000000" w:rsidP="006E6660">
      <w:pPr>
        <w:keepNext/>
        <w:spacing w:after="100"/>
        <w:jc w:val="center"/>
        <w:rPr>
          <w:rFonts w:cs="Times New Roman"/>
          <w:color w:val="000000" w:themeColor="text1"/>
          <w:sz w:val="24"/>
          <w:szCs w:val="24"/>
        </w:rPr>
      </w:pPr>
      <w:r w:rsidRPr="005835F7">
        <w:rPr>
          <w:rFonts w:cs="Times New Roman"/>
          <w:noProof/>
          <w:color w:val="000000" w:themeColor="text1"/>
          <w:sz w:val="24"/>
          <w:szCs w:val="24"/>
        </w:rPr>
        <w:lastRenderedPageBreak/>
        <w:drawing>
          <wp:inline distT="0" distB="0" distL="0" distR="0" wp14:anchorId="3BF49C05" wp14:editId="321236E5">
            <wp:extent cx="5544000" cy="2573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alidation_discrimination.png"/>
                    <pic:cNvPicPr/>
                  </pic:nvPicPr>
                  <pic:blipFill>
                    <a:blip r:embed="rId27"/>
                    <a:stretch>
                      <a:fillRect/>
                    </a:stretch>
                  </pic:blipFill>
                  <pic:spPr>
                    <a:xfrm>
                      <a:off x="0" y="0"/>
                      <a:ext cx="5544000" cy="2573999"/>
                    </a:xfrm>
                    <a:prstGeom prst="rect">
                      <a:avLst/>
                    </a:prstGeom>
                  </pic:spPr>
                </pic:pic>
              </a:graphicData>
            </a:graphic>
          </wp:inline>
        </w:drawing>
      </w:r>
    </w:p>
    <w:p w14:paraId="620EB7C8"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Figure 5. Development-cohort ROC and precision-recall curves from the probability-mapped seven-seed ensemble. The reported precision-recall summary is average precision.</w:t>
      </w:r>
    </w:p>
    <w:p w14:paraId="69AD5C2E" w14:textId="77777777" w:rsidR="00B71BC0"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rPr>
        <w:t>Figure 5 shows development ROC-AUC of 0.63855 and AP of 0.07518. The ROC curve lies above the random diagonal, and the precision-recall curve exceeds the 0.03556 prevalence reference over part of the recall range. These are limited apparent development results and do not demonstrate operationally useful discrimination on unseen data.</w:t>
      </w:r>
    </w:p>
    <w:p w14:paraId="3AB63976" w14:textId="77777777" w:rsidR="00012482" w:rsidRPr="005835F7" w:rsidRDefault="00000000" w:rsidP="006E6660">
      <w:pPr>
        <w:pStyle w:val="Heading2"/>
        <w:spacing w:after="120" w:line="276" w:lineRule="auto"/>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4.3 Mean Development Metrics and Learning Behaviour</w:t>
      </w:r>
    </w:p>
    <w:p w14:paraId="25355ED3" w14:textId="77777777" w:rsidR="002B7DCA"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rPr>
        <w:t>Figure 6 places the principal development measures and their between-seed variability on a common scale. The visualization is intended to distinguish stable ranking behaviour from the greater stochastic sensitivity of threshold-dependent precision and recall, rather than to suggest that numerically larger metrics are directly interchangeable.</w:t>
      </w:r>
    </w:p>
    <w:p w14:paraId="0B8390B5" w14:textId="77777777" w:rsidR="00012482" w:rsidRPr="005835F7" w:rsidRDefault="00000000" w:rsidP="006E6660">
      <w:pPr>
        <w:keepNext/>
        <w:spacing w:after="100"/>
        <w:jc w:val="center"/>
        <w:rPr>
          <w:rFonts w:cs="Times New Roman"/>
          <w:color w:val="000000" w:themeColor="text1"/>
          <w:sz w:val="24"/>
          <w:szCs w:val="24"/>
        </w:rPr>
      </w:pPr>
      <w:r w:rsidRPr="005835F7">
        <w:rPr>
          <w:rFonts w:cs="Times New Roman"/>
          <w:noProof/>
          <w:color w:val="000000" w:themeColor="text1"/>
          <w:sz w:val="24"/>
          <w:szCs w:val="24"/>
        </w:rPr>
        <w:drawing>
          <wp:inline distT="0" distB="0" distL="0" distR="0" wp14:anchorId="7FD0C92D" wp14:editId="07C2C953">
            <wp:extent cx="5544000" cy="2375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validation_seed_metrics.png"/>
                    <pic:cNvPicPr/>
                  </pic:nvPicPr>
                  <pic:blipFill>
                    <a:blip r:embed="rId28"/>
                    <a:stretch>
                      <a:fillRect/>
                    </a:stretch>
                  </pic:blipFill>
                  <pic:spPr>
                    <a:xfrm>
                      <a:off x="0" y="0"/>
                      <a:ext cx="5544000" cy="2375999"/>
                    </a:xfrm>
                    <a:prstGeom prst="rect">
                      <a:avLst/>
                    </a:prstGeom>
                  </pic:spPr>
                </pic:pic>
              </a:graphicData>
            </a:graphic>
          </wp:inline>
        </w:drawing>
      </w:r>
    </w:p>
    <w:p w14:paraId="5153313E"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 xml:space="preserve">Figure 6. Seed-level development metrics across seven TECR-Net fits, reported as mean with one-standard-deviation error bars. </w:t>
      </w:r>
    </w:p>
    <w:p w14:paraId="3BC6FC9C" w14:textId="77777777" w:rsidR="00847EAC" w:rsidRDefault="00847EAC" w:rsidP="00847EAC">
      <w:pPr>
        <w:keepNext/>
        <w:spacing w:after="100"/>
        <w:rPr>
          <w:rFonts w:cs="Times New Roman"/>
          <w:color w:val="000000" w:themeColor="text1"/>
          <w:sz w:val="24"/>
          <w:szCs w:val="24"/>
        </w:rPr>
      </w:pPr>
      <w:r w:rsidRPr="00847EAC">
        <w:rPr>
          <w:rFonts w:cs="Times New Roman"/>
          <w:color w:val="000000" w:themeColor="text1"/>
          <w:sz w:val="24"/>
          <w:szCs w:val="24"/>
        </w:rPr>
        <w:t xml:space="preserve">Threshold-Free Ranking vs. Threshold-Based Classification is illustrated in Figure 6. ROC-AUC is greater than both AP and F1 metrics, but they do not measure the same thing and thus cannot be compared using their numerical value. Small values of AP and F1 indicate low positive output in a </w:t>
      </w:r>
      <w:r w:rsidRPr="00847EAC">
        <w:rPr>
          <w:rFonts w:cs="Times New Roman"/>
          <w:color w:val="000000" w:themeColor="text1"/>
          <w:sz w:val="24"/>
          <w:szCs w:val="24"/>
        </w:rPr>
        <w:lastRenderedPageBreak/>
        <w:t>population of rare outcomes, and the high recall variability indicates that the chosen operating point is stochastic. Seed variability is not a confidence interval.</w:t>
      </w:r>
    </w:p>
    <w:p w14:paraId="5CBE20DE" w14:textId="789D0B4A" w:rsidR="00012482" w:rsidRPr="005835F7" w:rsidRDefault="00000000" w:rsidP="00847EAC">
      <w:pPr>
        <w:keepNext/>
        <w:spacing w:after="100"/>
        <w:rPr>
          <w:rFonts w:cs="Times New Roman"/>
          <w:color w:val="000000" w:themeColor="text1"/>
          <w:sz w:val="24"/>
          <w:szCs w:val="24"/>
        </w:rPr>
      </w:pPr>
      <w:r w:rsidRPr="005835F7">
        <w:rPr>
          <w:rFonts w:cs="Times New Roman"/>
          <w:noProof/>
          <w:color w:val="000000" w:themeColor="text1"/>
          <w:sz w:val="24"/>
          <w:szCs w:val="24"/>
        </w:rPr>
        <w:drawing>
          <wp:inline distT="0" distB="0" distL="0" distR="0" wp14:anchorId="56B21FEF" wp14:editId="0A80092A">
            <wp:extent cx="5486400" cy="3117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alidation_learning_curve.png"/>
                    <pic:cNvPicPr/>
                  </pic:nvPicPr>
                  <pic:blipFill>
                    <a:blip r:embed="rId29"/>
                    <a:stretch>
                      <a:fillRect/>
                    </a:stretch>
                  </pic:blipFill>
                  <pic:spPr>
                    <a:xfrm>
                      <a:off x="0" y="0"/>
                      <a:ext cx="5486400" cy="3117273"/>
                    </a:xfrm>
                    <a:prstGeom prst="rect">
                      <a:avLst/>
                    </a:prstGeom>
                  </pic:spPr>
                </pic:pic>
              </a:graphicData>
            </a:graphic>
          </wp:inline>
        </w:drawing>
      </w:r>
    </w:p>
    <w:p w14:paraId="04FFC622" w14:textId="77777777" w:rsidR="00012482" w:rsidRPr="005835F7" w:rsidRDefault="00000000" w:rsidP="006E6660">
      <w:pPr>
        <w:pStyle w:val="Caption"/>
        <w:spacing w:line="276" w:lineRule="auto"/>
        <w:rPr>
          <w:rFonts w:cs="Times New Roman"/>
          <w:color w:val="000000" w:themeColor="text1"/>
          <w:sz w:val="24"/>
          <w:szCs w:val="24"/>
        </w:rPr>
      </w:pPr>
      <w:r w:rsidRPr="005835F7">
        <w:rPr>
          <w:rFonts w:cs="Times New Roman"/>
          <w:color w:val="000000" w:themeColor="text1"/>
          <w:sz w:val="24"/>
          <w:szCs w:val="24"/>
        </w:rPr>
        <w:t xml:space="preserve">Figure 7. Seed-averaged development AP learning curve restricted to epochs completed by every seed. </w:t>
      </w:r>
    </w:p>
    <w:p w14:paraId="4B10AC2E" w14:textId="77777777" w:rsidR="00847EAC" w:rsidRDefault="00847EAC" w:rsidP="006E6660">
      <w:pPr>
        <w:pStyle w:val="Heading2"/>
        <w:rPr>
          <w:rFonts w:ascii="Times New Roman" w:eastAsia="Times New Roman" w:hAnsi="Times New Roman" w:cs="Times New Roman"/>
          <w:b w:val="0"/>
          <w:bCs w:val="0"/>
          <w:color w:val="000000" w:themeColor="text1"/>
          <w:sz w:val="24"/>
          <w:szCs w:val="24"/>
        </w:rPr>
      </w:pPr>
      <w:r w:rsidRPr="00847EAC">
        <w:rPr>
          <w:rFonts w:ascii="Times New Roman" w:eastAsia="Times New Roman" w:hAnsi="Times New Roman" w:cs="Times New Roman"/>
          <w:b w:val="0"/>
          <w:bCs w:val="0"/>
          <w:color w:val="000000" w:themeColor="text1"/>
          <w:sz w:val="24"/>
          <w:szCs w:val="24"/>
        </w:rPr>
        <w:t>Figure 7 displays an early increase in the mean AP development followed by leveling off and a slight decrease. This curve represents the mean value which is limited to epochs that have been completed by each seed included in the plot; it is smoothed over five epochs, and the uncertainty interval represents the variance between seeds at aligned epochs. It does not represent the average of selected best epochs. The lower peak displayed in Figure 7 compared with Table 7 stems from this fact.</w:t>
      </w:r>
    </w:p>
    <w:p w14:paraId="129496DE" w14:textId="6F73DDCB"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4.4 Sequence-Aligned Development Baselines</w:t>
      </w:r>
    </w:p>
    <w:p w14:paraId="7A9368DF" w14:textId="77777777" w:rsidR="00847EAC" w:rsidRDefault="00847EAC" w:rsidP="006E6660">
      <w:pPr>
        <w:pStyle w:val="Caption"/>
        <w:rPr>
          <w:rFonts w:cs="Times New Roman"/>
          <w:b w:val="0"/>
          <w:bCs w:val="0"/>
          <w:color w:val="000000" w:themeColor="text1"/>
          <w:sz w:val="24"/>
          <w:szCs w:val="24"/>
        </w:rPr>
      </w:pPr>
      <w:r w:rsidRPr="00847EAC">
        <w:rPr>
          <w:rFonts w:cs="Times New Roman"/>
          <w:b w:val="0"/>
          <w:bCs w:val="0"/>
          <w:color w:val="000000" w:themeColor="text1"/>
          <w:sz w:val="24"/>
          <w:szCs w:val="24"/>
        </w:rPr>
        <w:t xml:space="preserve">Table 9 shows the results of the post-hoc symmetric eight-model benchmark on the same 1,884 development rows and 67 labels. All tunable models were optimized using the same inner-temporal AP criterion for 2018–2019, 25 </w:t>
      </w:r>
      <w:proofErr w:type="spellStart"/>
      <w:r w:rsidRPr="00847EAC">
        <w:rPr>
          <w:rFonts w:cs="Times New Roman"/>
          <w:b w:val="0"/>
          <w:bCs w:val="0"/>
          <w:color w:val="000000" w:themeColor="text1"/>
          <w:sz w:val="24"/>
          <w:szCs w:val="24"/>
        </w:rPr>
        <w:t>Optuna</w:t>
      </w:r>
      <w:proofErr w:type="spellEnd"/>
      <w:r w:rsidRPr="00847EAC">
        <w:rPr>
          <w:rFonts w:cs="Times New Roman"/>
          <w:b w:val="0"/>
          <w:bCs w:val="0"/>
          <w:color w:val="000000" w:themeColor="text1"/>
          <w:sz w:val="24"/>
          <w:szCs w:val="24"/>
        </w:rPr>
        <w:t xml:space="preserve"> trials, seven seeds, per-seed probability mapping and threshold-setting strategy; persistence was fixed beforehand. The set of compared models is composed of TECR-Net, bare GRU, four tree-based boosting techniques, logistic regression with regularization and administrative persistence criteria. The problem is thus addressed in terms of protocol symmetry, but not of benchmarking with corrected data.</w:t>
      </w:r>
    </w:p>
    <w:p w14:paraId="04F8ED64" w14:textId="5B983E1B"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highlight w:val="yellow"/>
        </w:rPr>
        <w:t>Table 9. Symmetric eight-model development-cohort benchmark on identical archived rows</w:t>
      </w:r>
    </w:p>
    <w:tbl>
      <w:tblPr>
        <w:tblStyle w:val="TableGrid"/>
        <w:tblW w:w="0" w:type="auto"/>
        <w:tblLook w:val="04A0" w:firstRow="1" w:lastRow="0" w:firstColumn="1" w:lastColumn="0" w:noHBand="0" w:noVBand="1"/>
      </w:tblPr>
      <w:tblGrid>
        <w:gridCol w:w="2323"/>
        <w:gridCol w:w="1086"/>
        <w:gridCol w:w="1142"/>
        <w:gridCol w:w="1561"/>
        <w:gridCol w:w="1752"/>
        <w:gridCol w:w="996"/>
        <w:gridCol w:w="996"/>
      </w:tblGrid>
      <w:tr w:rsidR="00012482" w:rsidRPr="005835F7" w14:paraId="13638F13" w14:textId="77777777" w:rsidTr="005D4D06">
        <w:tc>
          <w:tcPr>
            <w:tcW w:w="2232" w:type="dxa"/>
          </w:tcPr>
          <w:p w14:paraId="5CB7C32F" w14:textId="77777777" w:rsidR="004774F1" w:rsidRPr="005835F7" w:rsidRDefault="00000000">
            <w:pPr>
              <w:jc w:val="center"/>
              <w:rPr>
                <w:rFonts w:cs="Times New Roman"/>
                <w:color w:val="000000" w:themeColor="text1"/>
                <w:sz w:val="24"/>
                <w:szCs w:val="24"/>
              </w:rPr>
            </w:pPr>
            <w:r w:rsidRPr="005835F7">
              <w:rPr>
                <w:rFonts w:cs="Times New Roman"/>
                <w:b/>
                <w:color w:val="000000" w:themeColor="text1"/>
                <w:sz w:val="24"/>
                <w:szCs w:val="24"/>
                <w:highlight w:val="yellow"/>
              </w:rPr>
              <w:t>Model</w:t>
            </w:r>
          </w:p>
        </w:tc>
        <w:tc>
          <w:tcPr>
            <w:tcW w:w="1181" w:type="dxa"/>
          </w:tcPr>
          <w:p w14:paraId="10C7C236" w14:textId="77777777" w:rsidR="004774F1" w:rsidRPr="005835F7" w:rsidRDefault="00000000">
            <w:pPr>
              <w:jc w:val="center"/>
              <w:rPr>
                <w:rFonts w:cs="Times New Roman"/>
                <w:color w:val="000000" w:themeColor="text1"/>
                <w:sz w:val="24"/>
                <w:szCs w:val="24"/>
              </w:rPr>
            </w:pPr>
            <w:r w:rsidRPr="005835F7">
              <w:rPr>
                <w:rFonts w:cs="Times New Roman"/>
                <w:b/>
                <w:color w:val="000000" w:themeColor="text1"/>
                <w:sz w:val="24"/>
                <w:szCs w:val="24"/>
                <w:highlight w:val="yellow"/>
              </w:rPr>
              <w:t>AP</w:t>
            </w:r>
          </w:p>
        </w:tc>
        <w:tc>
          <w:tcPr>
            <w:tcW w:w="1296" w:type="dxa"/>
          </w:tcPr>
          <w:p w14:paraId="5A7246D1" w14:textId="77777777" w:rsidR="004774F1" w:rsidRPr="005835F7" w:rsidRDefault="00000000">
            <w:pPr>
              <w:jc w:val="center"/>
              <w:rPr>
                <w:rFonts w:cs="Times New Roman"/>
                <w:color w:val="000000" w:themeColor="text1"/>
                <w:sz w:val="24"/>
                <w:szCs w:val="24"/>
              </w:rPr>
            </w:pPr>
            <w:r w:rsidRPr="005835F7">
              <w:rPr>
                <w:rFonts w:cs="Times New Roman"/>
                <w:b/>
                <w:color w:val="000000" w:themeColor="text1"/>
                <w:sz w:val="24"/>
                <w:szCs w:val="24"/>
                <w:highlight w:val="yellow"/>
              </w:rPr>
              <w:t>ROC-AUC</w:t>
            </w:r>
          </w:p>
        </w:tc>
        <w:tc>
          <w:tcPr>
            <w:tcW w:w="2160" w:type="dxa"/>
          </w:tcPr>
          <w:p w14:paraId="6D13986A" w14:textId="77777777" w:rsidR="004774F1" w:rsidRPr="005835F7" w:rsidRDefault="00000000">
            <w:pPr>
              <w:jc w:val="center"/>
              <w:rPr>
                <w:rFonts w:cs="Times New Roman"/>
                <w:color w:val="000000" w:themeColor="text1"/>
                <w:sz w:val="24"/>
                <w:szCs w:val="24"/>
              </w:rPr>
            </w:pPr>
            <w:r w:rsidRPr="005835F7">
              <w:rPr>
                <w:rFonts w:cs="Times New Roman"/>
                <w:b/>
                <w:color w:val="000000" w:themeColor="text1"/>
                <w:sz w:val="24"/>
                <w:szCs w:val="24"/>
                <w:highlight w:val="yellow"/>
              </w:rPr>
              <w:t>F1</w:t>
            </w:r>
          </w:p>
        </w:tc>
        <w:tc>
          <w:tcPr>
            <w:tcW w:w="2376" w:type="dxa"/>
          </w:tcPr>
          <w:p w14:paraId="23CB0834" w14:textId="77777777" w:rsidR="004774F1" w:rsidRPr="005835F7" w:rsidRDefault="00000000">
            <w:pPr>
              <w:jc w:val="center"/>
              <w:rPr>
                <w:rFonts w:cs="Times New Roman"/>
                <w:color w:val="000000" w:themeColor="text1"/>
                <w:sz w:val="24"/>
                <w:szCs w:val="24"/>
              </w:rPr>
            </w:pPr>
            <w:r w:rsidRPr="005835F7">
              <w:rPr>
                <w:rFonts w:cs="Times New Roman"/>
                <w:b/>
                <w:color w:val="000000" w:themeColor="text1"/>
                <w:sz w:val="24"/>
                <w:szCs w:val="24"/>
                <w:highlight w:val="yellow"/>
              </w:rPr>
              <w:t>Precision</w:t>
            </w:r>
          </w:p>
        </w:tc>
        <w:tc>
          <w:tcPr>
            <w:tcW w:w="936" w:type="dxa"/>
          </w:tcPr>
          <w:p w14:paraId="3F0689BC" w14:textId="77777777" w:rsidR="004774F1" w:rsidRPr="005835F7" w:rsidRDefault="00000000">
            <w:pPr>
              <w:jc w:val="center"/>
              <w:rPr>
                <w:rFonts w:cs="Times New Roman"/>
                <w:color w:val="000000" w:themeColor="text1"/>
                <w:sz w:val="24"/>
                <w:szCs w:val="24"/>
              </w:rPr>
            </w:pPr>
            <w:r w:rsidRPr="005835F7">
              <w:rPr>
                <w:rFonts w:cs="Times New Roman"/>
                <w:b/>
                <w:color w:val="000000" w:themeColor="text1"/>
                <w:sz w:val="24"/>
                <w:szCs w:val="24"/>
                <w:highlight w:val="yellow"/>
              </w:rPr>
              <w:t>Recall</w:t>
            </w:r>
          </w:p>
        </w:tc>
        <w:tc>
          <w:tcPr>
            <w:tcW w:w="936" w:type="dxa"/>
          </w:tcPr>
          <w:p w14:paraId="78DEB8C6" w14:textId="77777777" w:rsidR="004774F1" w:rsidRPr="005835F7" w:rsidRDefault="00000000">
            <w:pPr>
              <w:jc w:val="center"/>
              <w:rPr>
                <w:rFonts w:cs="Times New Roman"/>
                <w:color w:val="000000" w:themeColor="text1"/>
                <w:sz w:val="24"/>
                <w:szCs w:val="24"/>
              </w:rPr>
            </w:pPr>
            <w:r w:rsidRPr="005835F7">
              <w:rPr>
                <w:rFonts w:cs="Times New Roman"/>
                <w:b/>
                <w:color w:val="000000" w:themeColor="text1"/>
                <w:sz w:val="24"/>
                <w:szCs w:val="24"/>
                <w:highlight w:val="yellow"/>
              </w:rPr>
              <w:t>Brier</w:t>
            </w:r>
          </w:p>
        </w:tc>
      </w:tr>
      <w:tr w:rsidR="004774F1" w:rsidRPr="005835F7" w14:paraId="54FA4936" w14:textId="77777777" w:rsidTr="005D4D06">
        <w:tc>
          <w:tcPr>
            <w:tcW w:w="2323" w:type="dxa"/>
          </w:tcPr>
          <w:p w14:paraId="6D748B37"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TECR-Net</w:t>
            </w:r>
          </w:p>
        </w:tc>
        <w:tc>
          <w:tcPr>
            <w:tcW w:w="1181" w:type="dxa"/>
          </w:tcPr>
          <w:p w14:paraId="2B0DA97A"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0.05897</w:t>
            </w:r>
          </w:p>
        </w:tc>
        <w:tc>
          <w:tcPr>
            <w:tcW w:w="1296" w:type="dxa"/>
          </w:tcPr>
          <w:p w14:paraId="462B87C2"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0.64408</w:t>
            </w:r>
          </w:p>
        </w:tc>
        <w:tc>
          <w:tcPr>
            <w:tcW w:w="2160" w:type="dxa"/>
          </w:tcPr>
          <w:p w14:paraId="0F040089"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0.12188</w:t>
            </w:r>
          </w:p>
        </w:tc>
        <w:tc>
          <w:tcPr>
            <w:tcW w:w="2376" w:type="dxa"/>
          </w:tcPr>
          <w:p w14:paraId="27954031"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0.07483</w:t>
            </w:r>
          </w:p>
        </w:tc>
        <w:tc>
          <w:tcPr>
            <w:tcW w:w="936" w:type="dxa"/>
          </w:tcPr>
          <w:p w14:paraId="23CC6906"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0.32836</w:t>
            </w:r>
          </w:p>
        </w:tc>
        <w:tc>
          <w:tcPr>
            <w:tcW w:w="936" w:type="dxa"/>
          </w:tcPr>
          <w:p w14:paraId="73E5E11F"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0.03419</w:t>
            </w:r>
          </w:p>
        </w:tc>
      </w:tr>
      <w:tr w:rsidR="004774F1" w:rsidRPr="005835F7" w14:paraId="4ACAF151" w14:textId="77777777" w:rsidTr="005D4D06">
        <w:tc>
          <w:tcPr>
            <w:tcW w:w="2323" w:type="dxa"/>
          </w:tcPr>
          <w:p w14:paraId="20D78CA3"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Plain GRU</w:t>
            </w:r>
          </w:p>
        </w:tc>
        <w:tc>
          <w:tcPr>
            <w:tcW w:w="1181" w:type="dxa"/>
          </w:tcPr>
          <w:p w14:paraId="083B11E6"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0.04873</w:t>
            </w:r>
          </w:p>
        </w:tc>
        <w:tc>
          <w:tcPr>
            <w:tcW w:w="1296" w:type="dxa"/>
          </w:tcPr>
          <w:p w14:paraId="5D2A5F5F"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0.56032</w:t>
            </w:r>
          </w:p>
        </w:tc>
        <w:tc>
          <w:tcPr>
            <w:tcW w:w="2160" w:type="dxa"/>
          </w:tcPr>
          <w:p w14:paraId="3D99AFE8"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0.09026</w:t>
            </w:r>
          </w:p>
        </w:tc>
        <w:tc>
          <w:tcPr>
            <w:tcW w:w="2376" w:type="dxa"/>
          </w:tcPr>
          <w:p w14:paraId="4BFE1C71"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0.05367</w:t>
            </w:r>
          </w:p>
        </w:tc>
        <w:tc>
          <w:tcPr>
            <w:tcW w:w="936" w:type="dxa"/>
          </w:tcPr>
          <w:p w14:paraId="6E95E7A0"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0.28358</w:t>
            </w:r>
          </w:p>
        </w:tc>
        <w:tc>
          <w:tcPr>
            <w:tcW w:w="936" w:type="dxa"/>
          </w:tcPr>
          <w:p w14:paraId="07E3D765"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0.03436</w:t>
            </w:r>
          </w:p>
        </w:tc>
      </w:tr>
      <w:tr w:rsidR="004774F1" w:rsidRPr="005835F7" w14:paraId="70D5840F" w14:textId="77777777" w:rsidTr="005D4D06">
        <w:tc>
          <w:tcPr>
            <w:tcW w:w="2323" w:type="dxa"/>
          </w:tcPr>
          <w:p w14:paraId="66989008"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CatBoost</w:t>
            </w:r>
          </w:p>
        </w:tc>
        <w:tc>
          <w:tcPr>
            <w:tcW w:w="1181" w:type="dxa"/>
          </w:tcPr>
          <w:p w14:paraId="05DA7A6C"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0.05153</w:t>
            </w:r>
          </w:p>
        </w:tc>
        <w:tc>
          <w:tcPr>
            <w:tcW w:w="1296" w:type="dxa"/>
          </w:tcPr>
          <w:p w14:paraId="299729D9"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0.62386</w:t>
            </w:r>
          </w:p>
        </w:tc>
        <w:tc>
          <w:tcPr>
            <w:tcW w:w="2160" w:type="dxa"/>
          </w:tcPr>
          <w:p w14:paraId="272D2E8B"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0.05085</w:t>
            </w:r>
          </w:p>
        </w:tc>
        <w:tc>
          <w:tcPr>
            <w:tcW w:w="2376" w:type="dxa"/>
          </w:tcPr>
          <w:p w14:paraId="0B5F53A1"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0.05882</w:t>
            </w:r>
          </w:p>
        </w:tc>
        <w:tc>
          <w:tcPr>
            <w:tcW w:w="936" w:type="dxa"/>
          </w:tcPr>
          <w:p w14:paraId="631805C0"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0.04478</w:t>
            </w:r>
          </w:p>
        </w:tc>
        <w:tc>
          <w:tcPr>
            <w:tcW w:w="936" w:type="dxa"/>
          </w:tcPr>
          <w:p w14:paraId="2BA194C8"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0.03448</w:t>
            </w:r>
          </w:p>
        </w:tc>
      </w:tr>
      <w:tr w:rsidR="004774F1" w:rsidRPr="005835F7" w14:paraId="653BC007" w14:textId="77777777" w:rsidTr="005D4D06">
        <w:tc>
          <w:tcPr>
            <w:tcW w:w="2323" w:type="dxa"/>
          </w:tcPr>
          <w:p w14:paraId="4A38379F"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LightGBM</w:t>
            </w:r>
          </w:p>
        </w:tc>
        <w:tc>
          <w:tcPr>
            <w:tcW w:w="1181" w:type="dxa"/>
          </w:tcPr>
          <w:p w14:paraId="69BAB87C"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0.04694</w:t>
            </w:r>
          </w:p>
        </w:tc>
        <w:tc>
          <w:tcPr>
            <w:tcW w:w="1296" w:type="dxa"/>
          </w:tcPr>
          <w:p w14:paraId="3B445233"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0.62899</w:t>
            </w:r>
          </w:p>
        </w:tc>
        <w:tc>
          <w:tcPr>
            <w:tcW w:w="2160" w:type="dxa"/>
          </w:tcPr>
          <w:p w14:paraId="4712509C"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0.05333</w:t>
            </w:r>
          </w:p>
        </w:tc>
        <w:tc>
          <w:tcPr>
            <w:tcW w:w="2376" w:type="dxa"/>
          </w:tcPr>
          <w:p w14:paraId="24AB4199"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0.04819</w:t>
            </w:r>
          </w:p>
        </w:tc>
        <w:tc>
          <w:tcPr>
            <w:tcW w:w="936" w:type="dxa"/>
          </w:tcPr>
          <w:p w14:paraId="590044A6"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0.05970</w:t>
            </w:r>
          </w:p>
        </w:tc>
        <w:tc>
          <w:tcPr>
            <w:tcW w:w="936" w:type="dxa"/>
          </w:tcPr>
          <w:p w14:paraId="7A568BBD"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0.03454</w:t>
            </w:r>
          </w:p>
        </w:tc>
      </w:tr>
      <w:tr w:rsidR="004774F1" w:rsidRPr="005835F7" w14:paraId="6F434173" w14:textId="77777777" w:rsidTr="005D4D06">
        <w:tc>
          <w:tcPr>
            <w:tcW w:w="2323" w:type="dxa"/>
          </w:tcPr>
          <w:p w14:paraId="4042BBD0"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XGBoost</w:t>
            </w:r>
          </w:p>
        </w:tc>
        <w:tc>
          <w:tcPr>
            <w:tcW w:w="1181" w:type="dxa"/>
          </w:tcPr>
          <w:p w14:paraId="5B2BEA49"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0.05035</w:t>
            </w:r>
          </w:p>
        </w:tc>
        <w:tc>
          <w:tcPr>
            <w:tcW w:w="1296" w:type="dxa"/>
          </w:tcPr>
          <w:p w14:paraId="3EC7D68D"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0.62897</w:t>
            </w:r>
          </w:p>
        </w:tc>
        <w:tc>
          <w:tcPr>
            <w:tcW w:w="2160" w:type="dxa"/>
          </w:tcPr>
          <w:p w14:paraId="137EA582"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0.04819</w:t>
            </w:r>
          </w:p>
        </w:tc>
        <w:tc>
          <w:tcPr>
            <w:tcW w:w="2376" w:type="dxa"/>
          </w:tcPr>
          <w:p w14:paraId="7CA02E3C"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0.04040</w:t>
            </w:r>
          </w:p>
        </w:tc>
        <w:tc>
          <w:tcPr>
            <w:tcW w:w="936" w:type="dxa"/>
          </w:tcPr>
          <w:p w14:paraId="281AB4FA"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0.05970</w:t>
            </w:r>
          </w:p>
        </w:tc>
        <w:tc>
          <w:tcPr>
            <w:tcW w:w="936" w:type="dxa"/>
          </w:tcPr>
          <w:p w14:paraId="239D93FE"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0.03457</w:t>
            </w:r>
          </w:p>
        </w:tc>
      </w:tr>
      <w:tr w:rsidR="004774F1" w:rsidRPr="005835F7" w14:paraId="57335580" w14:textId="77777777" w:rsidTr="005D4D06">
        <w:tc>
          <w:tcPr>
            <w:tcW w:w="2323" w:type="dxa"/>
          </w:tcPr>
          <w:p w14:paraId="0232D23D"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HistGradientBoosting</w:t>
            </w:r>
          </w:p>
        </w:tc>
        <w:tc>
          <w:tcPr>
            <w:tcW w:w="1181" w:type="dxa"/>
          </w:tcPr>
          <w:p w14:paraId="72B83291"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0.04891</w:t>
            </w:r>
          </w:p>
        </w:tc>
        <w:tc>
          <w:tcPr>
            <w:tcW w:w="1296" w:type="dxa"/>
          </w:tcPr>
          <w:p w14:paraId="1F78DEAA"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0.62539</w:t>
            </w:r>
          </w:p>
        </w:tc>
        <w:tc>
          <w:tcPr>
            <w:tcW w:w="2160" w:type="dxa"/>
          </w:tcPr>
          <w:p w14:paraId="7B02DF38"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0.01408</w:t>
            </w:r>
          </w:p>
        </w:tc>
        <w:tc>
          <w:tcPr>
            <w:tcW w:w="2376" w:type="dxa"/>
          </w:tcPr>
          <w:p w14:paraId="383A61C7"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0.01333</w:t>
            </w:r>
          </w:p>
        </w:tc>
        <w:tc>
          <w:tcPr>
            <w:tcW w:w="936" w:type="dxa"/>
          </w:tcPr>
          <w:p w14:paraId="32C5E1A4"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0.01493</w:t>
            </w:r>
          </w:p>
        </w:tc>
        <w:tc>
          <w:tcPr>
            <w:tcW w:w="936" w:type="dxa"/>
          </w:tcPr>
          <w:p w14:paraId="6C6E1BF4"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0.03457</w:t>
            </w:r>
          </w:p>
        </w:tc>
      </w:tr>
      <w:tr w:rsidR="004774F1" w:rsidRPr="005835F7" w14:paraId="391C968B" w14:textId="77777777" w:rsidTr="005D4D06">
        <w:tc>
          <w:tcPr>
            <w:tcW w:w="2323" w:type="dxa"/>
          </w:tcPr>
          <w:p w14:paraId="6764050F"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Logistic regression</w:t>
            </w:r>
          </w:p>
        </w:tc>
        <w:tc>
          <w:tcPr>
            <w:tcW w:w="1181" w:type="dxa"/>
          </w:tcPr>
          <w:p w14:paraId="0323106E"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0.04209</w:t>
            </w:r>
          </w:p>
        </w:tc>
        <w:tc>
          <w:tcPr>
            <w:tcW w:w="1296" w:type="dxa"/>
          </w:tcPr>
          <w:p w14:paraId="733A08BA"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0.56141</w:t>
            </w:r>
          </w:p>
        </w:tc>
        <w:tc>
          <w:tcPr>
            <w:tcW w:w="2160" w:type="dxa"/>
          </w:tcPr>
          <w:p w14:paraId="146DAD54"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0.06618</w:t>
            </w:r>
          </w:p>
        </w:tc>
        <w:tc>
          <w:tcPr>
            <w:tcW w:w="2376" w:type="dxa"/>
          </w:tcPr>
          <w:p w14:paraId="4E9F2D55"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0.04390</w:t>
            </w:r>
          </w:p>
        </w:tc>
        <w:tc>
          <w:tcPr>
            <w:tcW w:w="936" w:type="dxa"/>
          </w:tcPr>
          <w:p w14:paraId="4B9AEA19"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0.13433</w:t>
            </w:r>
          </w:p>
        </w:tc>
        <w:tc>
          <w:tcPr>
            <w:tcW w:w="936" w:type="dxa"/>
          </w:tcPr>
          <w:p w14:paraId="1113A138"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0.03469</w:t>
            </w:r>
          </w:p>
        </w:tc>
      </w:tr>
      <w:tr w:rsidR="004774F1" w:rsidRPr="005835F7" w14:paraId="51F031D8" w14:textId="77777777" w:rsidTr="005D4D06">
        <w:tc>
          <w:tcPr>
            <w:tcW w:w="2323" w:type="dxa"/>
          </w:tcPr>
          <w:p w14:paraId="18C82AFD"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Persistence</w:t>
            </w:r>
          </w:p>
        </w:tc>
        <w:tc>
          <w:tcPr>
            <w:tcW w:w="1181" w:type="dxa"/>
          </w:tcPr>
          <w:p w14:paraId="5225F33E"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0.03874</w:t>
            </w:r>
          </w:p>
        </w:tc>
        <w:tc>
          <w:tcPr>
            <w:tcW w:w="1296" w:type="dxa"/>
          </w:tcPr>
          <w:p w14:paraId="14F1685E"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0.52108</w:t>
            </w:r>
          </w:p>
        </w:tc>
        <w:tc>
          <w:tcPr>
            <w:tcW w:w="2160" w:type="dxa"/>
          </w:tcPr>
          <w:p w14:paraId="0C3DA5A2"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0.07634</w:t>
            </w:r>
          </w:p>
        </w:tc>
        <w:tc>
          <w:tcPr>
            <w:tcW w:w="2376" w:type="dxa"/>
          </w:tcPr>
          <w:p w14:paraId="3407F645"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0.07812</w:t>
            </w:r>
          </w:p>
        </w:tc>
        <w:tc>
          <w:tcPr>
            <w:tcW w:w="936" w:type="dxa"/>
          </w:tcPr>
          <w:p w14:paraId="307F744F"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0.07463</w:t>
            </w:r>
          </w:p>
        </w:tc>
        <w:tc>
          <w:tcPr>
            <w:tcW w:w="936" w:type="dxa"/>
          </w:tcPr>
          <w:p w14:paraId="249DB9DE" w14:textId="77777777" w:rsidR="004774F1" w:rsidRPr="005835F7" w:rsidRDefault="00000000">
            <w:pPr>
              <w:jc w:val="center"/>
              <w:rPr>
                <w:rFonts w:cs="Times New Roman"/>
                <w:color w:val="000000" w:themeColor="text1"/>
                <w:sz w:val="24"/>
                <w:szCs w:val="24"/>
              </w:rPr>
            </w:pPr>
            <w:r w:rsidRPr="005835F7">
              <w:rPr>
                <w:rFonts w:cs="Times New Roman"/>
                <w:color w:val="000000" w:themeColor="text1"/>
                <w:sz w:val="24"/>
                <w:szCs w:val="24"/>
                <w:highlight w:val="yellow"/>
              </w:rPr>
              <w:t>0.03434</w:t>
            </w:r>
          </w:p>
        </w:tc>
      </w:tr>
    </w:tbl>
    <w:p w14:paraId="06B50E27" w14:textId="77777777" w:rsidR="00012482" w:rsidRPr="005835F7" w:rsidRDefault="00012482" w:rsidP="006E6660">
      <w:pPr>
        <w:spacing w:after="100"/>
        <w:rPr>
          <w:rFonts w:cs="Times New Roman"/>
          <w:color w:val="000000" w:themeColor="text1"/>
          <w:sz w:val="24"/>
          <w:szCs w:val="24"/>
        </w:rPr>
      </w:pPr>
    </w:p>
    <w:p w14:paraId="33F6609C" w14:textId="77777777" w:rsidR="00847EAC" w:rsidRDefault="00847EAC" w:rsidP="00847EAC">
      <w:pPr>
        <w:keepNext/>
        <w:spacing w:after="100"/>
        <w:rPr>
          <w:rFonts w:cs="Times New Roman"/>
          <w:color w:val="000000" w:themeColor="text1"/>
          <w:sz w:val="24"/>
          <w:szCs w:val="24"/>
        </w:rPr>
      </w:pPr>
      <w:r w:rsidRPr="00847EAC">
        <w:rPr>
          <w:rFonts w:cs="Times New Roman"/>
          <w:color w:val="000000" w:themeColor="text1"/>
          <w:sz w:val="24"/>
          <w:szCs w:val="24"/>
        </w:rPr>
        <w:lastRenderedPageBreak/>
        <w:t xml:space="preserve">The symmetrical repetition included the same identifiers, labels, and development instances across all eight algorithms. The TECR-Net algorithm obtained AP 0.05897, while the </w:t>
      </w:r>
      <w:proofErr w:type="spellStart"/>
      <w:r w:rsidRPr="00847EAC">
        <w:rPr>
          <w:rFonts w:cs="Times New Roman"/>
          <w:color w:val="000000" w:themeColor="text1"/>
          <w:sz w:val="24"/>
          <w:szCs w:val="24"/>
        </w:rPr>
        <w:t>CatBoost</w:t>
      </w:r>
      <w:proofErr w:type="spellEnd"/>
      <w:r w:rsidRPr="00847EAC">
        <w:rPr>
          <w:rFonts w:cs="Times New Roman"/>
          <w:color w:val="000000" w:themeColor="text1"/>
          <w:sz w:val="24"/>
          <w:szCs w:val="24"/>
        </w:rPr>
        <w:t xml:space="preserve"> algorithm obtained AP 0.05153, the </w:t>
      </w:r>
      <w:proofErr w:type="spellStart"/>
      <w:r w:rsidRPr="00847EAC">
        <w:rPr>
          <w:rFonts w:cs="Times New Roman"/>
          <w:color w:val="000000" w:themeColor="text1"/>
          <w:sz w:val="24"/>
          <w:szCs w:val="24"/>
        </w:rPr>
        <w:t>XGBoost</w:t>
      </w:r>
      <w:proofErr w:type="spellEnd"/>
      <w:r w:rsidRPr="00847EAC">
        <w:rPr>
          <w:rFonts w:cs="Times New Roman"/>
          <w:color w:val="000000" w:themeColor="text1"/>
          <w:sz w:val="24"/>
          <w:szCs w:val="24"/>
        </w:rPr>
        <w:t xml:space="preserve"> algorithm obtained AP 0.05035, the </w:t>
      </w:r>
      <w:proofErr w:type="spellStart"/>
      <w:r w:rsidRPr="00847EAC">
        <w:rPr>
          <w:rFonts w:cs="Times New Roman"/>
          <w:color w:val="000000" w:themeColor="text1"/>
          <w:sz w:val="24"/>
          <w:szCs w:val="24"/>
        </w:rPr>
        <w:t>HistGradientBoosting</w:t>
      </w:r>
      <w:proofErr w:type="spellEnd"/>
      <w:r w:rsidRPr="00847EAC">
        <w:rPr>
          <w:rFonts w:cs="Times New Roman"/>
          <w:color w:val="000000" w:themeColor="text1"/>
          <w:sz w:val="24"/>
          <w:szCs w:val="24"/>
        </w:rPr>
        <w:t xml:space="preserve"> algorithm obtained AP 0.04891, the plain GRU algorithm obtained AP 0.04873, the </w:t>
      </w:r>
      <w:proofErr w:type="spellStart"/>
      <w:r w:rsidRPr="00847EAC">
        <w:rPr>
          <w:rFonts w:cs="Times New Roman"/>
          <w:color w:val="000000" w:themeColor="text1"/>
          <w:sz w:val="24"/>
          <w:szCs w:val="24"/>
        </w:rPr>
        <w:t>LightGBM</w:t>
      </w:r>
      <w:proofErr w:type="spellEnd"/>
      <w:r w:rsidRPr="00847EAC">
        <w:rPr>
          <w:rFonts w:cs="Times New Roman"/>
          <w:color w:val="000000" w:themeColor="text1"/>
          <w:sz w:val="24"/>
          <w:szCs w:val="24"/>
        </w:rPr>
        <w:t xml:space="preserve"> algorithm obtained AP 0.04694, logistic regression obtained AP 0.04209, and persistence obtained AP 0.03874. This shared methodology ensures that the previous asymmetry in comparing the two algorithms is no longer an issue in the archived cohort.</w:t>
      </w:r>
    </w:p>
    <w:p w14:paraId="36C6929B" w14:textId="7CA729AA" w:rsidR="00012482" w:rsidRPr="005835F7" w:rsidRDefault="00000000" w:rsidP="00847EAC">
      <w:pPr>
        <w:keepNext/>
        <w:spacing w:after="100"/>
        <w:rPr>
          <w:rFonts w:cs="Times New Roman"/>
          <w:color w:val="000000" w:themeColor="text1"/>
          <w:sz w:val="24"/>
          <w:szCs w:val="24"/>
        </w:rPr>
      </w:pPr>
      <w:r w:rsidRPr="005835F7">
        <w:rPr>
          <w:rFonts w:cs="Times New Roman"/>
          <w:noProof/>
          <w:color w:val="000000" w:themeColor="text1"/>
          <w:sz w:val="24"/>
          <w:szCs w:val="24"/>
        </w:rPr>
        <w:drawing>
          <wp:inline distT="0" distB="0" distL="0" distR="0" wp14:anchorId="621EEC21" wp14:editId="575598E9">
            <wp:extent cx="6035040" cy="2795176"/>
            <wp:effectExtent l="0" t="0" r="0" b="0"/>
            <wp:docPr id="2043524324" name="Picture 204352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symmetric_8model_ap.png"/>
                    <pic:cNvPicPr/>
                  </pic:nvPicPr>
                  <pic:blipFill>
                    <a:blip r:embed="rId30"/>
                    <a:stretch>
                      <a:fillRect/>
                    </a:stretch>
                  </pic:blipFill>
                  <pic:spPr>
                    <a:xfrm>
                      <a:off x="0" y="0"/>
                      <a:ext cx="6035040" cy="2795176"/>
                    </a:xfrm>
                    <a:prstGeom prst="rect">
                      <a:avLst/>
                    </a:prstGeom>
                  </pic:spPr>
                </pic:pic>
              </a:graphicData>
            </a:graphic>
          </wp:inline>
        </w:drawing>
      </w:r>
    </w:p>
    <w:p w14:paraId="7AF32423" w14:textId="77777777" w:rsidR="00012482" w:rsidRPr="005835F7" w:rsidRDefault="00000000" w:rsidP="006E6660">
      <w:pPr>
        <w:pStyle w:val="Caption"/>
        <w:spacing w:line="276" w:lineRule="auto"/>
        <w:rPr>
          <w:rFonts w:cs="Times New Roman"/>
          <w:color w:val="000000" w:themeColor="text1"/>
          <w:sz w:val="24"/>
          <w:szCs w:val="24"/>
        </w:rPr>
      </w:pPr>
      <w:r w:rsidRPr="005835F7">
        <w:rPr>
          <w:rFonts w:cs="Times New Roman"/>
          <w:color w:val="000000" w:themeColor="text1"/>
          <w:sz w:val="24"/>
          <w:szCs w:val="24"/>
          <w:highlight w:val="yellow"/>
        </w:rPr>
        <w:t>Figure 8. Average precision in the symmetric eight-model archived development-cohort benchmark.</w:t>
      </w:r>
    </w:p>
    <w:p w14:paraId="7B366819" w14:textId="77777777" w:rsidR="00847EAC" w:rsidRDefault="00847EAC" w:rsidP="005835F7">
      <w:pPr>
        <w:keepNext/>
        <w:spacing w:after="100"/>
        <w:rPr>
          <w:rFonts w:cs="Times New Roman"/>
          <w:color w:val="000000" w:themeColor="text1"/>
          <w:sz w:val="24"/>
          <w:szCs w:val="24"/>
        </w:rPr>
      </w:pPr>
      <w:r w:rsidRPr="00847EAC">
        <w:rPr>
          <w:rFonts w:cs="Times New Roman"/>
          <w:color w:val="000000" w:themeColor="text1"/>
          <w:sz w:val="24"/>
          <w:szCs w:val="24"/>
        </w:rPr>
        <w:t xml:space="preserve">Figure 8 depicts that all eight models surpassed the reference value of 0.03556. The biggest AP was observed for TECR-Net (0.05897), while </w:t>
      </w:r>
      <w:proofErr w:type="spellStart"/>
      <w:r w:rsidRPr="00847EAC">
        <w:rPr>
          <w:rFonts w:cs="Times New Roman"/>
          <w:color w:val="000000" w:themeColor="text1"/>
          <w:sz w:val="24"/>
          <w:szCs w:val="24"/>
        </w:rPr>
        <w:t>CatBoost</w:t>
      </w:r>
      <w:proofErr w:type="spellEnd"/>
      <w:r w:rsidRPr="00847EAC">
        <w:rPr>
          <w:rFonts w:cs="Times New Roman"/>
          <w:color w:val="000000" w:themeColor="text1"/>
          <w:sz w:val="24"/>
          <w:szCs w:val="24"/>
        </w:rPr>
        <w:t xml:space="preserve"> (0.05153), </w:t>
      </w:r>
      <w:proofErr w:type="spellStart"/>
      <w:r w:rsidRPr="00847EAC">
        <w:rPr>
          <w:rFonts w:cs="Times New Roman"/>
          <w:color w:val="000000" w:themeColor="text1"/>
          <w:sz w:val="24"/>
          <w:szCs w:val="24"/>
        </w:rPr>
        <w:t>XGBoost</w:t>
      </w:r>
      <w:proofErr w:type="spellEnd"/>
      <w:r w:rsidRPr="00847EAC">
        <w:rPr>
          <w:rFonts w:cs="Times New Roman"/>
          <w:color w:val="000000" w:themeColor="text1"/>
          <w:sz w:val="24"/>
          <w:szCs w:val="24"/>
        </w:rPr>
        <w:t xml:space="preserve"> (0.05035), </w:t>
      </w:r>
      <w:proofErr w:type="spellStart"/>
      <w:r w:rsidRPr="00847EAC">
        <w:rPr>
          <w:rFonts w:cs="Times New Roman"/>
          <w:color w:val="000000" w:themeColor="text1"/>
          <w:sz w:val="24"/>
          <w:szCs w:val="24"/>
        </w:rPr>
        <w:t>HistGradientBoosting</w:t>
      </w:r>
      <w:proofErr w:type="spellEnd"/>
      <w:r w:rsidRPr="00847EAC">
        <w:rPr>
          <w:rFonts w:cs="Times New Roman"/>
          <w:color w:val="000000" w:themeColor="text1"/>
          <w:sz w:val="24"/>
          <w:szCs w:val="24"/>
        </w:rPr>
        <w:t xml:space="preserve"> (0.04891), GRU (0.04873), </w:t>
      </w:r>
      <w:proofErr w:type="spellStart"/>
      <w:r w:rsidRPr="00847EAC">
        <w:rPr>
          <w:rFonts w:cs="Times New Roman"/>
          <w:color w:val="000000" w:themeColor="text1"/>
          <w:sz w:val="24"/>
          <w:szCs w:val="24"/>
        </w:rPr>
        <w:t>LightGBM</w:t>
      </w:r>
      <w:proofErr w:type="spellEnd"/>
      <w:r w:rsidRPr="00847EAC">
        <w:rPr>
          <w:rFonts w:cs="Times New Roman"/>
          <w:color w:val="000000" w:themeColor="text1"/>
          <w:sz w:val="24"/>
          <w:szCs w:val="24"/>
        </w:rPr>
        <w:t xml:space="preserve"> (0.04694), Logistic Regression (0.04209), and Persistence (0.03874) were ranked in the same order, respectively. All the above-mentioned numbers were obtained through adaptively developed research of the historical nature.</w:t>
      </w:r>
    </w:p>
    <w:p w14:paraId="0E545E1E" w14:textId="26D958F5" w:rsidR="00012482" w:rsidRPr="005835F7" w:rsidRDefault="00000000" w:rsidP="005835F7">
      <w:pPr>
        <w:keepNext/>
        <w:spacing w:after="100"/>
        <w:rPr>
          <w:rFonts w:cs="Times New Roman"/>
          <w:b/>
          <w:bCs/>
          <w:color w:val="000000" w:themeColor="text1"/>
          <w:sz w:val="24"/>
          <w:szCs w:val="24"/>
        </w:rPr>
      </w:pPr>
      <w:r w:rsidRPr="005835F7">
        <w:rPr>
          <w:rFonts w:cs="Times New Roman"/>
          <w:b/>
          <w:bCs/>
          <w:color w:val="000000" w:themeColor="text1"/>
          <w:sz w:val="24"/>
          <w:szCs w:val="24"/>
        </w:rPr>
        <w:t>4.5 Architectural Ablation</w:t>
      </w:r>
    </w:p>
    <w:p w14:paraId="55AB524E" w14:textId="77777777" w:rsidR="00012482"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rPr>
        <w:t>Table 10 reports the full model and six component-removal variants using development results only.</w:t>
      </w:r>
    </w:p>
    <w:p w14:paraId="28815706"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Table 10. Development-cohort architectural ablation using saved ensemble outputs</w:t>
      </w:r>
    </w:p>
    <w:tbl>
      <w:tblPr>
        <w:tblStyle w:val="TableGrid"/>
        <w:tblW w:w="9478" w:type="dxa"/>
        <w:tblLook w:val="04A0" w:firstRow="1" w:lastRow="0" w:firstColumn="1" w:lastColumn="0" w:noHBand="0" w:noVBand="1"/>
      </w:tblPr>
      <w:tblGrid>
        <w:gridCol w:w="5623"/>
        <w:gridCol w:w="1803"/>
        <w:gridCol w:w="2052"/>
      </w:tblGrid>
      <w:tr w:rsidR="00B71BC0" w:rsidRPr="005835F7" w14:paraId="0AC81A76" w14:textId="77777777" w:rsidTr="005835F7">
        <w:tc>
          <w:tcPr>
            <w:tcW w:w="5623" w:type="dxa"/>
          </w:tcPr>
          <w:p w14:paraId="04F44F1C" w14:textId="77777777" w:rsidR="00B71BC0" w:rsidRPr="005835F7" w:rsidRDefault="00B71BC0" w:rsidP="006E6660">
            <w:pPr>
              <w:spacing w:after="0"/>
              <w:rPr>
                <w:rFonts w:cs="Times New Roman"/>
                <w:color w:val="000000" w:themeColor="text1"/>
                <w:sz w:val="24"/>
                <w:szCs w:val="24"/>
              </w:rPr>
            </w:pPr>
            <w:r w:rsidRPr="005835F7">
              <w:rPr>
                <w:rFonts w:cs="Times New Roman"/>
                <w:b/>
                <w:color w:val="000000" w:themeColor="text1"/>
                <w:sz w:val="24"/>
                <w:szCs w:val="24"/>
              </w:rPr>
              <w:t>Variant</w:t>
            </w:r>
          </w:p>
        </w:tc>
        <w:tc>
          <w:tcPr>
            <w:tcW w:w="1803" w:type="dxa"/>
          </w:tcPr>
          <w:p w14:paraId="2B8B950D" w14:textId="77777777" w:rsidR="00B71BC0" w:rsidRPr="005835F7" w:rsidRDefault="00B71BC0" w:rsidP="006E6660">
            <w:pPr>
              <w:spacing w:after="0"/>
              <w:rPr>
                <w:rFonts w:cs="Times New Roman"/>
                <w:color w:val="000000" w:themeColor="text1"/>
                <w:sz w:val="24"/>
                <w:szCs w:val="24"/>
              </w:rPr>
            </w:pPr>
            <w:r w:rsidRPr="005835F7">
              <w:rPr>
                <w:rFonts w:cs="Times New Roman"/>
                <w:b/>
                <w:color w:val="000000" w:themeColor="text1"/>
                <w:sz w:val="24"/>
                <w:szCs w:val="24"/>
              </w:rPr>
              <w:t>AP</w:t>
            </w:r>
          </w:p>
        </w:tc>
        <w:tc>
          <w:tcPr>
            <w:tcW w:w="2052" w:type="dxa"/>
          </w:tcPr>
          <w:p w14:paraId="24E1F030" w14:textId="77777777" w:rsidR="00B71BC0" w:rsidRPr="005835F7" w:rsidRDefault="00B71BC0" w:rsidP="006E6660">
            <w:pPr>
              <w:spacing w:after="0"/>
              <w:rPr>
                <w:rFonts w:cs="Times New Roman"/>
                <w:color w:val="000000" w:themeColor="text1"/>
                <w:sz w:val="24"/>
                <w:szCs w:val="24"/>
              </w:rPr>
            </w:pPr>
            <w:r w:rsidRPr="005835F7">
              <w:rPr>
                <w:rFonts w:cs="Times New Roman"/>
                <w:b/>
                <w:color w:val="000000" w:themeColor="text1"/>
                <w:sz w:val="24"/>
                <w:szCs w:val="24"/>
              </w:rPr>
              <w:t>ROC-AUC</w:t>
            </w:r>
          </w:p>
        </w:tc>
      </w:tr>
      <w:tr w:rsidR="00B71BC0" w:rsidRPr="005835F7" w14:paraId="5AD5C90B" w14:textId="77777777" w:rsidTr="005835F7">
        <w:tc>
          <w:tcPr>
            <w:tcW w:w="5623" w:type="dxa"/>
          </w:tcPr>
          <w:p w14:paraId="39ABDD1C"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Full TECR-Net</w:t>
            </w:r>
          </w:p>
        </w:tc>
        <w:tc>
          <w:tcPr>
            <w:tcW w:w="1803" w:type="dxa"/>
          </w:tcPr>
          <w:p w14:paraId="114E5683"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0.07518</w:t>
            </w:r>
          </w:p>
        </w:tc>
        <w:tc>
          <w:tcPr>
            <w:tcW w:w="2052" w:type="dxa"/>
          </w:tcPr>
          <w:p w14:paraId="0559A32E"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0.63855</w:t>
            </w:r>
          </w:p>
        </w:tc>
      </w:tr>
      <w:tr w:rsidR="00B71BC0" w:rsidRPr="005835F7" w14:paraId="2DB9C8A1" w14:textId="77777777" w:rsidTr="005835F7">
        <w:tc>
          <w:tcPr>
            <w:tcW w:w="5623" w:type="dxa"/>
          </w:tcPr>
          <w:p w14:paraId="568E80B7"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Without categorical encoder</w:t>
            </w:r>
          </w:p>
        </w:tc>
        <w:tc>
          <w:tcPr>
            <w:tcW w:w="1803" w:type="dxa"/>
          </w:tcPr>
          <w:p w14:paraId="33ECBE87"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0.07374</w:t>
            </w:r>
          </w:p>
        </w:tc>
        <w:tc>
          <w:tcPr>
            <w:tcW w:w="2052" w:type="dxa"/>
          </w:tcPr>
          <w:p w14:paraId="1C5616EA"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0.60503</w:t>
            </w:r>
          </w:p>
        </w:tc>
      </w:tr>
      <w:tr w:rsidR="00B71BC0" w:rsidRPr="005835F7" w14:paraId="7F40F630" w14:textId="77777777" w:rsidTr="005835F7">
        <w:tc>
          <w:tcPr>
            <w:tcW w:w="5623" w:type="dxa"/>
          </w:tcPr>
          <w:p w14:paraId="4B52961D"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Without cross-modal attention</w:t>
            </w:r>
          </w:p>
        </w:tc>
        <w:tc>
          <w:tcPr>
            <w:tcW w:w="1803" w:type="dxa"/>
          </w:tcPr>
          <w:p w14:paraId="3A55B745"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0.07494</w:t>
            </w:r>
          </w:p>
        </w:tc>
        <w:tc>
          <w:tcPr>
            <w:tcW w:w="2052" w:type="dxa"/>
          </w:tcPr>
          <w:p w14:paraId="056498A7"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0.63760</w:t>
            </w:r>
          </w:p>
        </w:tc>
      </w:tr>
      <w:tr w:rsidR="00B71BC0" w:rsidRPr="005835F7" w14:paraId="5AD72FB3" w14:textId="77777777" w:rsidTr="005835F7">
        <w:tc>
          <w:tcPr>
            <w:tcW w:w="5623" w:type="dxa"/>
          </w:tcPr>
          <w:p w14:paraId="7A318020"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Without feature gate</w:t>
            </w:r>
          </w:p>
        </w:tc>
        <w:tc>
          <w:tcPr>
            <w:tcW w:w="1803" w:type="dxa"/>
          </w:tcPr>
          <w:p w14:paraId="580D5305"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0.06652</w:t>
            </w:r>
          </w:p>
        </w:tc>
        <w:tc>
          <w:tcPr>
            <w:tcW w:w="2052" w:type="dxa"/>
          </w:tcPr>
          <w:p w14:paraId="1236C95A"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0.63832</w:t>
            </w:r>
          </w:p>
        </w:tc>
      </w:tr>
      <w:tr w:rsidR="00B71BC0" w:rsidRPr="005835F7" w14:paraId="580E01AF" w14:textId="77777777" w:rsidTr="005835F7">
        <w:tc>
          <w:tcPr>
            <w:tcW w:w="5623" w:type="dxa"/>
          </w:tcPr>
          <w:p w14:paraId="0C4DD41A"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Without GRU</w:t>
            </w:r>
          </w:p>
        </w:tc>
        <w:tc>
          <w:tcPr>
            <w:tcW w:w="1803" w:type="dxa"/>
          </w:tcPr>
          <w:p w14:paraId="20CE9668"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0.05556</w:t>
            </w:r>
          </w:p>
        </w:tc>
        <w:tc>
          <w:tcPr>
            <w:tcW w:w="2052" w:type="dxa"/>
          </w:tcPr>
          <w:p w14:paraId="306CC6A9"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0.63252</w:t>
            </w:r>
          </w:p>
        </w:tc>
      </w:tr>
      <w:tr w:rsidR="00B71BC0" w:rsidRPr="005835F7" w14:paraId="020ECDEF" w14:textId="77777777" w:rsidTr="005835F7">
        <w:tc>
          <w:tcPr>
            <w:tcW w:w="5623" w:type="dxa"/>
          </w:tcPr>
          <w:p w14:paraId="2C636A92"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Without residual fusion</w:t>
            </w:r>
          </w:p>
        </w:tc>
        <w:tc>
          <w:tcPr>
            <w:tcW w:w="1803" w:type="dxa"/>
          </w:tcPr>
          <w:p w14:paraId="7CFC2E44"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0.07150</w:t>
            </w:r>
          </w:p>
        </w:tc>
        <w:tc>
          <w:tcPr>
            <w:tcW w:w="2052" w:type="dxa"/>
          </w:tcPr>
          <w:p w14:paraId="7187CEA0"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0.64479</w:t>
            </w:r>
          </w:p>
        </w:tc>
      </w:tr>
      <w:tr w:rsidR="00B71BC0" w:rsidRPr="005835F7" w14:paraId="0B61AFFF" w14:textId="77777777" w:rsidTr="005835F7">
        <w:tc>
          <w:tcPr>
            <w:tcW w:w="5623" w:type="dxa"/>
          </w:tcPr>
          <w:p w14:paraId="0CFEFC67"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Without temporal attention</w:t>
            </w:r>
          </w:p>
        </w:tc>
        <w:tc>
          <w:tcPr>
            <w:tcW w:w="1803" w:type="dxa"/>
          </w:tcPr>
          <w:p w14:paraId="2D25C633"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0.06938</w:t>
            </w:r>
          </w:p>
        </w:tc>
        <w:tc>
          <w:tcPr>
            <w:tcW w:w="2052" w:type="dxa"/>
          </w:tcPr>
          <w:p w14:paraId="1D3167A4"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0.63824</w:t>
            </w:r>
          </w:p>
        </w:tc>
      </w:tr>
    </w:tbl>
    <w:p w14:paraId="4E439806" w14:textId="77777777" w:rsidR="005835F7" w:rsidRDefault="005835F7" w:rsidP="00847EAC">
      <w:pPr>
        <w:spacing w:after="100"/>
        <w:rPr>
          <w:rFonts w:cs="Times New Roman"/>
          <w:color w:val="000000" w:themeColor="text1"/>
          <w:sz w:val="24"/>
          <w:szCs w:val="24"/>
        </w:rPr>
      </w:pPr>
    </w:p>
    <w:p w14:paraId="78EECA18" w14:textId="77777777" w:rsidR="00847EAC" w:rsidRPr="00847EAC" w:rsidRDefault="00847EAC" w:rsidP="00847EAC">
      <w:pPr>
        <w:keepNext/>
        <w:spacing w:after="100"/>
        <w:rPr>
          <w:rFonts w:cs="Times New Roman"/>
          <w:color w:val="000000" w:themeColor="text1"/>
          <w:sz w:val="24"/>
          <w:szCs w:val="24"/>
        </w:rPr>
      </w:pPr>
      <w:r w:rsidRPr="00847EAC">
        <w:rPr>
          <w:rFonts w:cs="Times New Roman"/>
          <w:color w:val="000000" w:themeColor="text1"/>
          <w:sz w:val="24"/>
          <w:szCs w:val="24"/>
        </w:rPr>
        <w:t xml:space="preserve">The removal of GRU resulted in the largest change in AP, decreasing from 0.07518 to 0.05556. The removal of feature gating and temporal attention resulted in lower changes, while the removal of cross-modal attention resulted in an AP change of only 0.00024. The removal of the categorical encoder led to a small decrease in AP to 0.07374, but a larger decrease in ROC-AUC from 0.63855 to 0.60503, </w:t>
      </w:r>
      <w:r w:rsidRPr="00847EAC">
        <w:rPr>
          <w:rFonts w:cs="Times New Roman"/>
          <w:color w:val="000000" w:themeColor="text1"/>
          <w:sz w:val="24"/>
          <w:szCs w:val="24"/>
        </w:rPr>
        <w:lastRenderedPageBreak/>
        <w:t>indicating that the categorical context had more impact on ROC-AUC than the rare-event AP measure in this study. Removal of residual fusion lowered AP to 0.07150 but raised ROC-AUC to 0.64479.</w:t>
      </w:r>
    </w:p>
    <w:p w14:paraId="1C31BB8C" w14:textId="7BCBF85F" w:rsidR="00012482" w:rsidRPr="005835F7" w:rsidRDefault="00847EAC" w:rsidP="00847EAC">
      <w:pPr>
        <w:keepNext/>
        <w:spacing w:after="100"/>
        <w:jc w:val="center"/>
        <w:rPr>
          <w:rFonts w:cs="Times New Roman"/>
          <w:color w:val="000000" w:themeColor="text1"/>
          <w:sz w:val="24"/>
          <w:szCs w:val="24"/>
        </w:rPr>
      </w:pPr>
      <w:r w:rsidRPr="00847EAC">
        <w:rPr>
          <w:rFonts w:cs="Times New Roman"/>
          <w:color w:val="000000" w:themeColor="text1"/>
          <w:sz w:val="24"/>
          <w:szCs w:val="24"/>
        </w:rPr>
        <w:t>Since the reduced models were not optimized through an independently validated hyperparameter search process, these results indicate sensitivities, not causative effects or necessities.</w:t>
      </w:r>
      <w:r w:rsidR="00000000" w:rsidRPr="005835F7">
        <w:rPr>
          <w:rFonts w:cs="Times New Roman"/>
          <w:noProof/>
          <w:color w:val="000000" w:themeColor="text1"/>
          <w:sz w:val="24"/>
          <w:szCs w:val="24"/>
        </w:rPr>
        <w:drawing>
          <wp:inline distT="0" distB="0" distL="0" distR="0" wp14:anchorId="11DEAA57" wp14:editId="26397CE9">
            <wp:extent cx="5486400" cy="36160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validation_ablation.png"/>
                    <pic:cNvPicPr/>
                  </pic:nvPicPr>
                  <pic:blipFill>
                    <a:blip r:embed="rId31"/>
                    <a:stretch>
                      <a:fillRect/>
                    </a:stretch>
                  </pic:blipFill>
                  <pic:spPr>
                    <a:xfrm>
                      <a:off x="0" y="0"/>
                      <a:ext cx="5486400" cy="3616036"/>
                    </a:xfrm>
                    <a:prstGeom prst="rect">
                      <a:avLst/>
                    </a:prstGeom>
                  </pic:spPr>
                </pic:pic>
              </a:graphicData>
            </a:graphic>
          </wp:inline>
        </w:drawing>
      </w:r>
    </w:p>
    <w:p w14:paraId="3AF4AF18" w14:textId="77777777" w:rsidR="00012482" w:rsidRPr="005835F7" w:rsidRDefault="00000000" w:rsidP="006E6660">
      <w:pPr>
        <w:pStyle w:val="Caption"/>
        <w:spacing w:line="276" w:lineRule="auto"/>
        <w:rPr>
          <w:rFonts w:cs="Times New Roman"/>
          <w:color w:val="000000" w:themeColor="text1"/>
          <w:sz w:val="24"/>
          <w:szCs w:val="24"/>
        </w:rPr>
      </w:pPr>
      <w:r w:rsidRPr="005835F7">
        <w:rPr>
          <w:rFonts w:cs="Times New Roman"/>
          <w:color w:val="000000" w:themeColor="text1"/>
          <w:sz w:val="24"/>
          <w:szCs w:val="24"/>
        </w:rPr>
        <w:t xml:space="preserve">Figure 9. Development-cohort ensemble AP for the full TECR-Net and six component-removal variants. </w:t>
      </w:r>
    </w:p>
    <w:p w14:paraId="57EDFF43" w14:textId="77777777" w:rsidR="00012482" w:rsidRPr="005835F7" w:rsidRDefault="00000000" w:rsidP="001C6874">
      <w:pPr>
        <w:keepNext/>
        <w:spacing w:after="100"/>
        <w:rPr>
          <w:rFonts w:cs="Times New Roman"/>
          <w:color w:val="000000" w:themeColor="text1"/>
          <w:sz w:val="24"/>
          <w:szCs w:val="24"/>
        </w:rPr>
      </w:pPr>
      <w:r w:rsidRPr="005835F7">
        <w:rPr>
          <w:rFonts w:cs="Times New Roman"/>
          <w:color w:val="000000" w:themeColor="text1"/>
          <w:sz w:val="24"/>
          <w:szCs w:val="24"/>
        </w:rPr>
        <w:t>Figure 9 makes the recurrent encoder contribution most visible: the no-GRU variant approaches the prevalence baseline more closely than the other variants. The small difference between the full model and removal of cross-modal attention indicates that this module contributes less development AP than the recurrent pathway, even though it may affect threshold-dependent behaviour.</w:t>
      </w:r>
    </w:p>
    <w:p w14:paraId="60669B7C" w14:textId="77777777"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4.6 Accident-Feature Sensitivity</w:t>
      </w:r>
    </w:p>
    <w:p w14:paraId="5B67BE56" w14:textId="77777777" w:rsidR="00012482"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rPr>
        <w:t>Table 11 evaluates whether the primary development result depends on the three coarse lease-level accident proxies. Both variants use the same 1,884 sequences, 982 platforms, 67 positive labels, architecture, seven seeds, and probability-ensemble procedure.</w:t>
      </w:r>
    </w:p>
    <w:p w14:paraId="35FDBE5D"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Table 11. Development-cohort sensitivity to lease-level accident proxies</w:t>
      </w:r>
    </w:p>
    <w:tbl>
      <w:tblPr>
        <w:tblStyle w:val="TableGrid"/>
        <w:tblW w:w="0" w:type="auto"/>
        <w:tblLook w:val="04A0" w:firstRow="1" w:lastRow="0" w:firstColumn="1" w:lastColumn="0" w:noHBand="0" w:noVBand="1"/>
      </w:tblPr>
      <w:tblGrid>
        <w:gridCol w:w="2725"/>
        <w:gridCol w:w="1007"/>
        <w:gridCol w:w="1112"/>
        <w:gridCol w:w="996"/>
        <w:gridCol w:w="1163"/>
        <w:gridCol w:w="996"/>
        <w:gridCol w:w="996"/>
        <w:gridCol w:w="861"/>
      </w:tblGrid>
      <w:tr w:rsidR="00012482" w:rsidRPr="005835F7" w14:paraId="426D9BDA" w14:textId="77777777" w:rsidTr="005835F7">
        <w:tc>
          <w:tcPr>
            <w:tcW w:w="2880" w:type="dxa"/>
          </w:tcPr>
          <w:p w14:paraId="627CB672"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Variant</w:t>
            </w:r>
          </w:p>
        </w:tc>
        <w:tc>
          <w:tcPr>
            <w:tcW w:w="1008" w:type="dxa"/>
          </w:tcPr>
          <w:p w14:paraId="65702A40"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AP</w:t>
            </w:r>
          </w:p>
        </w:tc>
        <w:tc>
          <w:tcPr>
            <w:tcW w:w="1123" w:type="dxa"/>
          </w:tcPr>
          <w:p w14:paraId="1B11B63D"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ROC-AUC</w:t>
            </w:r>
          </w:p>
        </w:tc>
        <w:tc>
          <w:tcPr>
            <w:tcW w:w="893" w:type="dxa"/>
          </w:tcPr>
          <w:p w14:paraId="11890599"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F1</w:t>
            </w:r>
          </w:p>
        </w:tc>
        <w:tc>
          <w:tcPr>
            <w:tcW w:w="1037" w:type="dxa"/>
          </w:tcPr>
          <w:p w14:paraId="50A88457"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Precision</w:t>
            </w:r>
          </w:p>
        </w:tc>
        <w:tc>
          <w:tcPr>
            <w:tcW w:w="936" w:type="dxa"/>
          </w:tcPr>
          <w:p w14:paraId="6BE9DB90"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Recall</w:t>
            </w:r>
          </w:p>
        </w:tc>
        <w:tc>
          <w:tcPr>
            <w:tcW w:w="864" w:type="dxa"/>
          </w:tcPr>
          <w:p w14:paraId="05991AFA"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MCC</w:t>
            </w:r>
          </w:p>
        </w:tc>
        <w:tc>
          <w:tcPr>
            <w:tcW w:w="864" w:type="dxa"/>
          </w:tcPr>
          <w:p w14:paraId="5DAC9F71"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P@50</w:t>
            </w:r>
          </w:p>
        </w:tc>
      </w:tr>
      <w:tr w:rsidR="00012482" w:rsidRPr="005835F7" w14:paraId="099B37EB" w14:textId="77777777" w:rsidTr="005835F7">
        <w:tc>
          <w:tcPr>
            <w:tcW w:w="2880" w:type="dxa"/>
          </w:tcPr>
          <w:p w14:paraId="0200BFF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Full TECR-Net</w:t>
            </w:r>
          </w:p>
        </w:tc>
        <w:tc>
          <w:tcPr>
            <w:tcW w:w="1008" w:type="dxa"/>
          </w:tcPr>
          <w:p w14:paraId="71D0D19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0.07518</w:t>
            </w:r>
          </w:p>
        </w:tc>
        <w:tc>
          <w:tcPr>
            <w:tcW w:w="1123" w:type="dxa"/>
          </w:tcPr>
          <w:p w14:paraId="7305D23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0.63855</w:t>
            </w:r>
          </w:p>
        </w:tc>
        <w:tc>
          <w:tcPr>
            <w:tcW w:w="893" w:type="dxa"/>
          </w:tcPr>
          <w:p w14:paraId="415F887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0.12150</w:t>
            </w:r>
          </w:p>
        </w:tc>
        <w:tc>
          <w:tcPr>
            <w:tcW w:w="1037" w:type="dxa"/>
          </w:tcPr>
          <w:p w14:paraId="09020A8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0.08844</w:t>
            </w:r>
          </w:p>
        </w:tc>
        <w:tc>
          <w:tcPr>
            <w:tcW w:w="936" w:type="dxa"/>
          </w:tcPr>
          <w:p w14:paraId="2E5AAEB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0.19403</w:t>
            </w:r>
          </w:p>
        </w:tc>
        <w:tc>
          <w:tcPr>
            <w:tcW w:w="864" w:type="dxa"/>
          </w:tcPr>
          <w:p w14:paraId="67ED7BD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0.08305</w:t>
            </w:r>
          </w:p>
        </w:tc>
        <w:tc>
          <w:tcPr>
            <w:tcW w:w="864" w:type="dxa"/>
          </w:tcPr>
          <w:p w14:paraId="1CB5E83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0.080</w:t>
            </w:r>
          </w:p>
        </w:tc>
      </w:tr>
      <w:tr w:rsidR="00012482" w:rsidRPr="005835F7" w14:paraId="3D155960" w14:textId="77777777" w:rsidTr="005835F7">
        <w:tc>
          <w:tcPr>
            <w:tcW w:w="2880" w:type="dxa"/>
          </w:tcPr>
          <w:p w14:paraId="22BCD7F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Without lease-level accident proxies</w:t>
            </w:r>
          </w:p>
        </w:tc>
        <w:tc>
          <w:tcPr>
            <w:tcW w:w="1008" w:type="dxa"/>
          </w:tcPr>
          <w:p w14:paraId="41B6BF6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0.07478</w:t>
            </w:r>
          </w:p>
        </w:tc>
        <w:tc>
          <w:tcPr>
            <w:tcW w:w="1123" w:type="dxa"/>
          </w:tcPr>
          <w:p w14:paraId="1ADAB37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0.62849</w:t>
            </w:r>
          </w:p>
        </w:tc>
        <w:tc>
          <w:tcPr>
            <w:tcW w:w="893" w:type="dxa"/>
          </w:tcPr>
          <w:p w14:paraId="53244B5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0.12091</w:t>
            </w:r>
          </w:p>
        </w:tc>
        <w:tc>
          <w:tcPr>
            <w:tcW w:w="1037" w:type="dxa"/>
          </w:tcPr>
          <w:p w14:paraId="326AA09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0.07273</w:t>
            </w:r>
          </w:p>
        </w:tc>
        <w:tc>
          <w:tcPr>
            <w:tcW w:w="936" w:type="dxa"/>
          </w:tcPr>
          <w:p w14:paraId="3F9FC13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0.35821</w:t>
            </w:r>
          </w:p>
        </w:tc>
        <w:tc>
          <w:tcPr>
            <w:tcW w:w="864" w:type="dxa"/>
          </w:tcPr>
          <w:p w14:paraId="6EC3EDD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0.09248</w:t>
            </w:r>
          </w:p>
        </w:tc>
        <w:tc>
          <w:tcPr>
            <w:tcW w:w="864" w:type="dxa"/>
          </w:tcPr>
          <w:p w14:paraId="6D89086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0.100</w:t>
            </w:r>
          </w:p>
        </w:tc>
      </w:tr>
    </w:tbl>
    <w:p w14:paraId="4C0BDB78" w14:textId="77777777" w:rsidR="00847EAC" w:rsidRDefault="00847EAC" w:rsidP="006E6660">
      <w:pPr>
        <w:pStyle w:val="Heading2"/>
        <w:rPr>
          <w:rFonts w:ascii="Times New Roman" w:eastAsia="Times New Roman" w:hAnsi="Times New Roman" w:cs="Times New Roman"/>
          <w:b w:val="0"/>
          <w:bCs w:val="0"/>
          <w:color w:val="000000" w:themeColor="text1"/>
          <w:sz w:val="24"/>
          <w:szCs w:val="24"/>
        </w:rPr>
      </w:pPr>
      <w:r w:rsidRPr="00847EAC">
        <w:rPr>
          <w:rFonts w:ascii="Times New Roman" w:eastAsia="Times New Roman" w:hAnsi="Times New Roman" w:cs="Times New Roman"/>
          <w:b w:val="0"/>
          <w:bCs w:val="0"/>
          <w:color w:val="000000" w:themeColor="text1"/>
          <w:sz w:val="24"/>
          <w:szCs w:val="24"/>
        </w:rPr>
        <w:lastRenderedPageBreak/>
        <w:t>The removal of the three proxies for accident at the lease level caused the value of AP to change from 0.07518 to 0.07478 with an approximation of 0.00040 from the full minus reduced values. The 95% bootstrap confidence interval using paired platforms in clusters was between −0.02183 and 0.02153 with zero being within the range. There is a recall value that rose from 0.19403 to 0.35821 and a precision value that declined from 0.08844 to 0.07273, which shows that there were changes in the operating compromise due to the proxies.</w:t>
      </w:r>
    </w:p>
    <w:p w14:paraId="57D04D43" w14:textId="6217F481"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4.7 Development Uncertainty and Apparent Calibration</w:t>
      </w:r>
    </w:p>
    <w:p w14:paraId="6D30E5CB" w14:textId="77777777" w:rsidR="00012482"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rPr>
        <w:t>Table 12 reports dependence-aware uncertainty and limited probability diagnostics calculated from the development ensemble predictions. Because the probability mapping was fitted on the same period, these quantities are apparent rather than independently validated calibration estimates.</w:t>
      </w:r>
    </w:p>
    <w:p w14:paraId="07EC9084"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Table 12. Platform-clustered development uncertainty and apparent calibration diagnostics</w:t>
      </w:r>
    </w:p>
    <w:tbl>
      <w:tblPr>
        <w:tblStyle w:val="TableGrid"/>
        <w:tblW w:w="9747" w:type="dxa"/>
        <w:tblLook w:val="04A0" w:firstRow="1" w:lastRow="0" w:firstColumn="1" w:lastColumn="0" w:noHBand="0" w:noVBand="1"/>
      </w:tblPr>
      <w:tblGrid>
        <w:gridCol w:w="2708"/>
        <w:gridCol w:w="1624"/>
        <w:gridCol w:w="2553"/>
        <w:gridCol w:w="2862"/>
      </w:tblGrid>
      <w:tr w:rsidR="00012482" w:rsidRPr="005835F7" w14:paraId="6B272ADE" w14:textId="77777777" w:rsidTr="005835F7">
        <w:tc>
          <w:tcPr>
            <w:tcW w:w="2708" w:type="dxa"/>
          </w:tcPr>
          <w:p w14:paraId="1970BD7F"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Diagnostic</w:t>
            </w:r>
          </w:p>
        </w:tc>
        <w:tc>
          <w:tcPr>
            <w:tcW w:w="1624" w:type="dxa"/>
          </w:tcPr>
          <w:p w14:paraId="152264B1"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Estimate</w:t>
            </w:r>
          </w:p>
        </w:tc>
        <w:tc>
          <w:tcPr>
            <w:tcW w:w="2553" w:type="dxa"/>
          </w:tcPr>
          <w:p w14:paraId="637D8C93"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95% development-cohort bootstrap interval / basis</w:t>
            </w:r>
          </w:p>
        </w:tc>
        <w:tc>
          <w:tcPr>
            <w:tcW w:w="2862" w:type="dxa"/>
          </w:tcPr>
          <w:p w14:paraId="6286DF08"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highlight w:val="yellow"/>
              </w:rPr>
              <w:t>Interpretation</w:t>
            </w:r>
          </w:p>
        </w:tc>
      </w:tr>
      <w:tr w:rsidR="00012482" w:rsidRPr="005835F7" w14:paraId="538268F6" w14:textId="77777777" w:rsidTr="005835F7">
        <w:tc>
          <w:tcPr>
            <w:tcW w:w="2708" w:type="dxa"/>
          </w:tcPr>
          <w:p w14:paraId="58A4753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AP</w:t>
            </w:r>
          </w:p>
        </w:tc>
        <w:tc>
          <w:tcPr>
            <w:tcW w:w="1624" w:type="dxa"/>
          </w:tcPr>
          <w:p w14:paraId="3832A94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0.07518</w:t>
            </w:r>
          </w:p>
        </w:tc>
        <w:tc>
          <w:tcPr>
            <w:tcW w:w="2553" w:type="dxa"/>
          </w:tcPr>
          <w:p w14:paraId="0A942BB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0.04269–0.12568</w:t>
            </w:r>
          </w:p>
        </w:tc>
        <w:tc>
          <w:tcPr>
            <w:tcW w:w="2862" w:type="dxa"/>
          </w:tcPr>
          <w:p w14:paraId="715E8E3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highlight w:val="yellow"/>
              </w:rPr>
              <w:t>Primary rare-event ranking</w:t>
            </w:r>
          </w:p>
        </w:tc>
      </w:tr>
      <w:tr w:rsidR="00012482" w:rsidRPr="005835F7" w14:paraId="349EE967" w14:textId="77777777" w:rsidTr="005835F7">
        <w:tc>
          <w:tcPr>
            <w:tcW w:w="2708" w:type="dxa"/>
          </w:tcPr>
          <w:p w14:paraId="4D0179D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ROC-AUC</w:t>
            </w:r>
          </w:p>
        </w:tc>
        <w:tc>
          <w:tcPr>
            <w:tcW w:w="1624" w:type="dxa"/>
          </w:tcPr>
          <w:p w14:paraId="4CAAEF3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0.63855</w:t>
            </w:r>
          </w:p>
        </w:tc>
        <w:tc>
          <w:tcPr>
            <w:tcW w:w="2553" w:type="dxa"/>
          </w:tcPr>
          <w:p w14:paraId="54A8C65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0.57197–0.70213</w:t>
            </w:r>
          </w:p>
        </w:tc>
        <w:tc>
          <w:tcPr>
            <w:tcW w:w="2862" w:type="dxa"/>
          </w:tcPr>
          <w:p w14:paraId="69CE9109" w14:textId="77777777" w:rsidR="00C63736" w:rsidRPr="005835F7" w:rsidRDefault="00000000">
            <w:pPr>
              <w:spacing w:after="0"/>
              <w:rPr>
                <w:rFonts w:cs="Times New Roman"/>
                <w:color w:val="000000" w:themeColor="text1"/>
                <w:sz w:val="24"/>
                <w:szCs w:val="24"/>
              </w:rPr>
            </w:pPr>
            <w:r w:rsidRPr="005835F7">
              <w:rPr>
                <w:rFonts w:cs="Times New Roman"/>
                <w:color w:val="000000" w:themeColor="text1"/>
                <w:sz w:val="24"/>
                <w:szCs w:val="24"/>
              </w:rPr>
              <w:t>Limited apparent discrimination</w:t>
            </w:r>
          </w:p>
        </w:tc>
      </w:tr>
      <w:tr w:rsidR="00012482" w:rsidRPr="005835F7" w14:paraId="41966753" w14:textId="77777777" w:rsidTr="005835F7">
        <w:tc>
          <w:tcPr>
            <w:tcW w:w="2708" w:type="dxa"/>
          </w:tcPr>
          <w:p w14:paraId="4F6CD3C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Brier score (apparent)</w:t>
            </w:r>
          </w:p>
        </w:tc>
        <w:tc>
          <w:tcPr>
            <w:tcW w:w="1624" w:type="dxa"/>
          </w:tcPr>
          <w:p w14:paraId="1D06794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0.03406</w:t>
            </w:r>
          </w:p>
        </w:tc>
        <w:tc>
          <w:tcPr>
            <w:tcW w:w="2553" w:type="dxa"/>
          </w:tcPr>
          <w:p w14:paraId="1C68554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0.02671–0.04211</w:t>
            </w:r>
          </w:p>
        </w:tc>
        <w:tc>
          <w:tcPr>
            <w:tcW w:w="2862" w:type="dxa"/>
          </w:tcPr>
          <w:p w14:paraId="699CDB4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Probability error</w:t>
            </w:r>
          </w:p>
        </w:tc>
      </w:tr>
      <w:tr w:rsidR="00012482" w:rsidRPr="005835F7" w14:paraId="5206E715" w14:textId="77777777" w:rsidTr="005835F7">
        <w:tc>
          <w:tcPr>
            <w:tcW w:w="2708" w:type="dxa"/>
          </w:tcPr>
          <w:p w14:paraId="4206BE2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Brier skill score</w:t>
            </w:r>
          </w:p>
        </w:tc>
        <w:tc>
          <w:tcPr>
            <w:tcW w:w="1624" w:type="dxa"/>
          </w:tcPr>
          <w:p w14:paraId="17B8F62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0.00692</w:t>
            </w:r>
          </w:p>
        </w:tc>
        <w:tc>
          <w:tcPr>
            <w:tcW w:w="2553" w:type="dxa"/>
          </w:tcPr>
          <w:p w14:paraId="2DC8A4F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Reference = 0.03430</w:t>
            </w:r>
          </w:p>
        </w:tc>
        <w:tc>
          <w:tcPr>
            <w:tcW w:w="2862" w:type="dxa"/>
          </w:tcPr>
          <w:p w14:paraId="056D6D4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Gain over constant prevalence</w:t>
            </w:r>
          </w:p>
        </w:tc>
      </w:tr>
      <w:tr w:rsidR="00012482" w:rsidRPr="005835F7" w14:paraId="7F4B6096" w14:textId="77777777" w:rsidTr="005835F7">
        <w:tc>
          <w:tcPr>
            <w:tcW w:w="2708" w:type="dxa"/>
          </w:tcPr>
          <w:p w14:paraId="6DDBEEB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Calibration intercept</w:t>
            </w:r>
          </w:p>
        </w:tc>
        <w:tc>
          <w:tcPr>
            <w:tcW w:w="1624" w:type="dxa"/>
          </w:tcPr>
          <w:p w14:paraId="2962A7E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2.57119</w:t>
            </w:r>
          </w:p>
        </w:tc>
        <w:tc>
          <w:tcPr>
            <w:tcW w:w="2553" w:type="dxa"/>
          </w:tcPr>
          <w:p w14:paraId="48CFD0E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Apparent</w:t>
            </w:r>
          </w:p>
        </w:tc>
        <w:tc>
          <w:tcPr>
            <w:tcW w:w="2862" w:type="dxa"/>
          </w:tcPr>
          <w:p w14:paraId="678F4B5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Ideal value 0</w:t>
            </w:r>
          </w:p>
        </w:tc>
      </w:tr>
      <w:tr w:rsidR="00012482" w:rsidRPr="005835F7" w14:paraId="51E50508" w14:textId="77777777" w:rsidTr="005835F7">
        <w:tc>
          <w:tcPr>
            <w:tcW w:w="2708" w:type="dxa"/>
          </w:tcPr>
          <w:p w14:paraId="09C55BF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Calibration slope</w:t>
            </w:r>
          </w:p>
        </w:tc>
        <w:tc>
          <w:tcPr>
            <w:tcW w:w="1624" w:type="dxa"/>
          </w:tcPr>
          <w:p w14:paraId="73660E2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1.79530</w:t>
            </w:r>
          </w:p>
        </w:tc>
        <w:tc>
          <w:tcPr>
            <w:tcW w:w="2553" w:type="dxa"/>
          </w:tcPr>
          <w:p w14:paraId="2D3934C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Apparent</w:t>
            </w:r>
          </w:p>
        </w:tc>
        <w:tc>
          <w:tcPr>
            <w:tcW w:w="2862" w:type="dxa"/>
          </w:tcPr>
          <w:p w14:paraId="06AA64A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Ideal value 1</w:t>
            </w:r>
          </w:p>
        </w:tc>
      </w:tr>
      <w:tr w:rsidR="00012482" w:rsidRPr="005835F7" w14:paraId="063D6222" w14:textId="77777777" w:rsidTr="005835F7">
        <w:tc>
          <w:tcPr>
            <w:tcW w:w="2708" w:type="dxa"/>
          </w:tcPr>
          <w:p w14:paraId="59FEE8F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Precision@50</w:t>
            </w:r>
          </w:p>
        </w:tc>
        <w:tc>
          <w:tcPr>
            <w:tcW w:w="1624" w:type="dxa"/>
          </w:tcPr>
          <w:p w14:paraId="233CE6A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0.080</w:t>
            </w:r>
          </w:p>
        </w:tc>
        <w:tc>
          <w:tcPr>
            <w:tcW w:w="2553" w:type="dxa"/>
          </w:tcPr>
          <w:p w14:paraId="7269B66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0.000–0.191</w:t>
            </w:r>
          </w:p>
        </w:tc>
        <w:tc>
          <w:tcPr>
            <w:tcW w:w="2862" w:type="dxa"/>
          </w:tcPr>
          <w:p w14:paraId="5C88C6B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50 highest-ranked sequences</w:t>
            </w:r>
          </w:p>
        </w:tc>
      </w:tr>
      <w:tr w:rsidR="00012482" w:rsidRPr="005835F7" w14:paraId="528EA1D3" w14:textId="77777777" w:rsidTr="005835F7">
        <w:tc>
          <w:tcPr>
            <w:tcW w:w="2708" w:type="dxa"/>
          </w:tcPr>
          <w:p w14:paraId="7BEA768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Precision@100</w:t>
            </w:r>
          </w:p>
        </w:tc>
        <w:tc>
          <w:tcPr>
            <w:tcW w:w="1624" w:type="dxa"/>
          </w:tcPr>
          <w:p w14:paraId="6CD24AD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0.080</w:t>
            </w:r>
          </w:p>
        </w:tc>
        <w:tc>
          <w:tcPr>
            <w:tcW w:w="2553" w:type="dxa"/>
          </w:tcPr>
          <w:p w14:paraId="5A8E420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0.020–0.140</w:t>
            </w:r>
          </w:p>
        </w:tc>
        <w:tc>
          <w:tcPr>
            <w:tcW w:w="2862" w:type="dxa"/>
          </w:tcPr>
          <w:p w14:paraId="1E8795E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100 highest-ranked sequences</w:t>
            </w:r>
          </w:p>
        </w:tc>
      </w:tr>
      <w:tr w:rsidR="00012482" w:rsidRPr="005835F7" w14:paraId="51BF7849" w14:textId="77777777" w:rsidTr="005835F7">
        <w:tc>
          <w:tcPr>
            <w:tcW w:w="2708" w:type="dxa"/>
          </w:tcPr>
          <w:p w14:paraId="44E2EC8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Precision@200</w:t>
            </w:r>
          </w:p>
        </w:tc>
        <w:tc>
          <w:tcPr>
            <w:tcW w:w="1624" w:type="dxa"/>
          </w:tcPr>
          <w:p w14:paraId="5097C3F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0.070</w:t>
            </w:r>
          </w:p>
        </w:tc>
        <w:tc>
          <w:tcPr>
            <w:tcW w:w="2553" w:type="dxa"/>
          </w:tcPr>
          <w:p w14:paraId="6945AFE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0.035–0.115</w:t>
            </w:r>
          </w:p>
        </w:tc>
        <w:tc>
          <w:tcPr>
            <w:tcW w:w="2862" w:type="dxa"/>
          </w:tcPr>
          <w:p w14:paraId="317ADEB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200 highest-ranked sequences</w:t>
            </w:r>
          </w:p>
        </w:tc>
      </w:tr>
      <w:tr w:rsidR="00012482" w:rsidRPr="005835F7" w14:paraId="7C952A26" w14:textId="77777777" w:rsidTr="005835F7">
        <w:tc>
          <w:tcPr>
            <w:tcW w:w="2708" w:type="dxa"/>
          </w:tcPr>
          <w:p w14:paraId="397665E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Development prevalence</w:t>
            </w:r>
          </w:p>
        </w:tc>
        <w:tc>
          <w:tcPr>
            <w:tcW w:w="1624" w:type="dxa"/>
          </w:tcPr>
          <w:p w14:paraId="0E2F4F0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0.03556</w:t>
            </w:r>
          </w:p>
        </w:tc>
        <w:tc>
          <w:tcPr>
            <w:tcW w:w="2553" w:type="dxa"/>
          </w:tcPr>
          <w:p w14:paraId="47F723F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67 / 1,884</w:t>
            </w:r>
          </w:p>
        </w:tc>
        <w:tc>
          <w:tcPr>
            <w:tcW w:w="2862" w:type="dxa"/>
          </w:tcPr>
          <w:p w14:paraId="6F2BC0E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Rare outcome</w:t>
            </w:r>
          </w:p>
        </w:tc>
      </w:tr>
    </w:tbl>
    <w:p w14:paraId="017EDCEF" w14:textId="77777777" w:rsidR="00012482" w:rsidRPr="005835F7" w:rsidRDefault="00012482" w:rsidP="006E6660">
      <w:pPr>
        <w:spacing w:after="100"/>
        <w:rPr>
          <w:rFonts w:cs="Times New Roman"/>
          <w:color w:val="000000" w:themeColor="text1"/>
          <w:sz w:val="24"/>
          <w:szCs w:val="24"/>
        </w:rPr>
      </w:pPr>
    </w:p>
    <w:p w14:paraId="034D009C" w14:textId="77777777" w:rsidR="00847EAC" w:rsidRDefault="00847EAC">
      <w:pPr>
        <w:spacing w:after="100"/>
        <w:rPr>
          <w:rFonts w:cs="Times New Roman"/>
          <w:color w:val="000000" w:themeColor="text1"/>
          <w:sz w:val="24"/>
          <w:szCs w:val="24"/>
        </w:rPr>
      </w:pPr>
      <w:r w:rsidRPr="00847EAC">
        <w:rPr>
          <w:rFonts w:cs="Times New Roman"/>
          <w:color w:val="000000" w:themeColor="text1"/>
          <w:sz w:val="24"/>
          <w:szCs w:val="24"/>
        </w:rPr>
        <w:t>The archived probability mapping pipeline was compared to the saved pipeline: logits are truncated to ±30, transformed to probabilities through the sigmoid function, independently mapped for each seed through a regularized logistic regression (L-BFGS, C = 1, intercept included) with the raw probability as the sole input, and averaged across the seven probability maps. The intercept of 2.57119 and slope of 1.79530 obtained here are descriptive estimates from the development set and deviate significantly from the ideal intercept and slope of 0 and 1 respectively. This implementation check clears up the order of transformations but lacks a separate calibration check. The low Brier score is at least partially attributable to low prevalence, while the reference prediction employs retrospective prevalence figures.</w:t>
      </w:r>
    </w:p>
    <w:p w14:paraId="2DD1D1FA" w14:textId="77777777" w:rsidR="00847EAC" w:rsidRDefault="00847EAC" w:rsidP="00847EAC">
      <w:pPr>
        <w:keepNext/>
        <w:spacing w:after="100"/>
        <w:rPr>
          <w:rFonts w:cs="Times New Roman"/>
          <w:color w:val="000000" w:themeColor="text1"/>
          <w:sz w:val="24"/>
          <w:szCs w:val="24"/>
        </w:rPr>
      </w:pPr>
      <w:r w:rsidRPr="00847EAC">
        <w:rPr>
          <w:rFonts w:cs="Times New Roman"/>
          <w:color w:val="000000" w:themeColor="text1"/>
          <w:sz w:val="24"/>
          <w:szCs w:val="24"/>
        </w:rPr>
        <w:t>The probabilities had poor appearance for calibration, but the intercept and slope were different from the optimal values. The Brier score of the model 0.03406 is just 0.7% less than the reference 0.0343 which is a constant prevalence prediction, so there is no value of probabilistic prediction relative to the development prevalence prediction. Calibration properties in an independent sample have not been determined. AP and ROC-AUC metrics are considered rank-based, while the Brier score, reliability plot, intercept and slope are apparent development characteristics.</w:t>
      </w:r>
    </w:p>
    <w:p w14:paraId="58CC39CA" w14:textId="77777777" w:rsidR="00847EAC" w:rsidRDefault="00847EAC">
      <w:pPr>
        <w:spacing w:after="100"/>
        <w:rPr>
          <w:rFonts w:cs="Times New Roman"/>
          <w:color w:val="000000" w:themeColor="text1"/>
          <w:sz w:val="24"/>
          <w:szCs w:val="24"/>
        </w:rPr>
      </w:pPr>
    </w:p>
    <w:p w14:paraId="29EA30F8" w14:textId="17CCD01B" w:rsidR="00012482" w:rsidRPr="005835F7" w:rsidRDefault="00000000" w:rsidP="00847EAC">
      <w:pPr>
        <w:keepNext/>
        <w:spacing w:after="100"/>
        <w:jc w:val="center"/>
        <w:rPr>
          <w:rFonts w:cs="Times New Roman"/>
          <w:color w:val="000000" w:themeColor="text1"/>
          <w:sz w:val="24"/>
          <w:szCs w:val="24"/>
        </w:rPr>
      </w:pPr>
      <w:r w:rsidRPr="005835F7">
        <w:rPr>
          <w:rFonts w:cs="Times New Roman"/>
          <w:noProof/>
          <w:color w:val="000000" w:themeColor="text1"/>
          <w:sz w:val="24"/>
          <w:szCs w:val="24"/>
        </w:rPr>
        <w:lastRenderedPageBreak/>
        <w:drawing>
          <wp:inline distT="0" distB="0" distL="0" distR="0" wp14:anchorId="0679BE0E" wp14:editId="2AA713DA">
            <wp:extent cx="5057029" cy="37184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validation_reliability.png"/>
                    <pic:cNvPicPr/>
                  </pic:nvPicPr>
                  <pic:blipFill>
                    <a:blip r:embed="rId32"/>
                    <a:stretch>
                      <a:fillRect/>
                    </a:stretch>
                  </pic:blipFill>
                  <pic:spPr>
                    <a:xfrm>
                      <a:off x="0" y="0"/>
                      <a:ext cx="5062758" cy="3722616"/>
                    </a:xfrm>
                    <a:prstGeom prst="rect">
                      <a:avLst/>
                    </a:prstGeom>
                  </pic:spPr>
                </pic:pic>
              </a:graphicData>
            </a:graphic>
          </wp:inline>
        </w:drawing>
      </w:r>
    </w:p>
    <w:p w14:paraId="18655E35"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Figure 10. Apparent development-cohort reliability diagram from probability-mapped ensemble scores using ten equal-frequency bins.</w:t>
      </w:r>
    </w:p>
    <w:p w14:paraId="5842898D" w14:textId="77777777" w:rsidR="005835F7" w:rsidRDefault="00000000" w:rsidP="005835F7">
      <w:pPr>
        <w:keepNext/>
        <w:spacing w:after="100"/>
        <w:rPr>
          <w:rFonts w:cs="Times New Roman"/>
          <w:color w:val="000000" w:themeColor="text1"/>
          <w:sz w:val="24"/>
          <w:szCs w:val="24"/>
        </w:rPr>
      </w:pPr>
      <w:r w:rsidRPr="005835F7">
        <w:rPr>
          <w:rFonts w:cs="Times New Roman"/>
          <w:color w:val="000000" w:themeColor="text1"/>
          <w:sz w:val="24"/>
          <w:szCs w:val="24"/>
        </w:rPr>
        <w:t xml:space="preserve">Figure 10 compares mean mapped scores with observed outcome rates and </w:t>
      </w:r>
      <w:proofErr w:type="gramStart"/>
      <w:r w:rsidRPr="005835F7">
        <w:rPr>
          <w:rFonts w:cs="Times New Roman"/>
          <w:color w:val="000000" w:themeColor="text1"/>
          <w:sz w:val="24"/>
          <w:szCs w:val="24"/>
        </w:rPr>
        <w:t>labels</w:t>
      </w:r>
      <w:proofErr w:type="gramEnd"/>
      <w:r w:rsidRPr="005835F7">
        <w:rPr>
          <w:rFonts w:cs="Times New Roman"/>
          <w:color w:val="000000" w:themeColor="text1"/>
          <w:sz w:val="24"/>
          <w:szCs w:val="24"/>
        </w:rPr>
        <w:t xml:space="preserve"> each bin by sequence count. Departures from the diagonal, together with the calibration intercept of 2.57119 and slope of 1.79530, show that the score scale should not be interpreted as independently calibrated absolute risk. Because the logistic mappings were fitted on this same cohort, the figure represents apparent in-sample </w:t>
      </w:r>
      <w:proofErr w:type="spellStart"/>
      <w:r w:rsidRPr="005835F7">
        <w:rPr>
          <w:rFonts w:cs="Times New Roman"/>
          <w:color w:val="000000" w:themeColor="text1"/>
          <w:sz w:val="24"/>
          <w:szCs w:val="24"/>
        </w:rPr>
        <w:t>behaviour</w:t>
      </w:r>
      <w:proofErr w:type="spellEnd"/>
      <w:r w:rsidRPr="005835F7">
        <w:rPr>
          <w:rFonts w:cs="Times New Roman"/>
          <w:color w:val="000000" w:themeColor="text1"/>
          <w:sz w:val="24"/>
          <w:szCs w:val="24"/>
        </w:rPr>
        <w:t>.</w:t>
      </w:r>
    </w:p>
    <w:p w14:paraId="22A1123C" w14:textId="638AA0AA" w:rsidR="00E8555E" w:rsidRPr="005835F7" w:rsidRDefault="00000000" w:rsidP="005835F7">
      <w:pPr>
        <w:keepNext/>
        <w:spacing w:after="100"/>
        <w:rPr>
          <w:rFonts w:cs="Times New Roman"/>
          <w:b/>
          <w:bCs/>
          <w:color w:val="000000" w:themeColor="text1"/>
          <w:sz w:val="24"/>
          <w:szCs w:val="24"/>
        </w:rPr>
      </w:pPr>
      <w:r w:rsidRPr="005835F7">
        <w:rPr>
          <w:rFonts w:cs="Times New Roman"/>
          <w:b/>
          <w:bCs/>
          <w:color w:val="000000" w:themeColor="text1"/>
          <w:sz w:val="24"/>
          <w:szCs w:val="24"/>
        </w:rPr>
        <w:t>4.8 Exploratory Chronological Later-Cohort Findings</w:t>
      </w:r>
    </w:p>
    <w:p w14:paraId="79098FFF" w14:textId="77777777" w:rsidR="00847EAC" w:rsidRDefault="00847EAC" w:rsidP="006E6660">
      <w:pPr>
        <w:pStyle w:val="Caption"/>
        <w:spacing w:line="276" w:lineRule="auto"/>
        <w:rPr>
          <w:rFonts w:cs="Times New Roman"/>
          <w:b w:val="0"/>
          <w:bCs w:val="0"/>
          <w:color w:val="000000" w:themeColor="text1"/>
          <w:sz w:val="24"/>
          <w:szCs w:val="24"/>
        </w:rPr>
      </w:pPr>
      <w:r w:rsidRPr="00847EAC">
        <w:rPr>
          <w:rFonts w:cs="Times New Roman"/>
          <w:b w:val="0"/>
          <w:bCs w:val="0"/>
          <w:color w:val="000000" w:themeColor="text1"/>
          <w:sz w:val="24"/>
          <w:szCs w:val="24"/>
        </w:rPr>
        <w:t>The archived TECR-Net experiment had a follow-up cohort, which spanned the feature years 2022 to 2024. This comprised 2,196 sequences on 876 platforms, of which 94 had recorded-INC results that were positive. The computed values of ensemble metrics were AP = 0.10318, ROC-AUC = 0.65592, precision = 0.12583, recall = 0.20213, F1 = 0.15510, and Brier score = 0.04068. Since this particular cohort was investigated multiple times during model development, it cannot be considered an independent verification cohort. Hence, there is no external validation of this model either.</w:t>
      </w:r>
    </w:p>
    <w:p w14:paraId="37F924D0" w14:textId="588ECADE" w:rsidR="00E8555E" w:rsidRPr="005835F7" w:rsidRDefault="00000000" w:rsidP="006E6660">
      <w:pPr>
        <w:pStyle w:val="Caption"/>
        <w:spacing w:line="276" w:lineRule="auto"/>
        <w:rPr>
          <w:rFonts w:cs="Times New Roman"/>
          <w:color w:val="000000" w:themeColor="text1"/>
          <w:sz w:val="24"/>
          <w:szCs w:val="24"/>
        </w:rPr>
      </w:pPr>
      <w:r w:rsidRPr="005835F7">
        <w:rPr>
          <w:rFonts w:cs="Times New Roman"/>
          <w:color w:val="000000" w:themeColor="text1"/>
          <w:sz w:val="24"/>
          <w:szCs w:val="24"/>
        </w:rPr>
        <w:t>Table 13. Exploratory probability-mapped results for the repeatedly inspected 2022–2024 cohort</w:t>
      </w:r>
    </w:p>
    <w:tbl>
      <w:tblPr>
        <w:tblStyle w:val="TableGrid"/>
        <w:tblW w:w="0" w:type="auto"/>
        <w:tblLook w:val="04A0" w:firstRow="1" w:lastRow="0" w:firstColumn="1" w:lastColumn="0" w:noHBand="0" w:noVBand="1"/>
      </w:tblPr>
      <w:tblGrid>
        <w:gridCol w:w="6108"/>
        <w:gridCol w:w="3665"/>
      </w:tblGrid>
      <w:tr w:rsidR="00E8555E" w:rsidRPr="005835F7" w14:paraId="5FC78D62" w14:textId="77777777" w:rsidTr="005835F7">
        <w:trPr>
          <w:trHeight w:val="270"/>
        </w:trPr>
        <w:tc>
          <w:tcPr>
            <w:tcW w:w="6108" w:type="dxa"/>
          </w:tcPr>
          <w:p w14:paraId="6C060265" w14:textId="77777777" w:rsidR="00E8555E"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Metric</w:t>
            </w:r>
          </w:p>
        </w:tc>
        <w:tc>
          <w:tcPr>
            <w:tcW w:w="3665" w:type="dxa"/>
          </w:tcPr>
          <w:p w14:paraId="3D96DDCB" w14:textId="77777777" w:rsidR="00E8555E"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Exploratory result</w:t>
            </w:r>
          </w:p>
        </w:tc>
      </w:tr>
      <w:tr w:rsidR="00E8555E" w:rsidRPr="005835F7" w14:paraId="75553148" w14:textId="77777777" w:rsidTr="005835F7">
        <w:trPr>
          <w:trHeight w:val="270"/>
        </w:trPr>
        <w:tc>
          <w:tcPr>
            <w:tcW w:w="6108" w:type="dxa"/>
          </w:tcPr>
          <w:p w14:paraId="0587E43D"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Sequences</w:t>
            </w:r>
          </w:p>
        </w:tc>
        <w:tc>
          <w:tcPr>
            <w:tcW w:w="3665" w:type="dxa"/>
          </w:tcPr>
          <w:p w14:paraId="494BA065"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2,196</w:t>
            </w:r>
          </w:p>
        </w:tc>
      </w:tr>
      <w:tr w:rsidR="00E8555E" w:rsidRPr="005835F7" w14:paraId="14CEB24C" w14:textId="77777777" w:rsidTr="005835F7">
        <w:trPr>
          <w:trHeight w:val="284"/>
        </w:trPr>
        <w:tc>
          <w:tcPr>
            <w:tcW w:w="6108" w:type="dxa"/>
          </w:tcPr>
          <w:p w14:paraId="60509B41"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Platforms</w:t>
            </w:r>
          </w:p>
        </w:tc>
        <w:tc>
          <w:tcPr>
            <w:tcW w:w="3665" w:type="dxa"/>
          </w:tcPr>
          <w:p w14:paraId="0F60EF72"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876</w:t>
            </w:r>
          </w:p>
        </w:tc>
      </w:tr>
      <w:tr w:rsidR="00E8555E" w:rsidRPr="005835F7" w14:paraId="2F0E13AF" w14:textId="77777777" w:rsidTr="005835F7">
        <w:trPr>
          <w:trHeight w:val="270"/>
        </w:trPr>
        <w:tc>
          <w:tcPr>
            <w:tcW w:w="6108" w:type="dxa"/>
          </w:tcPr>
          <w:p w14:paraId="589AC4D5"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Positive outcomes</w:t>
            </w:r>
          </w:p>
        </w:tc>
        <w:tc>
          <w:tcPr>
            <w:tcW w:w="3665" w:type="dxa"/>
          </w:tcPr>
          <w:p w14:paraId="447DF433"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94</w:t>
            </w:r>
          </w:p>
        </w:tc>
      </w:tr>
      <w:tr w:rsidR="00E8555E" w:rsidRPr="005835F7" w14:paraId="0159EFB3" w14:textId="77777777" w:rsidTr="005835F7">
        <w:trPr>
          <w:trHeight w:val="270"/>
        </w:trPr>
        <w:tc>
          <w:tcPr>
            <w:tcW w:w="6108" w:type="dxa"/>
          </w:tcPr>
          <w:p w14:paraId="4A15DB2B"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Prevalence</w:t>
            </w:r>
          </w:p>
        </w:tc>
        <w:tc>
          <w:tcPr>
            <w:tcW w:w="3665" w:type="dxa"/>
          </w:tcPr>
          <w:p w14:paraId="4385DC1C"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0.04281</w:t>
            </w:r>
          </w:p>
        </w:tc>
      </w:tr>
      <w:tr w:rsidR="00E8555E" w:rsidRPr="005835F7" w14:paraId="4713B0B1" w14:textId="77777777" w:rsidTr="005835F7">
        <w:trPr>
          <w:trHeight w:val="270"/>
        </w:trPr>
        <w:tc>
          <w:tcPr>
            <w:tcW w:w="6108" w:type="dxa"/>
          </w:tcPr>
          <w:p w14:paraId="724D4B1D"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AP</w:t>
            </w:r>
          </w:p>
        </w:tc>
        <w:tc>
          <w:tcPr>
            <w:tcW w:w="3665" w:type="dxa"/>
          </w:tcPr>
          <w:p w14:paraId="1A47945F"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0.10318</w:t>
            </w:r>
          </w:p>
        </w:tc>
      </w:tr>
      <w:tr w:rsidR="00E8555E" w:rsidRPr="005835F7" w14:paraId="42969E9F" w14:textId="77777777" w:rsidTr="005835F7">
        <w:trPr>
          <w:trHeight w:val="270"/>
        </w:trPr>
        <w:tc>
          <w:tcPr>
            <w:tcW w:w="6108" w:type="dxa"/>
          </w:tcPr>
          <w:p w14:paraId="596E4845"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ROC-AUC</w:t>
            </w:r>
          </w:p>
        </w:tc>
        <w:tc>
          <w:tcPr>
            <w:tcW w:w="3665" w:type="dxa"/>
          </w:tcPr>
          <w:p w14:paraId="76D77453"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0.65592</w:t>
            </w:r>
          </w:p>
        </w:tc>
      </w:tr>
      <w:tr w:rsidR="00E8555E" w:rsidRPr="005835F7" w14:paraId="15DD2529" w14:textId="77777777" w:rsidTr="005835F7">
        <w:trPr>
          <w:trHeight w:val="284"/>
        </w:trPr>
        <w:tc>
          <w:tcPr>
            <w:tcW w:w="6108" w:type="dxa"/>
          </w:tcPr>
          <w:p w14:paraId="27500704"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w:t>
            </w:r>
          </w:p>
        </w:tc>
        <w:tc>
          <w:tcPr>
            <w:tcW w:w="3665" w:type="dxa"/>
          </w:tcPr>
          <w:p w14:paraId="4429E258"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0.12583</w:t>
            </w:r>
          </w:p>
        </w:tc>
      </w:tr>
      <w:tr w:rsidR="00E8555E" w:rsidRPr="005835F7" w14:paraId="7A734A4A" w14:textId="77777777" w:rsidTr="005835F7">
        <w:trPr>
          <w:trHeight w:val="270"/>
        </w:trPr>
        <w:tc>
          <w:tcPr>
            <w:tcW w:w="6108" w:type="dxa"/>
          </w:tcPr>
          <w:p w14:paraId="5FE74B8B"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Recall</w:t>
            </w:r>
          </w:p>
        </w:tc>
        <w:tc>
          <w:tcPr>
            <w:tcW w:w="3665" w:type="dxa"/>
          </w:tcPr>
          <w:p w14:paraId="4749EF6F"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0.20213</w:t>
            </w:r>
          </w:p>
        </w:tc>
      </w:tr>
      <w:tr w:rsidR="00E8555E" w:rsidRPr="005835F7" w14:paraId="31871A1D" w14:textId="77777777" w:rsidTr="005835F7">
        <w:trPr>
          <w:trHeight w:val="270"/>
        </w:trPr>
        <w:tc>
          <w:tcPr>
            <w:tcW w:w="6108" w:type="dxa"/>
          </w:tcPr>
          <w:p w14:paraId="33F5F856"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F1</w:t>
            </w:r>
          </w:p>
        </w:tc>
        <w:tc>
          <w:tcPr>
            <w:tcW w:w="3665" w:type="dxa"/>
          </w:tcPr>
          <w:p w14:paraId="7E44D407"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0.15510</w:t>
            </w:r>
          </w:p>
        </w:tc>
      </w:tr>
      <w:tr w:rsidR="00E8555E" w:rsidRPr="005835F7" w14:paraId="3095F0AD" w14:textId="77777777" w:rsidTr="005835F7">
        <w:trPr>
          <w:trHeight w:val="270"/>
        </w:trPr>
        <w:tc>
          <w:tcPr>
            <w:tcW w:w="6108" w:type="dxa"/>
          </w:tcPr>
          <w:p w14:paraId="270190E5"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Brier score</w:t>
            </w:r>
          </w:p>
        </w:tc>
        <w:tc>
          <w:tcPr>
            <w:tcW w:w="3665" w:type="dxa"/>
          </w:tcPr>
          <w:p w14:paraId="02206A2D"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0.04068</w:t>
            </w:r>
          </w:p>
        </w:tc>
      </w:tr>
      <w:tr w:rsidR="00E8555E" w:rsidRPr="005835F7" w14:paraId="436E2681" w14:textId="77777777" w:rsidTr="005835F7">
        <w:trPr>
          <w:trHeight w:val="270"/>
        </w:trPr>
        <w:tc>
          <w:tcPr>
            <w:tcW w:w="6108" w:type="dxa"/>
          </w:tcPr>
          <w:p w14:paraId="033EFCC3"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ECE (recalculated)</w:t>
            </w:r>
          </w:p>
        </w:tc>
        <w:tc>
          <w:tcPr>
            <w:tcW w:w="3665" w:type="dxa"/>
          </w:tcPr>
          <w:p w14:paraId="22737C24"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0.018004</w:t>
            </w:r>
          </w:p>
        </w:tc>
      </w:tr>
      <w:tr w:rsidR="00E8555E" w:rsidRPr="005835F7" w14:paraId="111E043B" w14:textId="77777777" w:rsidTr="005835F7">
        <w:trPr>
          <w:trHeight w:val="270"/>
        </w:trPr>
        <w:tc>
          <w:tcPr>
            <w:tcW w:w="6108" w:type="dxa"/>
          </w:tcPr>
          <w:p w14:paraId="73C800E5"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MCE</w:t>
            </w:r>
          </w:p>
        </w:tc>
        <w:tc>
          <w:tcPr>
            <w:tcW w:w="3665" w:type="dxa"/>
          </w:tcPr>
          <w:p w14:paraId="5AD74FD2"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0.067951</w:t>
            </w:r>
          </w:p>
        </w:tc>
      </w:tr>
    </w:tbl>
    <w:p w14:paraId="47951636" w14:textId="77777777" w:rsidR="00E8555E"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rPr>
        <w:lastRenderedPageBreak/>
        <w:t>Table 13 shows slightly higher discrimination than in the development cohort, but the difference must not be interpreted as prospective improvement because the later cohort influenced subsequent analytical choices. The recalculated calibration errors are non-zero, and no operational claim follows from these exploratory values. A new prospective BSEE release or compatible external cohort remains necessary for confirmatory evaluation.</w:t>
      </w:r>
    </w:p>
    <w:p w14:paraId="3D81FA19" w14:textId="77777777" w:rsidR="007B314D" w:rsidRPr="005835F7" w:rsidRDefault="00000000">
      <w:pPr>
        <w:spacing w:after="100"/>
        <w:rPr>
          <w:rFonts w:cs="Times New Roman"/>
          <w:color w:val="000000" w:themeColor="text1"/>
          <w:sz w:val="24"/>
          <w:szCs w:val="24"/>
        </w:rPr>
      </w:pPr>
      <w:r w:rsidRPr="005835F7">
        <w:rPr>
          <w:rFonts w:cs="Times New Roman"/>
          <w:color w:val="000000" w:themeColor="text1"/>
          <w:sz w:val="24"/>
          <w:szCs w:val="24"/>
        </w:rPr>
        <w:t>Feature year 2024 has its target in 2025, and completeness of the 2025 outcome records could not be verified; later-cohort estimates that include feature year 2024 should therefore be interpreted with caution.</w:t>
      </w:r>
    </w:p>
    <w:p w14:paraId="69213C03" w14:textId="77777777" w:rsidR="00012482" w:rsidRPr="005835F7" w:rsidRDefault="00000000" w:rsidP="006E6660">
      <w:pPr>
        <w:pStyle w:val="Heading1"/>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5. Discussion</w:t>
      </w:r>
    </w:p>
    <w:p w14:paraId="276F2542" w14:textId="684B6462" w:rsidR="00847EAC" w:rsidRDefault="00847EAC" w:rsidP="006E6660">
      <w:pPr>
        <w:spacing w:after="100"/>
        <w:rPr>
          <w:rFonts w:cs="Times New Roman"/>
          <w:color w:val="000000" w:themeColor="text1"/>
          <w:sz w:val="24"/>
          <w:szCs w:val="24"/>
        </w:rPr>
      </w:pPr>
      <w:r w:rsidRPr="00847EAC">
        <w:rPr>
          <w:rFonts w:cs="Times New Roman"/>
          <w:color w:val="000000" w:themeColor="text1"/>
          <w:sz w:val="24"/>
          <w:szCs w:val="24"/>
        </w:rPr>
        <w:t xml:space="preserve">The results of the archived TECR-Net analysis revealed poor discrimination of development-stage ranks: AP score was 0.07518, while ROC-AUC score was 0.63855 when testing the adaptively re-used 2020-2021 cohort. When taking into account the results of the threshold value of the ensemble, 54 out of 67 positives (80.6%), and 134 out of 147 suspicious sequences (91.2%) were negative. Four out of 50 top ranked sequences proved to be positive. While such results might be of interest in a methodological study of ranking, no efficient inspection-allocation rules are </w:t>
      </w:r>
      <w:proofErr w:type="spellStart"/>
      <w:proofErr w:type="gramStart"/>
      <w:r w:rsidRPr="00847EAC">
        <w:rPr>
          <w:rFonts w:cs="Times New Roman"/>
          <w:color w:val="000000" w:themeColor="text1"/>
          <w:sz w:val="24"/>
          <w:szCs w:val="24"/>
        </w:rPr>
        <w:t>provided.The</w:t>
      </w:r>
      <w:proofErr w:type="spellEnd"/>
      <w:proofErr w:type="gramEnd"/>
      <w:r w:rsidRPr="00847EAC">
        <w:rPr>
          <w:rFonts w:cs="Times New Roman"/>
          <w:color w:val="000000" w:themeColor="text1"/>
          <w:sz w:val="24"/>
          <w:szCs w:val="24"/>
        </w:rPr>
        <w:t xml:space="preserve"> archived symmetric co-occurrence benchmark with post-hoc evaluation ranks TECR-Net as first on AP (0.05897), but the gap with </w:t>
      </w:r>
      <w:proofErr w:type="spellStart"/>
      <w:r w:rsidRPr="00847EAC">
        <w:rPr>
          <w:rFonts w:cs="Times New Roman"/>
          <w:color w:val="000000" w:themeColor="text1"/>
          <w:sz w:val="24"/>
          <w:szCs w:val="24"/>
        </w:rPr>
        <w:t>CatBoost</w:t>
      </w:r>
      <w:proofErr w:type="spellEnd"/>
      <w:r w:rsidRPr="00847EAC">
        <w:rPr>
          <w:rFonts w:cs="Times New Roman"/>
          <w:color w:val="000000" w:themeColor="text1"/>
          <w:sz w:val="24"/>
          <w:szCs w:val="24"/>
        </w:rPr>
        <w:t xml:space="preserve"> is 0.00744 and the cohort is not untainted. The benchmark improves reproducibility by including persistence, logistic regression, and vanilla GRU, all under the same protocol, and the corrected reconstruction does not yet have an equivalent run with corrected data. Architectural necessity is likewise only partially demonstrated, since removal of the GRU resulted in the largest drop in archived AP and removal of learned-query attention pooling resulted in a change of only 0.00024 to AP.</w:t>
      </w:r>
    </w:p>
    <w:p w14:paraId="36D8376A" w14:textId="7A2D484D" w:rsidR="00847EAC" w:rsidRDefault="00847EAC" w:rsidP="006E6660">
      <w:pPr>
        <w:spacing w:after="100"/>
        <w:rPr>
          <w:rFonts w:cs="Times New Roman"/>
          <w:color w:val="000000" w:themeColor="text1"/>
          <w:sz w:val="24"/>
          <w:szCs w:val="24"/>
        </w:rPr>
      </w:pPr>
      <w:r w:rsidRPr="00847EAC">
        <w:rPr>
          <w:rFonts w:cs="Times New Roman"/>
          <w:color w:val="000000" w:themeColor="text1"/>
          <w:sz w:val="24"/>
          <w:szCs w:val="24"/>
        </w:rPr>
        <w:t>The main interpretation is intentionally restricted. The incidence of an INC is an administrative enforcement result witnessed via inspection, reporting, and adjudication procedures. It is not an indication of the presence or absence of violations, the safety or fitness for production of the platform. The reconstructed dataset adds greatly to the reliability of cohort selection by eliminating the continuity of future production and by fixing the date parse, but it does not provide any proof of historical as-of accuracy, comprehensive coverage of negative results, or calibration.</w:t>
      </w:r>
    </w:p>
    <w:p w14:paraId="66F46518" w14:textId="77777777" w:rsidR="00012482" w:rsidRPr="005835F7" w:rsidRDefault="00012482" w:rsidP="006E6660">
      <w:pPr>
        <w:spacing w:after="100"/>
        <w:rPr>
          <w:rFonts w:cs="Times New Roman"/>
          <w:color w:val="000000" w:themeColor="text1"/>
          <w:sz w:val="24"/>
          <w:szCs w:val="24"/>
        </w:rPr>
      </w:pPr>
    </w:p>
    <w:p w14:paraId="48D743DA" w14:textId="77777777" w:rsidR="00012482" w:rsidRDefault="00000000" w:rsidP="006E6660">
      <w:pPr>
        <w:pStyle w:val="Heading1"/>
        <w:rPr>
          <w:rFonts w:ascii="Times New Roman" w:eastAsia="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highlight w:val="yellow"/>
        </w:rPr>
        <w:t>6. Limitations</w:t>
      </w:r>
    </w:p>
    <w:p w14:paraId="130828C7" w14:textId="633B4C8E" w:rsidR="005D4D06" w:rsidRPr="005D4D06" w:rsidRDefault="00847EAC" w:rsidP="005D4D06">
      <w:pPr>
        <w:pStyle w:val="ListParagraph"/>
        <w:numPr>
          <w:ilvl w:val="0"/>
          <w:numId w:val="17"/>
        </w:numPr>
        <w:rPr>
          <w:sz w:val="24"/>
          <w:szCs w:val="24"/>
          <w:lang w:val="en-IN"/>
        </w:rPr>
      </w:pPr>
      <w:r w:rsidRPr="00847EAC">
        <w:rPr>
          <w:sz w:val="24"/>
          <w:szCs w:val="24"/>
          <w:lang w:val="en-IN"/>
        </w:rPr>
        <w:t>Cohort Construction, Data Provenance, and Historical Eligibility: Even though the cohort construction increased the consistency of the data, resolved date parsing issues with INC dates, and dropped the necessity of production continuity the following year, there are still some uncertainties in terms of methodology. The original criteria were no longer available to be reconstructed, and historical eligibility for the regulation has not been confirmed independently for each platform year. Also, many of the structural and administrative variables come from subsequent data releases, whose exact dates and time of release are unknown.</w:t>
      </w:r>
    </w:p>
    <w:p w14:paraId="15D658C7" w14:textId="54E2E8A5" w:rsidR="00847EAC" w:rsidRDefault="00847EAC" w:rsidP="005D4D06">
      <w:pPr>
        <w:pStyle w:val="ListParagraph"/>
        <w:numPr>
          <w:ilvl w:val="0"/>
          <w:numId w:val="17"/>
        </w:numPr>
        <w:rPr>
          <w:sz w:val="24"/>
          <w:szCs w:val="24"/>
          <w:lang w:val="en-IN"/>
        </w:rPr>
      </w:pPr>
      <w:r w:rsidRPr="00847EAC">
        <w:rPr>
          <w:sz w:val="24"/>
          <w:szCs w:val="24"/>
          <w:lang w:val="en-IN"/>
        </w:rPr>
        <w:t>Comparison Between Models and Architectural Validation: The researchers used seven training seeds to test the performance of TECR-Net through comparisons of symmetric baselines and component removals. But the comparisons have been made mainly on the archived development set and cannot be considered as independent predictors of superiority. Baseline comparisons, equally tuned architectural ablation tests and temporal control experiments are still lacking. Moreover, the lack of role of cross-modal attention and possible dependence among the platform, operator and lease datasets add to these limitations.</w:t>
      </w:r>
    </w:p>
    <w:p w14:paraId="4B9641C2" w14:textId="77777777" w:rsidR="003B2D0D" w:rsidRDefault="003B2D0D" w:rsidP="005D4D06">
      <w:pPr>
        <w:pStyle w:val="ListParagraph"/>
        <w:numPr>
          <w:ilvl w:val="0"/>
          <w:numId w:val="17"/>
        </w:numPr>
        <w:rPr>
          <w:sz w:val="24"/>
          <w:szCs w:val="24"/>
          <w:lang w:val="en-IN"/>
        </w:rPr>
      </w:pPr>
      <w:r w:rsidRPr="003B2D0D">
        <w:rPr>
          <w:sz w:val="24"/>
          <w:szCs w:val="24"/>
          <w:lang w:val="en-IN"/>
        </w:rPr>
        <w:t xml:space="preserve">Evaluation and Outcome Validity: Independent evaluation is not possible due to the use of the development cohorts to select the model and the </w:t>
      </w:r>
      <w:proofErr w:type="spellStart"/>
      <w:r w:rsidRPr="003B2D0D">
        <w:rPr>
          <w:sz w:val="24"/>
          <w:szCs w:val="24"/>
          <w:lang w:val="en-IN"/>
        </w:rPr>
        <w:t>reevaluation</w:t>
      </w:r>
      <w:proofErr w:type="spellEnd"/>
      <w:r w:rsidRPr="003B2D0D">
        <w:rPr>
          <w:sz w:val="24"/>
          <w:szCs w:val="24"/>
          <w:lang w:val="en-IN"/>
        </w:rPr>
        <w:t xml:space="preserve"> of the historical cohorts. In addition, the target for prediction is Incidents of Non-Compliance that have been documented as opposed to the actual regulatory violation, and missing inspections and reporting information can impact the </w:t>
      </w:r>
      <w:proofErr w:type="spellStart"/>
      <w:r w:rsidRPr="003B2D0D">
        <w:rPr>
          <w:sz w:val="24"/>
          <w:szCs w:val="24"/>
          <w:lang w:val="en-IN"/>
        </w:rPr>
        <w:t>labeling</w:t>
      </w:r>
      <w:proofErr w:type="spellEnd"/>
      <w:r w:rsidRPr="003B2D0D">
        <w:rPr>
          <w:sz w:val="24"/>
          <w:szCs w:val="24"/>
          <w:lang w:val="en-IN"/>
        </w:rPr>
        <w:t xml:space="preserve"> process. An evaluation methodology has been developed for the future, although there has been no independent evaluation of an untapped cohort with adequate maturity of the </w:t>
      </w:r>
      <w:proofErr w:type="spellStart"/>
      <w:r w:rsidRPr="003B2D0D">
        <w:rPr>
          <w:sz w:val="24"/>
          <w:szCs w:val="24"/>
          <w:lang w:val="en-IN"/>
        </w:rPr>
        <w:t>outcome.</w:t>
      </w:r>
      <w:proofErr w:type="spellEnd"/>
    </w:p>
    <w:p w14:paraId="08CF4A63" w14:textId="58C34E09" w:rsidR="003B2D0D" w:rsidRDefault="003B2D0D" w:rsidP="005D4D06">
      <w:pPr>
        <w:pStyle w:val="ListParagraph"/>
        <w:numPr>
          <w:ilvl w:val="0"/>
          <w:numId w:val="17"/>
        </w:numPr>
        <w:rPr>
          <w:sz w:val="24"/>
          <w:szCs w:val="24"/>
          <w:lang w:val="en-IN"/>
        </w:rPr>
      </w:pPr>
      <w:r w:rsidRPr="003B2D0D">
        <w:rPr>
          <w:sz w:val="24"/>
          <w:szCs w:val="24"/>
          <w:lang w:val="en-IN"/>
        </w:rPr>
        <w:lastRenderedPageBreak/>
        <w:t xml:space="preserve">Probability Calibration, Interface Uniformity and </w:t>
      </w:r>
      <w:proofErr w:type="gramStart"/>
      <w:r w:rsidRPr="003B2D0D">
        <w:rPr>
          <w:sz w:val="24"/>
          <w:szCs w:val="24"/>
          <w:lang w:val="en-IN"/>
        </w:rPr>
        <w:t>Reproducibility :</w:t>
      </w:r>
      <w:proofErr w:type="gramEnd"/>
      <w:r w:rsidRPr="003B2D0D">
        <w:rPr>
          <w:sz w:val="24"/>
          <w:szCs w:val="24"/>
          <w:lang w:val="en-IN"/>
        </w:rPr>
        <w:t xml:space="preserve"> The probability calibration and operating threshold of the original were determined by development observations, hindering any independent assessment of calibration. While the modified analysis process allowed separating probability calibration from threshold selection and had previously shown perfect replaying of predictions inside the system, the artifacts of the corrected model, including all checkpoints, pre-processing objects, calibrator, and threshold object, were not saved. The current screenshots of the interface were not independently tested for the frozen model.</w:t>
      </w:r>
    </w:p>
    <w:p w14:paraId="03A6FF84" w14:textId="77777777" w:rsidR="005D4D06" w:rsidRPr="005D4D06" w:rsidRDefault="005D4D06" w:rsidP="005D4D06"/>
    <w:p w14:paraId="60D98EAB" w14:textId="77777777" w:rsidR="00012482" w:rsidRPr="005835F7" w:rsidRDefault="00000000" w:rsidP="006E6660">
      <w:pPr>
        <w:pStyle w:val="Heading1"/>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highlight w:val="yellow"/>
        </w:rPr>
        <w:t>7. Conclusion</w:t>
      </w:r>
    </w:p>
    <w:p w14:paraId="35941800" w14:textId="77777777" w:rsidR="003B2D0D" w:rsidRDefault="003B2D0D" w:rsidP="003B2D0D">
      <w:pPr>
        <w:pStyle w:val="Heading1"/>
        <w:rPr>
          <w:rFonts w:ascii="Times New Roman" w:hAnsi="Times New Roman" w:cs="Times New Roman"/>
          <w:b w:val="0"/>
          <w:bCs w:val="0"/>
          <w:color w:val="000000" w:themeColor="text1"/>
          <w:sz w:val="24"/>
          <w:szCs w:val="24"/>
          <w:lang w:val="en-IN"/>
        </w:rPr>
      </w:pPr>
      <w:r w:rsidRPr="003B2D0D">
        <w:rPr>
          <w:rFonts w:ascii="Times New Roman" w:hAnsi="Times New Roman" w:cs="Times New Roman"/>
          <w:b w:val="0"/>
          <w:bCs w:val="0"/>
          <w:color w:val="000000" w:themeColor="text1"/>
          <w:sz w:val="24"/>
          <w:szCs w:val="24"/>
          <w:lang w:val="en-IN"/>
        </w:rPr>
        <w:t>In this study, TECR-Net was formulated as a retrospective approach to the ranking of next year's BSEE Incident of Non-Compliance recorded events using the exact history of three-year platforms. The probability-mapped ensemble trained on the archive obtained an apparent development AP of 0.07518 and ROC-AUC of 0.63855, while the symmetric eight-model comparison resulted in AP of 0.05897 and ROC-AUC of 0.64408 under a common development protocol. The corrected cohort construction has resolved issues of mixed-format INC dating and eliminated the need for the future-year production continuity, but the problems of predictor availability in the historical data, completeness of negative outcomes, comparative evaluation of corrected data, and independent validation of mature outcomes remain open. Thus, the main contribution here is a transparent and verifiable framework for retrospective modelling of administrative outcomes.</w:t>
      </w:r>
    </w:p>
    <w:p w14:paraId="30B59598" w14:textId="41C9D90B" w:rsidR="003B2D0D" w:rsidRDefault="003B2D0D" w:rsidP="003B2D0D">
      <w:pPr>
        <w:pStyle w:val="Heading1"/>
        <w:rPr>
          <w:rFonts w:ascii="Times New Roman" w:hAnsi="Times New Roman" w:cs="Times New Roman"/>
          <w:b w:val="0"/>
          <w:bCs w:val="0"/>
          <w:color w:val="000000" w:themeColor="text1"/>
          <w:sz w:val="24"/>
          <w:szCs w:val="24"/>
          <w:lang w:val="en-IN"/>
        </w:rPr>
      </w:pPr>
      <w:r w:rsidRPr="003B2D0D">
        <w:t xml:space="preserve"> </w:t>
      </w:r>
      <w:r w:rsidRPr="003B2D0D">
        <w:rPr>
          <w:rFonts w:ascii="Times New Roman" w:hAnsi="Times New Roman" w:cs="Times New Roman"/>
          <w:b w:val="0"/>
          <w:bCs w:val="0"/>
          <w:color w:val="000000" w:themeColor="text1"/>
          <w:sz w:val="24"/>
          <w:szCs w:val="24"/>
          <w:lang w:val="en-IN"/>
        </w:rPr>
        <w:t xml:space="preserve">Availability of Data and </w:t>
      </w:r>
      <w:hyperlink r:id="rId33" w:history="1">
        <w:r w:rsidRPr="003B2D0D">
          <w:rPr>
            <w:rStyle w:val="Hyperlink"/>
            <w:rFonts w:ascii="Times New Roman" w:hAnsi="Times New Roman" w:cs="Times New Roman"/>
            <w:b w:val="0"/>
            <w:bCs w:val="0"/>
            <w:sz w:val="24"/>
            <w:szCs w:val="24"/>
            <w:lang w:val="en-IN"/>
          </w:rPr>
          <w:t>Code</w:t>
        </w:r>
      </w:hyperlink>
      <w:r w:rsidRPr="003B2D0D">
        <w:rPr>
          <w:rFonts w:ascii="Times New Roman" w:hAnsi="Times New Roman" w:cs="Times New Roman"/>
          <w:b w:val="0"/>
          <w:bCs w:val="0"/>
          <w:color w:val="000000" w:themeColor="text1"/>
          <w:sz w:val="24"/>
          <w:szCs w:val="24"/>
          <w:lang w:val="en-IN"/>
        </w:rPr>
        <w:t xml:space="preserve"> and Declarations. The data sets employed for the current research project come from public records from the </w:t>
      </w:r>
      <w:hyperlink r:id="rId34" w:history="1">
        <w:r w:rsidRPr="003B2D0D">
          <w:rPr>
            <w:rStyle w:val="Hyperlink"/>
            <w:rFonts w:ascii="Times New Roman" w:hAnsi="Times New Roman" w:cs="Times New Roman"/>
            <w:b w:val="0"/>
            <w:bCs w:val="0"/>
            <w:sz w:val="24"/>
            <w:szCs w:val="24"/>
            <w:lang w:val="en-IN"/>
          </w:rPr>
          <w:t>Bureau of Safety and Environmental Enforcement (BSEE)</w:t>
        </w:r>
      </w:hyperlink>
      <w:r w:rsidRPr="003B2D0D">
        <w:rPr>
          <w:rFonts w:ascii="Times New Roman" w:hAnsi="Times New Roman" w:cs="Times New Roman"/>
          <w:b w:val="0"/>
          <w:bCs w:val="0"/>
          <w:color w:val="000000" w:themeColor="text1"/>
          <w:sz w:val="24"/>
          <w:szCs w:val="24"/>
          <w:lang w:val="en-IN"/>
        </w:rPr>
        <w:t>. The data sets under archival are comprised of sequence indexes, model predictions, preprocessing parameters, weights, and reproducibility reports, where the initial frozen pipeline has successfully passed all integrity and prediction replay tests. But the weights for the corrected model have not been preserved for long-term use, and need to be regenerated and independently verified prior to being released as part of a reproducibility package. Final repository information, source code extraction information, licensing information, funding disclosures, conflict of interest declarations, contributions of authors, affiliations and ethical declarations must be confirmed by the authors. The computational study does not involve any human subjects or personal information.</w:t>
      </w:r>
    </w:p>
    <w:p w14:paraId="785DF5B9" w14:textId="4B344E88" w:rsidR="00012482" w:rsidRPr="005835F7" w:rsidRDefault="00000000" w:rsidP="003B2D0D">
      <w:pPr>
        <w:pStyle w:val="Heading1"/>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Appendix A Input Feature Dictionary</w:t>
      </w:r>
    </w:p>
    <w:p w14:paraId="47A8C234" w14:textId="77777777" w:rsidR="00012482"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highlight w:val="yellow"/>
        </w:rPr>
        <w:t>Table A1 inventories the 37 archived full-feature predictors as a record of what was used, not a recommendation for, or evidence of, their historical real-time availability. Dynamic variables are repeated at t−2, t−1 and t, while static and categorical values are attached once to each sequence.</w:t>
      </w:r>
    </w:p>
    <w:p w14:paraId="302F1271"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Table A1. Predictive inputs, timing and administrative level</w:t>
      </w:r>
    </w:p>
    <w:tbl>
      <w:tblPr>
        <w:tblStyle w:val="TableGrid"/>
        <w:tblW w:w="0" w:type="auto"/>
        <w:tblLook w:val="04A0" w:firstRow="1" w:lastRow="0" w:firstColumn="1" w:lastColumn="0" w:noHBand="0" w:noVBand="1"/>
      </w:tblPr>
      <w:tblGrid>
        <w:gridCol w:w="3553"/>
        <w:gridCol w:w="1281"/>
        <w:gridCol w:w="1050"/>
        <w:gridCol w:w="1909"/>
        <w:gridCol w:w="2063"/>
      </w:tblGrid>
      <w:tr w:rsidR="00012482" w:rsidRPr="005835F7" w14:paraId="4B40DF2D" w14:textId="77777777" w:rsidTr="005D4D06">
        <w:tc>
          <w:tcPr>
            <w:tcW w:w="3240" w:type="dxa"/>
          </w:tcPr>
          <w:p w14:paraId="18E352D1" w14:textId="77777777" w:rsidR="004774F1" w:rsidRPr="005835F7" w:rsidRDefault="00000000">
            <w:pPr>
              <w:jc w:val="center"/>
              <w:rPr>
                <w:rFonts w:cs="Times New Roman"/>
                <w:color w:val="000000" w:themeColor="text1"/>
                <w:sz w:val="24"/>
                <w:szCs w:val="24"/>
              </w:rPr>
            </w:pPr>
            <w:r w:rsidRPr="005835F7">
              <w:rPr>
                <w:rFonts w:cs="Times New Roman"/>
                <w:b/>
                <w:color w:val="000000" w:themeColor="text1"/>
                <w:sz w:val="24"/>
                <w:szCs w:val="24"/>
                <w:highlight w:val="yellow"/>
              </w:rPr>
              <w:t>Feature</w:t>
            </w:r>
          </w:p>
        </w:tc>
        <w:tc>
          <w:tcPr>
            <w:tcW w:w="1800" w:type="dxa"/>
          </w:tcPr>
          <w:p w14:paraId="63ECE6A1" w14:textId="77777777" w:rsidR="004774F1" w:rsidRPr="005835F7" w:rsidRDefault="00000000">
            <w:pPr>
              <w:jc w:val="center"/>
              <w:rPr>
                <w:rFonts w:cs="Times New Roman"/>
                <w:color w:val="000000" w:themeColor="text1"/>
                <w:sz w:val="24"/>
                <w:szCs w:val="24"/>
              </w:rPr>
            </w:pPr>
            <w:r w:rsidRPr="005835F7">
              <w:rPr>
                <w:rFonts w:cs="Times New Roman"/>
                <w:b/>
                <w:color w:val="000000" w:themeColor="text1"/>
                <w:sz w:val="24"/>
                <w:szCs w:val="24"/>
                <w:highlight w:val="yellow"/>
              </w:rPr>
              <w:t>Group</w:t>
            </w:r>
          </w:p>
        </w:tc>
        <w:tc>
          <w:tcPr>
            <w:tcW w:w="1944" w:type="dxa"/>
          </w:tcPr>
          <w:p w14:paraId="12588C00" w14:textId="77777777" w:rsidR="004774F1" w:rsidRPr="005835F7" w:rsidRDefault="00000000">
            <w:pPr>
              <w:jc w:val="center"/>
              <w:rPr>
                <w:rFonts w:cs="Times New Roman"/>
                <w:color w:val="000000" w:themeColor="text1"/>
                <w:sz w:val="24"/>
                <w:szCs w:val="24"/>
              </w:rPr>
            </w:pPr>
            <w:r w:rsidRPr="005835F7">
              <w:rPr>
                <w:rFonts w:cs="Times New Roman"/>
                <w:b/>
                <w:color w:val="000000" w:themeColor="text1"/>
                <w:sz w:val="24"/>
                <w:szCs w:val="24"/>
                <w:highlight w:val="yellow"/>
              </w:rPr>
              <w:t>Timing</w:t>
            </w:r>
          </w:p>
        </w:tc>
        <w:tc>
          <w:tcPr>
            <w:tcW w:w="2088" w:type="dxa"/>
          </w:tcPr>
          <w:p w14:paraId="69FFA9D9" w14:textId="77777777" w:rsidR="004774F1" w:rsidRPr="005835F7" w:rsidRDefault="00000000">
            <w:pPr>
              <w:jc w:val="center"/>
              <w:rPr>
                <w:rFonts w:cs="Times New Roman"/>
                <w:color w:val="000000" w:themeColor="text1"/>
                <w:sz w:val="24"/>
                <w:szCs w:val="24"/>
              </w:rPr>
            </w:pPr>
            <w:r w:rsidRPr="005835F7">
              <w:rPr>
                <w:rFonts w:cs="Times New Roman"/>
                <w:b/>
                <w:color w:val="000000" w:themeColor="text1"/>
                <w:sz w:val="24"/>
                <w:szCs w:val="24"/>
                <w:highlight w:val="yellow"/>
              </w:rPr>
              <w:t>Level</w:t>
            </w:r>
          </w:p>
        </w:tc>
        <w:tc>
          <w:tcPr>
            <w:tcW w:w="3096" w:type="dxa"/>
          </w:tcPr>
          <w:p w14:paraId="1023DF79" w14:textId="77777777" w:rsidR="004774F1" w:rsidRPr="005835F7" w:rsidRDefault="00000000">
            <w:pPr>
              <w:jc w:val="center"/>
              <w:rPr>
                <w:rFonts w:cs="Times New Roman"/>
                <w:color w:val="000000" w:themeColor="text1"/>
                <w:sz w:val="24"/>
                <w:szCs w:val="24"/>
              </w:rPr>
            </w:pPr>
            <w:r w:rsidRPr="005835F7">
              <w:rPr>
                <w:rFonts w:cs="Times New Roman"/>
                <w:b/>
                <w:color w:val="000000" w:themeColor="text1"/>
                <w:sz w:val="24"/>
                <w:szCs w:val="24"/>
                <w:highlight w:val="yellow"/>
              </w:rPr>
              <w:t>Historical provenance status</w:t>
            </w:r>
          </w:p>
        </w:tc>
      </w:tr>
      <w:tr w:rsidR="00012482" w:rsidRPr="005835F7" w14:paraId="5FF8E8FC" w14:textId="77777777" w:rsidTr="005D4D06">
        <w:tc>
          <w:tcPr>
            <w:tcW w:w="3240" w:type="dxa"/>
          </w:tcPr>
          <w:p w14:paraId="12BEA05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active_months</w:t>
            </w:r>
          </w:p>
        </w:tc>
        <w:tc>
          <w:tcPr>
            <w:tcW w:w="1800" w:type="dxa"/>
          </w:tcPr>
          <w:p w14:paraId="361AA93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37D9600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2945618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65BB5D58"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Event-year indexed; historical publication timing not verified</w:t>
            </w:r>
          </w:p>
        </w:tc>
      </w:tr>
      <w:tr w:rsidR="00012482" w:rsidRPr="005835F7" w14:paraId="033D4C63" w14:textId="77777777" w:rsidTr="005D4D06">
        <w:tc>
          <w:tcPr>
            <w:tcW w:w="3240" w:type="dxa"/>
          </w:tcPr>
          <w:p w14:paraId="6B0EFA9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producing_wells_mean</w:t>
            </w:r>
          </w:p>
        </w:tc>
        <w:tc>
          <w:tcPr>
            <w:tcW w:w="1800" w:type="dxa"/>
          </w:tcPr>
          <w:p w14:paraId="38B0540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5F94CDB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6AA597C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6DBCE8D6"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Event-year indexed; historical publication timing not verified</w:t>
            </w:r>
          </w:p>
        </w:tc>
      </w:tr>
      <w:tr w:rsidR="00012482" w:rsidRPr="005835F7" w14:paraId="684448FB" w14:textId="77777777" w:rsidTr="005D4D06">
        <w:tc>
          <w:tcPr>
            <w:tcW w:w="3240" w:type="dxa"/>
          </w:tcPr>
          <w:p w14:paraId="61A8222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producing_wells_max</w:t>
            </w:r>
          </w:p>
        </w:tc>
        <w:tc>
          <w:tcPr>
            <w:tcW w:w="1800" w:type="dxa"/>
          </w:tcPr>
          <w:p w14:paraId="0A32B76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56B3436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362DEE2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1B174F27"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Event-year indexed; historical publication timing not verified</w:t>
            </w:r>
          </w:p>
        </w:tc>
      </w:tr>
      <w:tr w:rsidR="00012482" w:rsidRPr="005835F7" w14:paraId="0AD89F75" w14:textId="77777777" w:rsidTr="005D4D06">
        <w:tc>
          <w:tcPr>
            <w:tcW w:w="3240" w:type="dxa"/>
          </w:tcPr>
          <w:p w14:paraId="1EB0BFC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lastRenderedPageBreak/>
              <w:t>bopd_mean</w:t>
            </w:r>
          </w:p>
        </w:tc>
        <w:tc>
          <w:tcPr>
            <w:tcW w:w="1800" w:type="dxa"/>
          </w:tcPr>
          <w:p w14:paraId="7DB9A25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559598C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6713EF7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02D6F098"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Event-year indexed; historical publication timing not verified</w:t>
            </w:r>
          </w:p>
        </w:tc>
      </w:tr>
      <w:tr w:rsidR="00012482" w:rsidRPr="005835F7" w14:paraId="1079C1A8" w14:textId="77777777" w:rsidTr="005D4D06">
        <w:tc>
          <w:tcPr>
            <w:tcW w:w="3240" w:type="dxa"/>
          </w:tcPr>
          <w:p w14:paraId="336A13B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bopd_max</w:t>
            </w:r>
          </w:p>
        </w:tc>
        <w:tc>
          <w:tcPr>
            <w:tcW w:w="1800" w:type="dxa"/>
          </w:tcPr>
          <w:p w14:paraId="0784080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6F34BEF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558FA1D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0240F168"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Event-year indexed; historical publication timing not verified</w:t>
            </w:r>
          </w:p>
        </w:tc>
      </w:tr>
      <w:tr w:rsidR="00012482" w:rsidRPr="005835F7" w14:paraId="69B07BF5" w14:textId="77777777" w:rsidTr="005D4D06">
        <w:tc>
          <w:tcPr>
            <w:tcW w:w="3240" w:type="dxa"/>
          </w:tcPr>
          <w:p w14:paraId="2A06F73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mcfd_mean</w:t>
            </w:r>
          </w:p>
        </w:tc>
        <w:tc>
          <w:tcPr>
            <w:tcW w:w="1800" w:type="dxa"/>
          </w:tcPr>
          <w:p w14:paraId="6846D7C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00D04B6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51EA6A8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29061716"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Event-year indexed; historical publication timing not verified</w:t>
            </w:r>
          </w:p>
        </w:tc>
      </w:tr>
      <w:tr w:rsidR="00012482" w:rsidRPr="005835F7" w14:paraId="5120E302" w14:textId="77777777" w:rsidTr="005D4D06">
        <w:tc>
          <w:tcPr>
            <w:tcW w:w="3240" w:type="dxa"/>
          </w:tcPr>
          <w:p w14:paraId="3290657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mcfd_max</w:t>
            </w:r>
          </w:p>
        </w:tc>
        <w:tc>
          <w:tcPr>
            <w:tcW w:w="1800" w:type="dxa"/>
          </w:tcPr>
          <w:p w14:paraId="6891123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2074CA9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3B8C809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182EA948"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Event-year indexed; historical publication timing not verified</w:t>
            </w:r>
          </w:p>
        </w:tc>
      </w:tr>
      <w:tr w:rsidR="00012482" w:rsidRPr="005835F7" w14:paraId="14572B3F" w14:textId="77777777" w:rsidTr="005D4D06">
        <w:tc>
          <w:tcPr>
            <w:tcW w:w="3240" w:type="dxa"/>
          </w:tcPr>
          <w:p w14:paraId="75B191E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boepd_mean</w:t>
            </w:r>
          </w:p>
        </w:tc>
        <w:tc>
          <w:tcPr>
            <w:tcW w:w="1800" w:type="dxa"/>
          </w:tcPr>
          <w:p w14:paraId="3836298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10E3C9E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0DC6778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11E4DF4C"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Event-year indexed; historical publication timing not verified</w:t>
            </w:r>
          </w:p>
        </w:tc>
      </w:tr>
      <w:tr w:rsidR="00012482" w:rsidRPr="005835F7" w14:paraId="231CF82C" w14:textId="77777777" w:rsidTr="005D4D06">
        <w:tc>
          <w:tcPr>
            <w:tcW w:w="3240" w:type="dxa"/>
          </w:tcPr>
          <w:p w14:paraId="6F22D20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bwpd_mean</w:t>
            </w:r>
          </w:p>
        </w:tc>
        <w:tc>
          <w:tcPr>
            <w:tcW w:w="1800" w:type="dxa"/>
          </w:tcPr>
          <w:p w14:paraId="25E0FF1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43A7AC9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1295DBE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1A21F0BB"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Event-year indexed; historical publication timing not verified</w:t>
            </w:r>
          </w:p>
        </w:tc>
      </w:tr>
      <w:tr w:rsidR="00012482" w:rsidRPr="005835F7" w14:paraId="3DD001EE" w14:textId="77777777" w:rsidTr="005D4D06">
        <w:tc>
          <w:tcPr>
            <w:tcW w:w="3240" w:type="dxa"/>
          </w:tcPr>
          <w:p w14:paraId="2969795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platform_age</w:t>
            </w:r>
          </w:p>
        </w:tc>
        <w:tc>
          <w:tcPr>
            <w:tcW w:w="1800" w:type="dxa"/>
          </w:tcPr>
          <w:p w14:paraId="4E60D1C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735C8A9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403DD81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1F98A3C8"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Derived from installation date; later snapshot provenance limits historical certification</w:t>
            </w:r>
          </w:p>
        </w:tc>
      </w:tr>
      <w:tr w:rsidR="00012482" w:rsidRPr="005835F7" w14:paraId="50A6560C" w14:textId="77777777" w:rsidTr="005D4D06">
        <w:tc>
          <w:tcPr>
            <w:tcW w:w="3240" w:type="dxa"/>
          </w:tcPr>
          <w:p w14:paraId="6FE6CBD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operator_facilities_inspected</w:t>
            </w:r>
          </w:p>
        </w:tc>
        <w:tc>
          <w:tcPr>
            <w:tcW w:w="1800" w:type="dxa"/>
          </w:tcPr>
          <w:p w14:paraId="0427FDA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0D39FE9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04E9301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Operator-year</w:t>
            </w:r>
          </w:p>
        </w:tc>
        <w:tc>
          <w:tcPr>
            <w:tcW w:w="3096" w:type="dxa"/>
          </w:tcPr>
          <w:p w14:paraId="00E79E08"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Year-indexed administrative aggregate; operator assignment, exposure and publication timing unverified</w:t>
            </w:r>
          </w:p>
        </w:tc>
      </w:tr>
      <w:tr w:rsidR="00012482" w:rsidRPr="005835F7" w14:paraId="6C9FA932" w14:textId="77777777" w:rsidTr="005D4D06">
        <w:tc>
          <w:tcPr>
            <w:tcW w:w="3240" w:type="dxa"/>
          </w:tcPr>
          <w:p w14:paraId="183FEC9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operator_inspection_records</w:t>
            </w:r>
          </w:p>
        </w:tc>
        <w:tc>
          <w:tcPr>
            <w:tcW w:w="1800" w:type="dxa"/>
          </w:tcPr>
          <w:p w14:paraId="6764472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0D0B7FE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0D35E89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Operator-year</w:t>
            </w:r>
          </w:p>
        </w:tc>
        <w:tc>
          <w:tcPr>
            <w:tcW w:w="3096" w:type="dxa"/>
          </w:tcPr>
          <w:p w14:paraId="682849AF"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Year-indexed administrative aggregate; operator assignment, exposure and publication timing unverified</w:t>
            </w:r>
          </w:p>
        </w:tc>
      </w:tr>
      <w:tr w:rsidR="00012482" w:rsidRPr="005835F7" w14:paraId="59BADBEF" w14:textId="77777777" w:rsidTr="005D4D06">
        <w:tc>
          <w:tcPr>
            <w:tcW w:w="3240" w:type="dxa"/>
          </w:tcPr>
          <w:p w14:paraId="442ACF3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operator_inspection_types</w:t>
            </w:r>
          </w:p>
        </w:tc>
        <w:tc>
          <w:tcPr>
            <w:tcW w:w="1800" w:type="dxa"/>
          </w:tcPr>
          <w:p w14:paraId="395C21C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1E87F2D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607BA9A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Operator-year</w:t>
            </w:r>
          </w:p>
        </w:tc>
        <w:tc>
          <w:tcPr>
            <w:tcW w:w="3096" w:type="dxa"/>
          </w:tcPr>
          <w:p w14:paraId="03291297"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 xml:space="preserve">Year-indexed administrative aggregate; operator assignment, </w:t>
            </w:r>
            <w:r w:rsidRPr="005835F7">
              <w:rPr>
                <w:rFonts w:cs="Times New Roman"/>
                <w:color w:val="000000" w:themeColor="text1"/>
                <w:sz w:val="24"/>
                <w:szCs w:val="24"/>
                <w:highlight w:val="yellow"/>
              </w:rPr>
              <w:lastRenderedPageBreak/>
              <w:t>exposure and publication timing unverified</w:t>
            </w:r>
          </w:p>
        </w:tc>
      </w:tr>
      <w:tr w:rsidR="00012482" w:rsidRPr="005835F7" w14:paraId="13E2DC1A" w14:textId="77777777" w:rsidTr="005D4D06">
        <w:tc>
          <w:tcPr>
            <w:tcW w:w="3240" w:type="dxa"/>
          </w:tcPr>
          <w:p w14:paraId="709438B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lastRenderedPageBreak/>
              <w:t>investigated_accident_count</w:t>
            </w:r>
          </w:p>
        </w:tc>
        <w:tc>
          <w:tcPr>
            <w:tcW w:w="1800" w:type="dxa"/>
          </w:tcPr>
          <w:p w14:paraId="014FB91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6A7D6D1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68CE15B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Lease-year proxy</w:t>
            </w:r>
          </w:p>
        </w:tc>
        <w:tc>
          <w:tcPr>
            <w:tcW w:w="3096" w:type="dxa"/>
          </w:tcPr>
          <w:p w14:paraId="45241267"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Event-dated; linkage/shared-exposure and publication timing unverified</w:t>
            </w:r>
          </w:p>
        </w:tc>
      </w:tr>
      <w:tr w:rsidR="00012482" w:rsidRPr="005835F7" w14:paraId="1CB25A19" w14:textId="77777777" w:rsidTr="005D4D06">
        <w:tc>
          <w:tcPr>
            <w:tcW w:w="3240" w:type="dxa"/>
          </w:tcPr>
          <w:p w14:paraId="01228D6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accident_type_count</w:t>
            </w:r>
          </w:p>
        </w:tc>
        <w:tc>
          <w:tcPr>
            <w:tcW w:w="1800" w:type="dxa"/>
          </w:tcPr>
          <w:p w14:paraId="2596F4C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2B39E3D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66E5A69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Lease-year proxy</w:t>
            </w:r>
          </w:p>
        </w:tc>
        <w:tc>
          <w:tcPr>
            <w:tcW w:w="3096" w:type="dxa"/>
          </w:tcPr>
          <w:p w14:paraId="13361438"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Event-dated; linkage/shared-exposure and publication timing unverified</w:t>
            </w:r>
          </w:p>
        </w:tc>
      </w:tr>
      <w:tr w:rsidR="00012482" w:rsidRPr="005835F7" w14:paraId="492D8558" w14:textId="77777777" w:rsidTr="005D4D06">
        <w:tc>
          <w:tcPr>
            <w:tcW w:w="3240" w:type="dxa"/>
          </w:tcPr>
          <w:p w14:paraId="01373BF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previous_year_inc_count</w:t>
            </w:r>
          </w:p>
        </w:tc>
        <w:tc>
          <w:tcPr>
            <w:tcW w:w="1800" w:type="dxa"/>
          </w:tcPr>
          <w:p w14:paraId="3F032B4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779FE20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4BAF751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252CF7DC"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Derived from preceding observed rows; not guaranteed to represent exact calendar lags</w:t>
            </w:r>
          </w:p>
        </w:tc>
      </w:tr>
      <w:tr w:rsidR="00012482" w:rsidRPr="005835F7" w14:paraId="46858867" w14:textId="77777777" w:rsidTr="005D4D06">
        <w:tc>
          <w:tcPr>
            <w:tcW w:w="3240" w:type="dxa"/>
          </w:tcPr>
          <w:p w14:paraId="7261535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inc_count_previous_3_observations</w:t>
            </w:r>
          </w:p>
        </w:tc>
        <w:tc>
          <w:tcPr>
            <w:tcW w:w="1800" w:type="dxa"/>
          </w:tcPr>
          <w:p w14:paraId="1AC615C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3C3F4F7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63D9251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1C716D94"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Derived from preceding observed rows; not guaranteed to represent exact calendar lags</w:t>
            </w:r>
          </w:p>
        </w:tc>
      </w:tr>
      <w:tr w:rsidR="00012482" w:rsidRPr="005835F7" w14:paraId="4AB6357F" w14:textId="77777777" w:rsidTr="005D4D06">
        <w:tc>
          <w:tcPr>
            <w:tcW w:w="3240" w:type="dxa"/>
          </w:tcPr>
          <w:p w14:paraId="0BCEB5C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previous_year_accident_count</w:t>
            </w:r>
          </w:p>
        </w:tc>
        <w:tc>
          <w:tcPr>
            <w:tcW w:w="1800" w:type="dxa"/>
          </w:tcPr>
          <w:p w14:paraId="141F7AE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16BA452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02FB0E0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Lease-year proxy</w:t>
            </w:r>
          </w:p>
        </w:tc>
        <w:tc>
          <w:tcPr>
            <w:tcW w:w="3096" w:type="dxa"/>
          </w:tcPr>
          <w:p w14:paraId="74570DB8"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Event-dated; linkage/shared-exposure and publication timing unverified</w:t>
            </w:r>
          </w:p>
        </w:tc>
      </w:tr>
      <w:tr w:rsidR="00012482" w:rsidRPr="005835F7" w14:paraId="0B48C61D" w14:textId="77777777" w:rsidTr="005D4D06">
        <w:tc>
          <w:tcPr>
            <w:tcW w:w="3240" w:type="dxa"/>
          </w:tcPr>
          <w:p w14:paraId="4B2F180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production_change_bopd</w:t>
            </w:r>
          </w:p>
        </w:tc>
        <w:tc>
          <w:tcPr>
            <w:tcW w:w="1800" w:type="dxa"/>
          </w:tcPr>
          <w:p w14:paraId="68B9F55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4107312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4BF47CE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7D679EEC"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Event-year production-derived; exact zero-denominator rule and publication timing not retained</w:t>
            </w:r>
          </w:p>
        </w:tc>
      </w:tr>
      <w:tr w:rsidR="00012482" w:rsidRPr="005835F7" w14:paraId="209BEB99" w14:textId="77777777" w:rsidTr="005D4D06">
        <w:tc>
          <w:tcPr>
            <w:tcW w:w="3240" w:type="dxa"/>
          </w:tcPr>
          <w:p w14:paraId="01E4FC1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production_change_mcfd</w:t>
            </w:r>
          </w:p>
        </w:tc>
        <w:tc>
          <w:tcPr>
            <w:tcW w:w="1800" w:type="dxa"/>
          </w:tcPr>
          <w:p w14:paraId="48A8932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0621A52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53CA525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13C5A6C7"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Event-year production-derived; exact zero-denominator rule and publication timing not retained</w:t>
            </w:r>
          </w:p>
        </w:tc>
      </w:tr>
      <w:tr w:rsidR="00012482" w:rsidRPr="005835F7" w14:paraId="5C3A779A" w14:textId="77777777" w:rsidTr="005D4D06">
        <w:tc>
          <w:tcPr>
            <w:tcW w:w="3240" w:type="dxa"/>
          </w:tcPr>
          <w:p w14:paraId="18AA151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inc_count</w:t>
            </w:r>
          </w:p>
        </w:tc>
        <w:tc>
          <w:tcPr>
            <w:tcW w:w="1800" w:type="dxa"/>
          </w:tcPr>
          <w:p w14:paraId="4FF8CCC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16D4E6E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00ABFCE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6110CAA1"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INC-issuance-year dated; publication/revision latency not verified</w:t>
            </w:r>
          </w:p>
        </w:tc>
      </w:tr>
      <w:tr w:rsidR="00012482" w:rsidRPr="005835F7" w14:paraId="46CD815B" w14:textId="77777777" w:rsidTr="005D4D06">
        <w:tc>
          <w:tcPr>
            <w:tcW w:w="3240" w:type="dxa"/>
          </w:tcPr>
          <w:p w14:paraId="4A0B309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enforcement_code_count</w:t>
            </w:r>
          </w:p>
        </w:tc>
        <w:tc>
          <w:tcPr>
            <w:tcW w:w="1800" w:type="dxa"/>
          </w:tcPr>
          <w:p w14:paraId="2A536B3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5D45FC5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60EDA49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17D0F82C"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 xml:space="preserve">INC-issuance-year dated; </w:t>
            </w:r>
            <w:r w:rsidRPr="005835F7">
              <w:rPr>
                <w:rFonts w:cs="Times New Roman"/>
                <w:color w:val="000000" w:themeColor="text1"/>
                <w:sz w:val="24"/>
                <w:szCs w:val="24"/>
                <w:highlight w:val="yellow"/>
              </w:rPr>
              <w:lastRenderedPageBreak/>
              <w:t>publication/revision latency not verified</w:t>
            </w:r>
          </w:p>
        </w:tc>
      </w:tr>
      <w:tr w:rsidR="00012482" w:rsidRPr="005835F7" w14:paraId="6E9D8649" w14:textId="77777777" w:rsidTr="005D4D06">
        <w:tc>
          <w:tcPr>
            <w:tcW w:w="3240" w:type="dxa"/>
          </w:tcPr>
          <w:p w14:paraId="54E863F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lastRenderedPageBreak/>
              <w:t>any_inc</w:t>
            </w:r>
          </w:p>
        </w:tc>
        <w:tc>
          <w:tcPr>
            <w:tcW w:w="1800" w:type="dxa"/>
          </w:tcPr>
          <w:p w14:paraId="724ECCE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54175DC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1F76A85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2624D8CA"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INC-issuance-year dated; publication/revision latency not verified</w:t>
            </w:r>
          </w:p>
        </w:tc>
      </w:tr>
      <w:tr w:rsidR="00012482" w:rsidRPr="005835F7" w14:paraId="586079E7" w14:textId="77777777" w:rsidTr="005D4D06">
        <w:tc>
          <w:tcPr>
            <w:tcW w:w="3240" w:type="dxa"/>
          </w:tcPr>
          <w:p w14:paraId="2C35949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operator_warning_incs</w:t>
            </w:r>
          </w:p>
        </w:tc>
        <w:tc>
          <w:tcPr>
            <w:tcW w:w="1800" w:type="dxa"/>
          </w:tcPr>
          <w:p w14:paraId="1E92E25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0401E9E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587691D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Operator-year</w:t>
            </w:r>
          </w:p>
        </w:tc>
        <w:tc>
          <w:tcPr>
            <w:tcW w:w="3096" w:type="dxa"/>
          </w:tcPr>
          <w:p w14:paraId="57C5BFEB"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Year-indexed administrative aggregate; operator assignment, exposure and publication timing unverified</w:t>
            </w:r>
          </w:p>
        </w:tc>
      </w:tr>
      <w:tr w:rsidR="00012482" w:rsidRPr="005835F7" w14:paraId="1DE14D43" w14:textId="77777777" w:rsidTr="005D4D06">
        <w:tc>
          <w:tcPr>
            <w:tcW w:w="3240" w:type="dxa"/>
          </w:tcPr>
          <w:p w14:paraId="0831837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operator_component_shutin_incs</w:t>
            </w:r>
          </w:p>
        </w:tc>
        <w:tc>
          <w:tcPr>
            <w:tcW w:w="1800" w:type="dxa"/>
          </w:tcPr>
          <w:p w14:paraId="6E8D18F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3603801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3F54D8D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Operator-year</w:t>
            </w:r>
          </w:p>
        </w:tc>
        <w:tc>
          <w:tcPr>
            <w:tcW w:w="3096" w:type="dxa"/>
          </w:tcPr>
          <w:p w14:paraId="350F0FE3"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Year-indexed administrative aggregate; operator assignment, exposure and publication timing unverified</w:t>
            </w:r>
          </w:p>
        </w:tc>
      </w:tr>
      <w:tr w:rsidR="00012482" w:rsidRPr="005835F7" w14:paraId="180BB065" w14:textId="77777777" w:rsidTr="005D4D06">
        <w:tc>
          <w:tcPr>
            <w:tcW w:w="3240" w:type="dxa"/>
          </w:tcPr>
          <w:p w14:paraId="675DB5F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operator_facility_shutin_incs</w:t>
            </w:r>
          </w:p>
        </w:tc>
        <w:tc>
          <w:tcPr>
            <w:tcW w:w="1800" w:type="dxa"/>
          </w:tcPr>
          <w:p w14:paraId="111BA30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6C49D72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67D0A37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Operator-year</w:t>
            </w:r>
          </w:p>
        </w:tc>
        <w:tc>
          <w:tcPr>
            <w:tcW w:w="3096" w:type="dxa"/>
          </w:tcPr>
          <w:p w14:paraId="4A1B6558"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Year-indexed administrative aggregate; operator assignment, exposure and publication timing unverified</w:t>
            </w:r>
          </w:p>
        </w:tc>
      </w:tr>
      <w:tr w:rsidR="00012482" w:rsidRPr="005835F7" w14:paraId="284D8AE2" w14:textId="77777777" w:rsidTr="005D4D06">
        <w:tc>
          <w:tcPr>
            <w:tcW w:w="3240" w:type="dxa"/>
          </w:tcPr>
          <w:p w14:paraId="137ADAD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water_depth</w:t>
            </w:r>
          </w:p>
        </w:tc>
        <w:tc>
          <w:tcPr>
            <w:tcW w:w="1800" w:type="dxa"/>
          </w:tcPr>
          <w:p w14:paraId="6B2A8D9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Static numerical</w:t>
            </w:r>
          </w:p>
        </w:tc>
        <w:tc>
          <w:tcPr>
            <w:tcW w:w="1944" w:type="dxa"/>
          </w:tcPr>
          <w:p w14:paraId="5A870D7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0A1C2A7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snapshot</w:t>
            </w:r>
          </w:p>
        </w:tc>
        <w:tc>
          <w:tcPr>
            <w:tcW w:w="3096" w:type="dxa"/>
          </w:tcPr>
          <w:p w14:paraId="75967684"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Historically unverified snapshot; excluded from any time-validity claim</w:t>
            </w:r>
          </w:p>
        </w:tc>
      </w:tr>
      <w:tr w:rsidR="00012482" w:rsidRPr="005835F7" w14:paraId="2C15CCEA" w14:textId="77777777" w:rsidTr="005D4D06">
        <w:tc>
          <w:tcPr>
            <w:tcW w:w="3240" w:type="dxa"/>
          </w:tcPr>
          <w:p w14:paraId="41D5CD5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latitude</w:t>
            </w:r>
          </w:p>
        </w:tc>
        <w:tc>
          <w:tcPr>
            <w:tcW w:w="1800" w:type="dxa"/>
          </w:tcPr>
          <w:p w14:paraId="4233D9F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Static numerical</w:t>
            </w:r>
          </w:p>
        </w:tc>
        <w:tc>
          <w:tcPr>
            <w:tcW w:w="1944" w:type="dxa"/>
          </w:tcPr>
          <w:p w14:paraId="5A3D1A7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752D233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snapshot</w:t>
            </w:r>
          </w:p>
        </w:tc>
        <w:tc>
          <w:tcPr>
            <w:tcW w:w="3096" w:type="dxa"/>
          </w:tcPr>
          <w:p w14:paraId="5FADDD75"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Historically unverified snapshot; excluded from any time-validity claim</w:t>
            </w:r>
          </w:p>
        </w:tc>
      </w:tr>
      <w:tr w:rsidR="00012482" w:rsidRPr="005835F7" w14:paraId="1E30890A" w14:textId="77777777" w:rsidTr="005D4D06">
        <w:tc>
          <w:tcPr>
            <w:tcW w:w="3240" w:type="dxa"/>
          </w:tcPr>
          <w:p w14:paraId="5B62E6B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longitude</w:t>
            </w:r>
          </w:p>
        </w:tc>
        <w:tc>
          <w:tcPr>
            <w:tcW w:w="1800" w:type="dxa"/>
          </w:tcPr>
          <w:p w14:paraId="7C395BF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Static numerical</w:t>
            </w:r>
          </w:p>
        </w:tc>
        <w:tc>
          <w:tcPr>
            <w:tcW w:w="1944" w:type="dxa"/>
          </w:tcPr>
          <w:p w14:paraId="3F8AAF2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466E7ED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snapshot</w:t>
            </w:r>
          </w:p>
        </w:tc>
        <w:tc>
          <w:tcPr>
            <w:tcW w:w="3096" w:type="dxa"/>
          </w:tcPr>
          <w:p w14:paraId="18054B90"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Historically unverified snapshot; excluded from any time-validity claim</w:t>
            </w:r>
          </w:p>
        </w:tc>
      </w:tr>
      <w:tr w:rsidR="00012482" w:rsidRPr="005835F7" w14:paraId="7774D69A" w14:textId="77777777" w:rsidTr="005D4D06">
        <w:tc>
          <w:tcPr>
            <w:tcW w:w="3240" w:type="dxa"/>
          </w:tcPr>
          <w:p w14:paraId="4706012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area_code</w:t>
            </w:r>
          </w:p>
        </w:tc>
        <w:tc>
          <w:tcPr>
            <w:tcW w:w="1800" w:type="dxa"/>
          </w:tcPr>
          <w:p w14:paraId="4C67EC3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1944" w:type="dxa"/>
          </w:tcPr>
          <w:p w14:paraId="49DD13A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4146DCA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Regional/platform</w:t>
            </w:r>
          </w:p>
        </w:tc>
        <w:tc>
          <w:tcPr>
            <w:tcW w:w="3096" w:type="dxa"/>
          </w:tcPr>
          <w:p w14:paraId="568CED34"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 xml:space="preserve">Historically unverified snapshot; excluded </w:t>
            </w:r>
            <w:r w:rsidRPr="005835F7">
              <w:rPr>
                <w:rFonts w:cs="Times New Roman"/>
                <w:color w:val="000000" w:themeColor="text1"/>
                <w:sz w:val="24"/>
                <w:szCs w:val="24"/>
                <w:highlight w:val="yellow"/>
              </w:rPr>
              <w:lastRenderedPageBreak/>
              <w:t>from any time-validity claim</w:t>
            </w:r>
          </w:p>
        </w:tc>
      </w:tr>
      <w:tr w:rsidR="00012482" w:rsidRPr="005835F7" w14:paraId="72B36186" w14:textId="77777777" w:rsidTr="005D4D06">
        <w:tc>
          <w:tcPr>
            <w:tcW w:w="3240" w:type="dxa"/>
          </w:tcPr>
          <w:p w14:paraId="5859D5A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lastRenderedPageBreak/>
              <w:t>region_code</w:t>
            </w:r>
          </w:p>
        </w:tc>
        <w:tc>
          <w:tcPr>
            <w:tcW w:w="1800" w:type="dxa"/>
          </w:tcPr>
          <w:p w14:paraId="0966E78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1944" w:type="dxa"/>
          </w:tcPr>
          <w:p w14:paraId="4BCDCB5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30FD93A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Regional/platform</w:t>
            </w:r>
          </w:p>
        </w:tc>
        <w:tc>
          <w:tcPr>
            <w:tcW w:w="3096" w:type="dxa"/>
          </w:tcPr>
          <w:p w14:paraId="0B165479"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Historically unverified snapshot; excluded from any time-validity claim</w:t>
            </w:r>
          </w:p>
        </w:tc>
      </w:tr>
      <w:tr w:rsidR="00012482" w:rsidRPr="005835F7" w14:paraId="7CAEC1E3" w14:textId="77777777" w:rsidTr="005D4D06">
        <w:tc>
          <w:tcPr>
            <w:tcW w:w="3240" w:type="dxa"/>
          </w:tcPr>
          <w:p w14:paraId="66B13B0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structure_type</w:t>
            </w:r>
          </w:p>
        </w:tc>
        <w:tc>
          <w:tcPr>
            <w:tcW w:w="1800" w:type="dxa"/>
          </w:tcPr>
          <w:p w14:paraId="3832645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1944" w:type="dxa"/>
          </w:tcPr>
          <w:p w14:paraId="0041486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6383AAF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snapshot</w:t>
            </w:r>
          </w:p>
        </w:tc>
        <w:tc>
          <w:tcPr>
            <w:tcW w:w="3096" w:type="dxa"/>
          </w:tcPr>
          <w:p w14:paraId="4D421F12"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Historically unverified snapshot; excluded from any time-validity claim</w:t>
            </w:r>
          </w:p>
        </w:tc>
      </w:tr>
      <w:tr w:rsidR="00012482" w:rsidRPr="005835F7" w14:paraId="6D768B86" w14:textId="77777777" w:rsidTr="005D4D06">
        <w:tc>
          <w:tcPr>
            <w:tcW w:w="3240" w:type="dxa"/>
          </w:tcPr>
          <w:p w14:paraId="5751253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major_structure_flag</w:t>
            </w:r>
          </w:p>
        </w:tc>
        <w:tc>
          <w:tcPr>
            <w:tcW w:w="1800" w:type="dxa"/>
          </w:tcPr>
          <w:p w14:paraId="5F0C88D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1944" w:type="dxa"/>
          </w:tcPr>
          <w:p w14:paraId="7EEB6BB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2891094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snapshot</w:t>
            </w:r>
          </w:p>
        </w:tc>
        <w:tc>
          <w:tcPr>
            <w:tcW w:w="3096" w:type="dxa"/>
          </w:tcPr>
          <w:p w14:paraId="5F1CC320"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Historically unverified snapshot; excluded from any time-validity claim</w:t>
            </w:r>
          </w:p>
        </w:tc>
      </w:tr>
      <w:tr w:rsidR="00012482" w:rsidRPr="005835F7" w14:paraId="4C90E67C" w14:textId="77777777" w:rsidTr="005D4D06">
        <w:tc>
          <w:tcPr>
            <w:tcW w:w="3240" w:type="dxa"/>
          </w:tcPr>
          <w:p w14:paraId="77D378E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district_code</w:t>
            </w:r>
          </w:p>
        </w:tc>
        <w:tc>
          <w:tcPr>
            <w:tcW w:w="1800" w:type="dxa"/>
          </w:tcPr>
          <w:p w14:paraId="06D2456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1944" w:type="dxa"/>
          </w:tcPr>
          <w:p w14:paraId="4BBD7AA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3F162FC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Regional/platform</w:t>
            </w:r>
          </w:p>
        </w:tc>
        <w:tc>
          <w:tcPr>
            <w:tcW w:w="3096" w:type="dxa"/>
          </w:tcPr>
          <w:p w14:paraId="5133D576"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Historically unverified snapshot; excluded from any time-validity claim</w:t>
            </w:r>
          </w:p>
        </w:tc>
      </w:tr>
      <w:tr w:rsidR="00012482" w:rsidRPr="005835F7" w14:paraId="650244AF" w14:textId="77777777" w:rsidTr="005D4D06">
        <w:tc>
          <w:tcPr>
            <w:tcW w:w="3240" w:type="dxa"/>
          </w:tcPr>
          <w:p w14:paraId="6DE6FBF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heliport_flag</w:t>
            </w:r>
          </w:p>
        </w:tc>
        <w:tc>
          <w:tcPr>
            <w:tcW w:w="1800" w:type="dxa"/>
          </w:tcPr>
          <w:p w14:paraId="515DE3B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1944" w:type="dxa"/>
          </w:tcPr>
          <w:p w14:paraId="19F4BB9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5CCC815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snapshot</w:t>
            </w:r>
          </w:p>
        </w:tc>
        <w:tc>
          <w:tcPr>
            <w:tcW w:w="3096" w:type="dxa"/>
          </w:tcPr>
          <w:p w14:paraId="2C8AD460"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Historically unverified snapshot; excluded from any time-validity claim</w:t>
            </w:r>
          </w:p>
        </w:tc>
      </w:tr>
      <w:tr w:rsidR="00012482" w:rsidRPr="005835F7" w14:paraId="3A453C32" w14:textId="77777777" w:rsidTr="005D4D06">
        <w:tc>
          <w:tcPr>
            <w:tcW w:w="3240" w:type="dxa"/>
          </w:tcPr>
          <w:p w14:paraId="2311D74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attended_8hr_flag</w:t>
            </w:r>
          </w:p>
        </w:tc>
        <w:tc>
          <w:tcPr>
            <w:tcW w:w="1800" w:type="dxa"/>
          </w:tcPr>
          <w:p w14:paraId="7E7D63C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1944" w:type="dxa"/>
          </w:tcPr>
          <w:p w14:paraId="2B6911E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78E15BB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snapshot</w:t>
            </w:r>
          </w:p>
        </w:tc>
        <w:tc>
          <w:tcPr>
            <w:tcW w:w="3096" w:type="dxa"/>
          </w:tcPr>
          <w:p w14:paraId="7888FC55"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Historically unverified snapshot; excluded from any time-validity claim</w:t>
            </w:r>
          </w:p>
        </w:tc>
      </w:tr>
      <w:tr w:rsidR="00012482" w:rsidRPr="005835F7" w14:paraId="725663A2" w14:textId="77777777" w:rsidTr="005D4D06">
        <w:tc>
          <w:tcPr>
            <w:tcW w:w="3240" w:type="dxa"/>
          </w:tcPr>
          <w:p w14:paraId="0D2312A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manned_24hr_flag</w:t>
            </w:r>
          </w:p>
        </w:tc>
        <w:tc>
          <w:tcPr>
            <w:tcW w:w="1800" w:type="dxa"/>
          </w:tcPr>
          <w:p w14:paraId="158E2A0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1944" w:type="dxa"/>
          </w:tcPr>
          <w:p w14:paraId="09EF980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47A8089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snapshot</w:t>
            </w:r>
          </w:p>
        </w:tc>
        <w:tc>
          <w:tcPr>
            <w:tcW w:w="3096" w:type="dxa"/>
          </w:tcPr>
          <w:p w14:paraId="145DECE9"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highlight w:val="yellow"/>
              </w:rPr>
              <w:t>Historically unverified snapshot; excluded from any time-validity claim</w:t>
            </w:r>
          </w:p>
        </w:tc>
      </w:tr>
    </w:tbl>
    <w:p w14:paraId="77393882" w14:textId="77777777" w:rsidR="00012482" w:rsidRPr="005835F7" w:rsidRDefault="00012482" w:rsidP="006E6660">
      <w:pPr>
        <w:spacing w:after="100"/>
        <w:rPr>
          <w:rFonts w:cs="Times New Roman"/>
          <w:color w:val="000000" w:themeColor="text1"/>
          <w:sz w:val="24"/>
          <w:szCs w:val="24"/>
        </w:rPr>
      </w:pPr>
    </w:p>
    <w:p w14:paraId="6939BA67" w14:textId="77777777" w:rsidR="00012482"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highlight w:val="yellow"/>
        </w:rPr>
        <w:t xml:space="preserve">Table A1 inventories every archived predictor and assigns a conservative provenance status. No predictor is treated as historically available merely because it appears in a contemporary release or carries an event year. Production and enforcement variables are event-year or issuance-year indexed, but their historical publication timing was not retained. Operator-year variables additionally lack independently dated operator responsibility and exposure normalization; lease-year accident variables have shared-exposure and linkage uncertainty; and all static and categorical snapshot attributes lack attribute-specific effective dates. Accordingly, the table documents analytical inputs and limitations rather than certifying a deployable historical feature set. Production units follow the source nomenclature: BOPD is barrels of oil per day, MCFD is thousand cubic feet per day, BOEPD is barrels of oil equivalent per day, BWPD is barrels of water per day, water depth is reported in feet, and </w:t>
      </w:r>
      <w:r w:rsidRPr="005835F7">
        <w:rPr>
          <w:rFonts w:cs="Times New Roman"/>
          <w:color w:val="000000" w:themeColor="text1"/>
          <w:sz w:val="24"/>
          <w:szCs w:val="24"/>
          <w:highlight w:val="yellow"/>
        </w:rPr>
        <w:lastRenderedPageBreak/>
        <w:t>coordinates are decimal degrees. Previous-observation and rolling variables are not assumed to equal exact calendar lags when records are discontinuous.</w:t>
      </w:r>
    </w:p>
    <w:p w14:paraId="66B0DFE7" w14:textId="77777777" w:rsidR="00012482" w:rsidRPr="005835F7" w:rsidRDefault="00000000" w:rsidP="006E6660">
      <w:pPr>
        <w:pStyle w:val="Heading1"/>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References</w:t>
      </w:r>
    </w:p>
    <w:p w14:paraId="2A8A7CA2"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 Liu, B., Li, Z., Duan, Q., Yan, B. and Tan, X., 2025. Research on LLM-based assessment methods for international standards' intelligent contribution to oil and gas pipelines. Journal of Pipeline Science and Engineering, p.100405.</w:t>
      </w:r>
    </w:p>
    <w:p w14:paraId="1DDC12EB"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 Hui, Q., Liu, B., Fan, J., Guo, D., Chen, J., Tan, X. and Peng, Z., 2026. Knowledge graph construction for pipeline standards: Enhancing efficiency in the oil and gas industry. Journal of Pipeline Science and Engineering, p.100445.</w:t>
      </w:r>
    </w:p>
    <w:p w14:paraId="1ECE8077"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[3] Xia, T., Wang, F., Huang, Z., Zhang, W., Chen, G., Zhou, J. and Liu, C., 2025. Multi-Dimensional Control Rules and Assessment Methods for Surface Engineering Data Quality in Oil and Gas Field. Information, 16(8), p.701.</w:t>
      </w:r>
    </w:p>
    <w:p w14:paraId="73230675"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[4] Khordoustan, P., Akbarzadeh, O., Gilani, N., Moshashaei, P. and Alizadeh, S.S., 2026. A hybrid ANP and machine learning framework for contractor health safety environment and quality performance evaluation. Discover Analytics, 4(1), p.16.</w:t>
      </w:r>
    </w:p>
    <w:p w14:paraId="21BB9D4F"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[5] Wahono, T., Purniawan, A., Mukhlash, I. and Putri, E.R., 2025. Risk-based asset integrity management in the oil and gas industry from traditional to machine learning approaches: A systematic review. Results in Engineering, p.107287.</w:t>
      </w:r>
    </w:p>
    <w:p w14:paraId="358E9B45"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[6] Zhang, X., Yan, L., Lai, F. and Wang, H., 2025. Research progress and prospects of risk assessment methods for oil and gas development. Geoenergy Science and Engineering, 253, p.213992.</w:t>
      </w:r>
    </w:p>
    <w:p w14:paraId="3AE7690E"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[7] Wahono, T., Mukhlash, I., Putri, E.R. and Purniawan, A., 2026. An intuitionistic fuzzy deep neural network method for risk assessment of oil and gas pipelines. Cleaner Engineering and Technology, p.101299.</w:t>
      </w:r>
    </w:p>
    <w:p w14:paraId="5AB60065"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[8] Zhou, Y., Fan, J., Dai, B. and Wu, S., 2025. A data-driven PCA-hierarchical clustering framework for adaptive risk assessment of gas pipeline networks. Process Safety and Environmental Protection, p.107753.</w:t>
      </w:r>
    </w:p>
    <w:p w14:paraId="133A1962"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[9] Ye, Z., Duan, Q. and Ma, S., 2026. Research on risk classification of oil and natural gas pipelines based on text mining and apriori algorithm. Journal of Loss Prevention in the Process Industries, 103, p.106059.</w:t>
      </w:r>
    </w:p>
    <w:p w14:paraId="36EC6D4A"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[10] AlAbdouli, M.A. and Al-Shihabi, S., 2025. Artificial intelligence and its performance impacts in the oil and gas industry: Challenges, insights, and evaluation approaches. Results in Engineering, p.107636.</w:t>
      </w:r>
    </w:p>
    <w:p w14:paraId="27297B90"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[11] Savari, A., Li, Y., Alnefaie, K. and Singh, N.S.S., 2026. State-of-the-art Machine learning Advances in reliability-based design, integrity assessment, inspection and maintenance of pipelines: A Systematic review. Journal of Pipeline Science and Engineering, p.100528.</w:t>
      </w:r>
    </w:p>
    <w:p w14:paraId="7D760851"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[12] Bastek, T., Denecke, J. and Schmidt, J., 2026. Future directions for data-driven approaches in pipeline integrity management: Risk assessment, in-line inspection, and machine learning. Reliability Engineering &amp; System Safety, p.112300.</w:t>
      </w:r>
    </w:p>
    <w:p w14:paraId="342A16CB"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[13] Jones, J.F., Raj, V., Abas, P.E., Petra, M.I., Sivan, D., Satheesh Kumar, K., Jose, R. and Mathew, S., 2025. Application of artificial intelligence for asset integrity management of offshore oil and gas pipelines. Life Cycle Reliability and Safety Engineering, 14(4), pp.503-530.</w:t>
      </w:r>
    </w:p>
    <w:p w14:paraId="4DB93DE4"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[14] Al-Ammari, W.A., Sleiti, A.K., Rahman, M.A., Rezaei-Gomari, S., Hassan, I. and Hassan, R., 2025. Digital twin for leak detection and fault diagnostics in gas pipelines: A systematic review, model development, and case study. Alexandria Engineering Journal, 123, pp.91-111.</w:t>
      </w:r>
    </w:p>
    <w:p w14:paraId="56882CFE"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[15] Cai, X. and Wang, J., 2026. A digital twin-driven natural gas pipeline leakage detection method. International Journal of Pressure Vessels and Piping, p.105793.</w:t>
      </w:r>
    </w:p>
    <w:p w14:paraId="4132EBF5"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lastRenderedPageBreak/>
        <w:t>[16] Ali, U., Naveen, P., Al-Shalabi, E.W. and Ait Abderrahmane, H., 2026. Artificial intelligence and machine learning for production prediction and optimization of oil and gas surface networks. Energy and AI, p.100772.</w:t>
      </w:r>
    </w:p>
    <w:p w14:paraId="5992EE1E"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[17] Chen, Y., Chen, P., Wang, Y., Feng, G., Yang, C. and Wang, Q., 2025. From clustering to federated learning: A collaborative approach to optimizing data-driven models for the production monitoring of unconventional natural gas wells. Gas Science and Engineering, 137, p.205580.</w:t>
      </w:r>
    </w:p>
    <w:p w14:paraId="74C5E61D"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[18] Lopes, L.G.O., de Almeida Vieira, T.M., Aranha, P.E., de Lima Junior, E.T. and Lira, W.W.M., 2025. Detection and classification of anomalies in oil well production using Open-World Learning. Engineering Applications of Artificial Intelligence, 159, p.111514.</w:t>
      </w:r>
    </w:p>
    <w:p w14:paraId="6719D1FB"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[19] Aranha, E.P., Policarpo, A.N. and Sampaio, A.M., 2025. A Transformer-based approach for anomaly detection in intelligent well completions. Petroleum Exploration and Development, 52(4), pp.1029-1040.</w:t>
      </w:r>
    </w:p>
    <w:p w14:paraId="6499764E"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 xml:space="preserve">[20] Verma, P., Gandhi, K., Cheema, A.M., Ashfaq, M., Shah, D., Ali, S. and Tahir, M., 2026. DeepPipeNet enables deep </w:t>
      </w:r>
      <w:proofErr w:type="gramStart"/>
      <w:r w:rsidRPr="005835F7">
        <w:rPr>
          <w:rFonts w:cs="Times New Roman"/>
          <w:color w:val="000000" w:themeColor="text1"/>
          <w:sz w:val="24"/>
          <w:szCs w:val="24"/>
        </w:rPr>
        <w:t>learning based</w:t>
      </w:r>
      <w:proofErr w:type="gramEnd"/>
      <w:r w:rsidRPr="005835F7">
        <w:rPr>
          <w:rFonts w:cs="Times New Roman"/>
          <w:color w:val="000000" w:themeColor="text1"/>
          <w:sz w:val="24"/>
          <w:szCs w:val="24"/>
        </w:rPr>
        <w:t xml:space="preserve"> anomaly detection for oil and gas pipeline monitoring. Discover Applied Sciences, 8(5), p.498.</w:t>
      </w:r>
    </w:p>
    <w:p w14:paraId="6E5C6C4B"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[21] Almahakeri, M., Al-Mahasneh, A.J., Mallouh, M.A. and Jouda, B., 2025. Deep neural network-based intelligent health monitoring system for oil and gas pipelines. Applied Soft Computing, 171, p.112827.</w:t>
      </w:r>
    </w:p>
    <w:p w14:paraId="6AB370E8"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[22] Wang, M., Su, X., Song, H., Wang, Y. and Yang, X., 2025. Enhancing predictive maintenance strategies for oil and gas equipment through ensemble learning modeling. Journal of Petroleum Exploration and Production Technology, 15(3), p.46.</w:t>
      </w:r>
    </w:p>
    <w:p w14:paraId="00FF5145"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[23] Sani, A.A., Wahab, M.M.A., Shafiq, N., Danyaro, K.U. and Aliyu, Y., 2026. Data-Driven Ensemble Machine Learning for Corrosion Risk Prediction and Maintenance Optimization in Oil and Gas Pipelines. Results in Engineering, p.110288.</w:t>
      </w:r>
    </w:p>
    <w:p w14:paraId="5DDD8780"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[24] Ansari, E., Izadkhah, M., Mohimi, A., Akhtar, M.N. and Bakar, E.A., 2026. Prediction of Internal Corrosion in Oil and Gas Piping Systems—An Independent Analysis Using Machine Learning. Journal of Pipeline Science and Engineering, p.100522.</w:t>
      </w:r>
    </w:p>
    <w:p w14:paraId="16A425A0"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[25] Wu, T., Miao, X. and Song, F., 2025. Residual strength prediction of corroded pipelines based on physics-informed machine learning and domain generalization. npj Materials Degradation, 9(1), p.12.</w:t>
      </w:r>
    </w:p>
    <w:p w14:paraId="32442E30"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[26] Wang, Q. and Lu, H., 2025. Machine learning methods for predicting residual strength in corroded oil and gas steel pipes. npj Materials Degradation, 9(1), p.30.</w:t>
      </w:r>
    </w:p>
    <w:p w14:paraId="7CACB0B7"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[27] Chen, X., Huang, S., Guan, T. and Fu, H., 2025. An interpretable predictive model for liquid holdup of hilly terrain oil-gas pipelines based on machine learning and Shapley additive explanations. ACS omega, 10(15), p.15160.</w:t>
      </w:r>
    </w:p>
    <w:p w14:paraId="08044F0D"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[28] Lv, X., Yin, Z., Chen, S., Liu, Y., Yao, H., Ma, Y., Wang, C., Ma, Q., Li, X. and Zhou, S., 2026. Risk assessment model for hydrate blockage in deep-sea oil and gas multiphase pipelines based on XGBoost and SHAP. Chemical Engineering Science, p.124205.</w:t>
      </w:r>
    </w:p>
    <w:p w14:paraId="28594EDC"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[29] Yang, Y., Wang, B., Cen, X., Shao, B., Zhu, B., Yang, J. and Hong, B., 2025. Susceptibility risk assessment of oil and gas pipeline geological hazards in mountainous areas based on data-driven model. Engineering Applications of Artificial Intelligence, 151, p.110732.</w:t>
      </w:r>
    </w:p>
    <w:p w14:paraId="05331D0D"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[30] Chen, S., Zhang, N., Shui, B., Zhang, T., Li, C. and Gong, Q., 2025. Real‐Time Prediction of Overpressure‐Induced Pipeline Failure via Edge‐Optimized Machine Learning. Energy Science &amp; Engineering, 13(10), pp.4730-4744.</w:t>
      </w:r>
    </w:p>
    <w:p w14:paraId="14EE2802"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[31] Khalilzadeh, M., Banihashemi, S.A., Heidari, A., Orazani, S.M.H. and Taebi, P., 2025. Risk management in the production phase of oil and gas projects: evaluating risk responses and their impact on safety and damage reduction. Discover Civil Engineering, 2(1), p.91.</w:t>
      </w:r>
    </w:p>
    <w:p w14:paraId="0F81959E"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lastRenderedPageBreak/>
        <w:t>[32] Zhang, F., Feng, Y. and Li, X., 2025. Application of big data and artificial intelligence in oilfield production optimization and intelligent management: A systematic analysis of real-time monitoring and parameter optimization. Advances in Resources Research, 5(1), pp.16-30.</w:t>
      </w:r>
    </w:p>
    <w:p w14:paraId="79558D69" w14:textId="77777777" w:rsidR="00012482" w:rsidRPr="005835F7" w:rsidRDefault="008546D4" w:rsidP="006E6660">
      <w:pPr>
        <w:spacing w:after="100"/>
        <w:ind w:left="432" w:hanging="432"/>
        <w:rPr>
          <w:rFonts w:cs="Times New Roman"/>
          <w:color w:val="000000" w:themeColor="text1"/>
          <w:sz w:val="24"/>
          <w:szCs w:val="24"/>
        </w:rPr>
      </w:pPr>
      <w:r w:rsidRPr="005835F7">
        <w:rPr>
          <w:rFonts w:cs="Times New Roman"/>
          <w:color w:val="000000" w:themeColor="text1"/>
          <w:sz w:val="24"/>
          <w:szCs w:val="24"/>
        </w:rPr>
        <w:t xml:space="preserve"> </w:t>
      </w:r>
    </w:p>
    <w:sectPr w:rsidR="00012482" w:rsidRPr="005835F7" w:rsidSect="00034616">
      <w:footerReference w:type="default" r:id="rId35"/>
      <w:pgSz w:w="11906" w:h="16838"/>
      <w:pgMar w:top="964" w:right="1020" w:bottom="964" w:left="102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D7DCE" w14:textId="77777777" w:rsidR="00850377" w:rsidRDefault="00850377">
      <w:pPr>
        <w:spacing w:after="0"/>
      </w:pPr>
      <w:r>
        <w:separator/>
      </w:r>
    </w:p>
  </w:endnote>
  <w:endnote w:type="continuationSeparator" w:id="0">
    <w:p w14:paraId="5F9BAE07" w14:textId="77777777" w:rsidR="00850377" w:rsidRDefault="008503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7794E" w14:textId="74DE9A40" w:rsidR="00012482" w:rsidRDefault="0001248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2C1ED" w14:textId="77777777" w:rsidR="00850377" w:rsidRDefault="00850377">
      <w:pPr>
        <w:spacing w:after="0"/>
      </w:pPr>
      <w:r>
        <w:separator/>
      </w:r>
    </w:p>
  </w:footnote>
  <w:footnote w:type="continuationSeparator" w:id="0">
    <w:p w14:paraId="26B4C7EC" w14:textId="77777777" w:rsidR="00850377" w:rsidRDefault="008503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E53EC8"/>
    <w:multiLevelType w:val="multilevel"/>
    <w:tmpl w:val="8D62644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EBA39B7"/>
    <w:multiLevelType w:val="hybridMultilevel"/>
    <w:tmpl w:val="D4E05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595811"/>
    <w:multiLevelType w:val="hybridMultilevel"/>
    <w:tmpl w:val="2A0C59E6"/>
    <w:lvl w:ilvl="0" w:tplc="131A4B6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9D2318D"/>
    <w:multiLevelType w:val="hybridMultilevel"/>
    <w:tmpl w:val="396A0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0E2CB0"/>
    <w:multiLevelType w:val="hybridMultilevel"/>
    <w:tmpl w:val="858238C2"/>
    <w:lvl w:ilvl="0" w:tplc="5718B06A">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4" w15:restartNumberingAfterBreak="0">
    <w:nsid w:val="37B97457"/>
    <w:multiLevelType w:val="hybridMultilevel"/>
    <w:tmpl w:val="ED743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D63C7C"/>
    <w:multiLevelType w:val="hybridMultilevel"/>
    <w:tmpl w:val="6D0831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790558"/>
    <w:multiLevelType w:val="hybridMultilevel"/>
    <w:tmpl w:val="64D47050"/>
    <w:lvl w:ilvl="0" w:tplc="5C8012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DCB6F1D"/>
    <w:multiLevelType w:val="hybridMultilevel"/>
    <w:tmpl w:val="FA5C5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1734413">
    <w:abstractNumId w:val="8"/>
  </w:num>
  <w:num w:numId="2" w16cid:durableId="1799105357">
    <w:abstractNumId w:val="6"/>
  </w:num>
  <w:num w:numId="3" w16cid:durableId="675109726">
    <w:abstractNumId w:val="5"/>
  </w:num>
  <w:num w:numId="4" w16cid:durableId="2048871880">
    <w:abstractNumId w:val="4"/>
  </w:num>
  <w:num w:numId="5" w16cid:durableId="488248418">
    <w:abstractNumId w:val="7"/>
  </w:num>
  <w:num w:numId="6" w16cid:durableId="465397728">
    <w:abstractNumId w:val="3"/>
  </w:num>
  <w:num w:numId="7" w16cid:durableId="990717130">
    <w:abstractNumId w:val="2"/>
  </w:num>
  <w:num w:numId="8" w16cid:durableId="843975217">
    <w:abstractNumId w:val="1"/>
  </w:num>
  <w:num w:numId="9" w16cid:durableId="65231636">
    <w:abstractNumId w:val="0"/>
  </w:num>
  <w:num w:numId="10" w16cid:durableId="935675899">
    <w:abstractNumId w:val="13"/>
  </w:num>
  <w:num w:numId="11" w16cid:durableId="243953744">
    <w:abstractNumId w:val="10"/>
  </w:num>
  <w:num w:numId="12" w16cid:durableId="1411463101">
    <w:abstractNumId w:val="11"/>
  </w:num>
  <w:num w:numId="13" w16cid:durableId="1186602319">
    <w:abstractNumId w:val="12"/>
  </w:num>
  <w:num w:numId="14" w16cid:durableId="1538079101">
    <w:abstractNumId w:val="16"/>
  </w:num>
  <w:num w:numId="15" w16cid:durableId="592740129">
    <w:abstractNumId w:val="9"/>
  </w:num>
  <w:num w:numId="16" w16cid:durableId="960112621">
    <w:abstractNumId w:val="17"/>
  </w:num>
  <w:num w:numId="17" w16cid:durableId="1369145116">
    <w:abstractNumId w:val="14"/>
  </w:num>
  <w:num w:numId="18" w16cid:durableId="18941236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482"/>
    <w:rsid w:val="00034616"/>
    <w:rsid w:val="00055C13"/>
    <w:rsid w:val="0006063C"/>
    <w:rsid w:val="00130CDA"/>
    <w:rsid w:val="0015074B"/>
    <w:rsid w:val="00163146"/>
    <w:rsid w:val="00192D2C"/>
    <w:rsid w:val="0019468E"/>
    <w:rsid w:val="001C6874"/>
    <w:rsid w:val="001C7961"/>
    <w:rsid w:val="00254B69"/>
    <w:rsid w:val="0029639D"/>
    <w:rsid w:val="002A6ACB"/>
    <w:rsid w:val="002B462E"/>
    <w:rsid w:val="002B7DCA"/>
    <w:rsid w:val="00326F90"/>
    <w:rsid w:val="003B2D0D"/>
    <w:rsid w:val="004774F1"/>
    <w:rsid w:val="005835F7"/>
    <w:rsid w:val="005D4D06"/>
    <w:rsid w:val="006031DD"/>
    <w:rsid w:val="006335F8"/>
    <w:rsid w:val="006426DB"/>
    <w:rsid w:val="006E6660"/>
    <w:rsid w:val="006F4424"/>
    <w:rsid w:val="007B314D"/>
    <w:rsid w:val="008339C9"/>
    <w:rsid w:val="00847EAC"/>
    <w:rsid w:val="00850377"/>
    <w:rsid w:val="008546D4"/>
    <w:rsid w:val="008B113C"/>
    <w:rsid w:val="008E37A4"/>
    <w:rsid w:val="009055DD"/>
    <w:rsid w:val="00995A43"/>
    <w:rsid w:val="009A4EB4"/>
    <w:rsid w:val="009C6E2A"/>
    <w:rsid w:val="00A014B8"/>
    <w:rsid w:val="00A10559"/>
    <w:rsid w:val="00A43B38"/>
    <w:rsid w:val="00AA1D8D"/>
    <w:rsid w:val="00AD44DF"/>
    <w:rsid w:val="00B47730"/>
    <w:rsid w:val="00B71BC0"/>
    <w:rsid w:val="00BA4001"/>
    <w:rsid w:val="00BB210B"/>
    <w:rsid w:val="00C21631"/>
    <w:rsid w:val="00C56477"/>
    <w:rsid w:val="00C63736"/>
    <w:rsid w:val="00CA2186"/>
    <w:rsid w:val="00CB0664"/>
    <w:rsid w:val="00D3792F"/>
    <w:rsid w:val="00DC503A"/>
    <w:rsid w:val="00DD1D43"/>
    <w:rsid w:val="00DE6279"/>
    <w:rsid w:val="00DE675B"/>
    <w:rsid w:val="00DF5A9D"/>
    <w:rsid w:val="00E01EB4"/>
    <w:rsid w:val="00E03F65"/>
    <w:rsid w:val="00E407FA"/>
    <w:rsid w:val="00E855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49E1B"/>
  <w14:defaultImageDpi w14:val="300"/>
  <w15:docId w15:val="{ECD4BD98-F8B8-4F8E-9D35-594C9BB4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jc w:val="both"/>
    </w:pPr>
    <w:rPr>
      <w:rFonts w:ascii="Times New Roman" w:eastAsia="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before="160"/>
      <w:contextualSpacing/>
      <w:jc w:val="center"/>
    </w:pPr>
    <w:rPr>
      <w:rFonts w:asciiTheme="majorHAnsi" w:eastAsiaTheme="majorEastAsia" w:hAnsiTheme="majorHAnsi" w:cstheme="majorBidi"/>
      <w:b/>
      <w:color w:val="17365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jc w:val="center"/>
    </w:pPr>
    <w:rPr>
      <w:rFonts w:asciiTheme="majorHAnsi" w:eastAsiaTheme="majorEastAsia" w:hAnsiTheme="majorHAnsi" w:cstheme="majorBidi"/>
      <w:b/>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before="80" w:after="60"/>
      <w:jc w:val="left"/>
    </w:pPr>
    <w:rPr>
      <w:b/>
      <w:bCs/>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Caption">
    <w:name w:val="Equation Caption"/>
    <w:pPr>
      <w:keepLines/>
      <w:spacing w:before="60" w:after="100"/>
    </w:pPr>
    <w:rPr>
      <w:rFonts w:ascii="Times New Roman" w:hAnsi="Times New Roman"/>
      <w:color w:val="000000"/>
      <w:sz w:val="24"/>
    </w:rPr>
  </w:style>
  <w:style w:type="character" w:styleId="Hyperlink">
    <w:name w:val="Hyperlink"/>
    <w:basedOn w:val="DefaultParagraphFont"/>
    <w:uiPriority w:val="99"/>
    <w:unhideWhenUsed/>
    <w:rsid w:val="00B71BC0"/>
    <w:rPr>
      <w:color w:val="0000FF" w:themeColor="hyperlink"/>
      <w:u w:val="single"/>
    </w:rPr>
  </w:style>
  <w:style w:type="paragraph" w:styleId="NormalWeb">
    <w:name w:val="Normal (Web)"/>
    <w:basedOn w:val="Normal"/>
    <w:uiPriority w:val="99"/>
    <w:semiHidden/>
    <w:unhideWhenUsed/>
    <w:rsid w:val="00B71BC0"/>
    <w:rPr>
      <w:rFonts w:cs="Times New Roman"/>
      <w:szCs w:val="24"/>
    </w:rPr>
  </w:style>
  <w:style w:type="character" w:styleId="UnresolvedMention">
    <w:name w:val="Unresolved Mention"/>
    <w:basedOn w:val="DefaultParagraphFont"/>
    <w:uiPriority w:val="99"/>
    <w:semiHidden/>
    <w:unhideWhenUsed/>
    <w:rsid w:val="009C6E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1529-025-00573-y.pdf" TargetMode="External"/><Relationship Id="rId18" Type="http://schemas.openxmlformats.org/officeDocument/2006/relationships/hyperlink" Target="https://doaj.org/article/635eee15555e402da91ab422d3224987" TargetMode="External"/><Relationship Id="rId26" Type="http://schemas.openxmlformats.org/officeDocument/2006/relationships/image" Target="media/image7.png"/><Relationship Id="rId21" Type="http://schemas.openxmlformats.org/officeDocument/2006/relationships/image" Target="media/image2.png"/><Relationship Id="rId34" Type="http://schemas.openxmlformats.org/officeDocument/2006/relationships/hyperlink" Target="https://www.data.bsee.gov/Main/RawData.aspx" TargetMode="External"/><Relationship Id="rId7" Type="http://schemas.openxmlformats.org/officeDocument/2006/relationships/endnotes" Target="endnotes.xml"/><Relationship Id="rId12" Type="http://schemas.openxmlformats.org/officeDocument/2006/relationships/hyperlink" Target="https://www.nature.com/articles/s41529-025-00561-2" TargetMode="External"/><Relationship Id="rId17" Type="http://schemas.openxmlformats.org/officeDocument/2006/relationships/hyperlink" Target="https://scijournals.onlinelibrary.wiley.com/doi/10.1002/ese3.70204" TargetMode="External"/><Relationship Id="rId25" Type="http://schemas.openxmlformats.org/officeDocument/2006/relationships/image" Target="media/image6.png"/><Relationship Id="rId33" Type="http://schemas.openxmlformats.org/officeDocument/2006/relationships/hyperlink" Target="https://github.com/Kabil-8/Standardization-Supervision-and-Evaluation-Model-for-the-Oil-and-Gas-Industry" TargetMode="External"/><Relationship Id="rId2" Type="http://schemas.openxmlformats.org/officeDocument/2006/relationships/numbering" Target="numbering.xml"/><Relationship Id="rId16" Type="http://schemas.openxmlformats.org/officeDocument/2006/relationships/hyperlink" Target="https://www.sciencedirect.com/science/article/pii/S0952197625007328" TargetMode="External"/><Relationship Id="rId20" Type="http://schemas.openxmlformats.org/officeDocument/2006/relationships/image" Target="media/image1.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667143326000910"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ciencedirect.com/science/article/abs/pii/S0009250926009206"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hyperlink" Target="https://doi.org/10.1016/j.rineng.2026.110288" TargetMode="External"/><Relationship Id="rId19" Type="http://schemas.openxmlformats.org/officeDocument/2006/relationships/hyperlink" Target="https://www.jstage.jst.go.jp/article/arr/5/1/5_16/_article/-char/en"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doaj.org/article/75369947aabc4428802a49290a76708b" TargetMode="External"/><Relationship Id="rId14" Type="http://schemas.openxmlformats.org/officeDocument/2006/relationships/hyperlink" Target="https://pubs.acs.org/doi/abs/10.1021/acsomega.4c10874"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oter" Target="footer1.xml"/><Relationship Id="rId8" Type="http://schemas.openxmlformats.org/officeDocument/2006/relationships/hyperlink" Target="https://www.sciencedirect.com/science/article/abs/pii/S1568494625001383"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13075</Words>
  <Characters>74530</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TECR-Net manuscript — all document-resolvable issues corrected with highlights</vt:lpstr>
    </vt:vector>
  </TitlesOfParts>
  <Manager/>
  <Company/>
  <LinksUpToDate>false</LinksUpToDate>
  <CharactersWithSpaces>87431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TECR-Net manuscript — all document-resolvable issues corrected with highlights</dc:title>
  <dc:subject>Evidence-aligned SCI manuscript revision</dc:subject>
  <dc:creator>Kabil K</dc:creator>
  <cp:keywords>BSEE; recorded INC; retrospective development; temporal modelling; offshore platforms</cp:keywords>
  <dc:description>Yellow highlights mark corrected manuscript text; experimental requirements needing new evidence remain explicit.</dc:description>
  <cp:lastModifiedBy>Kabil K</cp:lastModifiedBy>
  <cp:revision>2</cp:revision>
  <dcterms:created xsi:type="dcterms:W3CDTF">2026-10-17T12:14:00Z</dcterms:created>
  <dcterms:modified xsi:type="dcterms:W3CDTF">2026-10-17T12:14:00Z</dcterms:modified>
  <cp:category/>
</cp:coreProperties>
</file>