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4C8B" w14:textId="77777777" w:rsidR="005F0534" w:rsidRDefault="005F0534" w:rsidP="004A142A">
      <w:pPr>
        <w:pBdr>
          <w:bottom w:val="single" w:sz="4" w:space="1" w:color="auto"/>
        </w:pBdr>
        <w:spacing w:line="360" w:lineRule="auto"/>
        <w:jc w:val="both"/>
        <w:rPr>
          <w:sz w:val="40"/>
          <w:szCs w:val="40"/>
        </w:rPr>
      </w:pPr>
    </w:p>
    <w:p w14:paraId="4E65681E" w14:textId="1E25DF32"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r w:rsidRPr="009362A9">
        <w:rPr>
          <w:rFonts w:ascii="Times New Roman" w:hAnsi="Times New Roman" w:cs="Times New Roman"/>
          <w:b/>
          <w:bCs/>
          <w:sz w:val="48"/>
          <w:szCs w:val="48"/>
        </w:rPr>
        <w:t>Discounted Cash Flow Valuation of Adidas AG</w:t>
      </w:r>
    </w:p>
    <w:p w14:paraId="235830B3" w14:textId="77777777"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p>
    <w:p w14:paraId="07FDD7D5" w14:textId="77777777"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p>
    <w:p w14:paraId="334CBC4C" w14:textId="77777777"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p>
    <w:p w14:paraId="3CC9A0AD" w14:textId="77777777"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p>
    <w:p w14:paraId="095108CA" w14:textId="21E08135"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r w:rsidRPr="009362A9">
        <w:rPr>
          <w:rFonts w:ascii="Times New Roman" w:hAnsi="Times New Roman" w:cs="Times New Roman"/>
          <w:b/>
          <w:bCs/>
          <w:sz w:val="48"/>
          <w:szCs w:val="48"/>
        </w:rPr>
        <w:t>Kabir Rao</w:t>
      </w:r>
    </w:p>
    <w:p w14:paraId="04CAE4FC" w14:textId="77777777" w:rsidR="005F0534" w:rsidRPr="009362A9" w:rsidRDefault="005F0534" w:rsidP="004A142A">
      <w:pPr>
        <w:pBdr>
          <w:bottom w:val="single" w:sz="4" w:space="1" w:color="auto"/>
        </w:pBdr>
        <w:spacing w:line="360" w:lineRule="auto"/>
        <w:jc w:val="both"/>
        <w:rPr>
          <w:rFonts w:ascii="Times New Roman" w:hAnsi="Times New Roman" w:cs="Times New Roman"/>
          <w:b/>
          <w:bCs/>
          <w:sz w:val="48"/>
          <w:szCs w:val="48"/>
        </w:rPr>
      </w:pPr>
      <w:r w:rsidRPr="009362A9">
        <w:rPr>
          <w:rFonts w:ascii="Times New Roman" w:hAnsi="Times New Roman" w:cs="Times New Roman"/>
          <w:b/>
          <w:bCs/>
          <w:sz w:val="48"/>
          <w:szCs w:val="48"/>
        </w:rPr>
        <w:t>Financial Valuation Project</w:t>
      </w:r>
    </w:p>
    <w:p w14:paraId="7170DA0A" w14:textId="77777777" w:rsidR="00B621F8" w:rsidRPr="009362A9" w:rsidRDefault="005F0534" w:rsidP="00EC7B63">
      <w:pPr>
        <w:pBdr>
          <w:bottom w:val="single" w:sz="4" w:space="1" w:color="auto"/>
        </w:pBdr>
        <w:spacing w:line="360" w:lineRule="auto"/>
        <w:jc w:val="both"/>
        <w:rPr>
          <w:rFonts w:ascii="Times New Roman" w:hAnsi="Times New Roman" w:cs="Times New Roman"/>
          <w:b/>
          <w:bCs/>
          <w:sz w:val="48"/>
          <w:szCs w:val="48"/>
        </w:rPr>
      </w:pPr>
      <w:r w:rsidRPr="009362A9">
        <w:rPr>
          <w:rFonts w:ascii="Times New Roman" w:hAnsi="Times New Roman" w:cs="Times New Roman"/>
          <w:b/>
          <w:bCs/>
          <w:sz w:val="48"/>
          <w:szCs w:val="48"/>
        </w:rPr>
        <w:t>March 2026</w:t>
      </w:r>
    </w:p>
    <w:p w14:paraId="43105274" w14:textId="77777777" w:rsidR="00173C9C" w:rsidRDefault="00173C9C">
      <w:pPr>
        <w:rPr>
          <w:sz w:val="40"/>
          <w:szCs w:val="40"/>
        </w:rPr>
      </w:pPr>
    </w:p>
    <w:p w14:paraId="558C315F" w14:textId="77777777" w:rsidR="00173C9C" w:rsidRDefault="00173C9C">
      <w:pPr>
        <w:rPr>
          <w:sz w:val="40"/>
          <w:szCs w:val="40"/>
        </w:rPr>
      </w:pPr>
    </w:p>
    <w:p w14:paraId="33358837" w14:textId="77777777" w:rsidR="00173C9C" w:rsidRDefault="00173C9C">
      <w:pPr>
        <w:rPr>
          <w:sz w:val="40"/>
          <w:szCs w:val="40"/>
        </w:rPr>
      </w:pPr>
    </w:p>
    <w:p w14:paraId="41F517E6" w14:textId="77777777" w:rsidR="00173C9C" w:rsidRDefault="00173C9C">
      <w:pPr>
        <w:rPr>
          <w:sz w:val="40"/>
          <w:szCs w:val="40"/>
        </w:rPr>
      </w:pPr>
    </w:p>
    <w:p w14:paraId="6F1B3529" w14:textId="77777777" w:rsidR="00173C9C" w:rsidRDefault="00173C9C">
      <w:pPr>
        <w:rPr>
          <w:sz w:val="40"/>
          <w:szCs w:val="40"/>
        </w:rPr>
      </w:pPr>
    </w:p>
    <w:tbl>
      <w:tblPr>
        <w:tblStyle w:val="TableGrid"/>
        <w:tblW w:w="0" w:type="auto"/>
        <w:tblLook w:val="04A0" w:firstRow="1" w:lastRow="0" w:firstColumn="1" w:lastColumn="0" w:noHBand="0" w:noVBand="1"/>
      </w:tblPr>
      <w:tblGrid>
        <w:gridCol w:w="6040"/>
        <w:gridCol w:w="2317"/>
      </w:tblGrid>
      <w:tr w:rsidR="00173C9C" w14:paraId="4271F53B" w14:textId="77777777" w:rsidTr="009362A9">
        <w:trPr>
          <w:trHeight w:val="560"/>
        </w:trPr>
        <w:tc>
          <w:tcPr>
            <w:tcW w:w="6040" w:type="dxa"/>
          </w:tcPr>
          <w:p w14:paraId="7C48FD1E" w14:textId="73AC53AD" w:rsidR="00173C9C" w:rsidRPr="00173C9C" w:rsidRDefault="00173C9C">
            <w:pPr>
              <w:rPr>
                <w:rFonts w:ascii="Times New Roman" w:hAnsi="Times New Roman" w:cs="Times New Roman"/>
                <w:b/>
                <w:bCs/>
                <w:sz w:val="32"/>
                <w:szCs w:val="32"/>
              </w:rPr>
            </w:pPr>
            <w:r w:rsidRPr="00173C9C">
              <w:rPr>
                <w:rFonts w:ascii="Times New Roman" w:hAnsi="Times New Roman" w:cs="Times New Roman"/>
                <w:b/>
                <w:bCs/>
                <w:sz w:val="32"/>
                <w:szCs w:val="32"/>
              </w:rPr>
              <w:lastRenderedPageBreak/>
              <w:t xml:space="preserve">Table of contents </w:t>
            </w:r>
          </w:p>
        </w:tc>
        <w:tc>
          <w:tcPr>
            <w:tcW w:w="2317" w:type="dxa"/>
          </w:tcPr>
          <w:p w14:paraId="17235B4A" w14:textId="3AEB27C7" w:rsidR="00173C9C" w:rsidRPr="00173C9C" w:rsidRDefault="00173C9C">
            <w:pPr>
              <w:rPr>
                <w:rFonts w:ascii="Times New Roman" w:hAnsi="Times New Roman" w:cs="Times New Roman"/>
                <w:b/>
                <w:bCs/>
                <w:sz w:val="32"/>
                <w:szCs w:val="32"/>
              </w:rPr>
            </w:pPr>
            <w:r w:rsidRPr="00173C9C">
              <w:rPr>
                <w:rFonts w:ascii="Times New Roman" w:hAnsi="Times New Roman" w:cs="Times New Roman"/>
                <w:b/>
                <w:bCs/>
                <w:sz w:val="32"/>
                <w:szCs w:val="32"/>
              </w:rPr>
              <w:t xml:space="preserve">Page number </w:t>
            </w:r>
          </w:p>
        </w:tc>
      </w:tr>
      <w:tr w:rsidR="00173C9C" w:rsidRPr="009362A9" w14:paraId="55EEE5D3" w14:textId="77777777" w:rsidTr="009362A9">
        <w:trPr>
          <w:trHeight w:val="978"/>
        </w:trPr>
        <w:tc>
          <w:tcPr>
            <w:tcW w:w="6040" w:type="dxa"/>
          </w:tcPr>
          <w:p w14:paraId="560AE4A9" w14:textId="40BA5ED3"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 xml:space="preserve">Executive summary </w:t>
            </w:r>
          </w:p>
          <w:p w14:paraId="28D9BFFC" w14:textId="51945B9D" w:rsidR="00173C9C" w:rsidRPr="009362A9" w:rsidRDefault="00173C9C">
            <w:pPr>
              <w:rPr>
                <w:rFonts w:ascii="Times New Roman" w:hAnsi="Times New Roman" w:cs="Times New Roman"/>
                <w:b/>
                <w:bCs/>
                <w:sz w:val="28"/>
                <w:szCs w:val="28"/>
              </w:rPr>
            </w:pPr>
          </w:p>
        </w:tc>
        <w:tc>
          <w:tcPr>
            <w:tcW w:w="2317" w:type="dxa"/>
          </w:tcPr>
          <w:p w14:paraId="44A7016F" w14:textId="2D6DF6D2"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3</w:t>
            </w:r>
          </w:p>
        </w:tc>
      </w:tr>
      <w:tr w:rsidR="00173C9C" w:rsidRPr="009362A9" w14:paraId="407F3BB0" w14:textId="77777777" w:rsidTr="009362A9">
        <w:trPr>
          <w:trHeight w:val="1449"/>
        </w:trPr>
        <w:tc>
          <w:tcPr>
            <w:tcW w:w="6040" w:type="dxa"/>
          </w:tcPr>
          <w:p w14:paraId="526970B6" w14:textId="77777777"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 xml:space="preserve">Company overview </w:t>
            </w:r>
          </w:p>
          <w:p w14:paraId="48F3BC13" w14:textId="2C3FBB7D" w:rsidR="00173C9C" w:rsidRPr="009362A9" w:rsidRDefault="00173C9C" w:rsidP="00173C9C">
            <w:pPr>
              <w:pStyle w:val="ListParagraph"/>
              <w:rPr>
                <w:rFonts w:ascii="Times New Roman" w:hAnsi="Times New Roman" w:cs="Times New Roman"/>
                <w:b/>
                <w:bCs/>
                <w:sz w:val="28"/>
                <w:szCs w:val="28"/>
              </w:rPr>
            </w:pPr>
            <w:r w:rsidRPr="009362A9">
              <w:rPr>
                <w:rFonts w:ascii="Times New Roman" w:hAnsi="Times New Roman" w:cs="Times New Roman"/>
                <w:b/>
                <w:bCs/>
                <w:sz w:val="28"/>
                <w:szCs w:val="28"/>
              </w:rPr>
              <w:t>2.1 Operating activities and capital structure of adidas AG</w:t>
            </w:r>
          </w:p>
        </w:tc>
        <w:tc>
          <w:tcPr>
            <w:tcW w:w="2317" w:type="dxa"/>
          </w:tcPr>
          <w:p w14:paraId="5C0BFE5C" w14:textId="77777777"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5</w:t>
            </w:r>
          </w:p>
          <w:p w14:paraId="4982F85F" w14:textId="689C5528"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 xml:space="preserve">6 </w:t>
            </w:r>
          </w:p>
        </w:tc>
      </w:tr>
      <w:tr w:rsidR="00173C9C" w:rsidRPr="009362A9" w14:paraId="2C1D3787" w14:textId="77777777" w:rsidTr="009362A9">
        <w:trPr>
          <w:trHeight w:val="1461"/>
        </w:trPr>
        <w:tc>
          <w:tcPr>
            <w:tcW w:w="6040" w:type="dxa"/>
          </w:tcPr>
          <w:p w14:paraId="1D9CACC3" w14:textId="77777777"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 xml:space="preserve">Sportwear industry overview </w:t>
            </w:r>
          </w:p>
          <w:p w14:paraId="6C21AD58" w14:textId="45364295" w:rsidR="00173C9C" w:rsidRPr="009362A9" w:rsidRDefault="00173C9C" w:rsidP="00173C9C">
            <w:pPr>
              <w:pStyle w:val="ListParagraph"/>
              <w:rPr>
                <w:rFonts w:ascii="Times New Roman" w:hAnsi="Times New Roman" w:cs="Times New Roman"/>
                <w:b/>
                <w:bCs/>
                <w:sz w:val="28"/>
                <w:szCs w:val="28"/>
              </w:rPr>
            </w:pPr>
            <w:r w:rsidRPr="009362A9">
              <w:rPr>
                <w:rFonts w:ascii="Times New Roman" w:hAnsi="Times New Roman" w:cs="Times New Roman"/>
                <w:b/>
                <w:bCs/>
                <w:sz w:val="28"/>
                <w:szCs w:val="28"/>
              </w:rPr>
              <w:t>3.1 Industry Trends in the Global Sportswear Market</w:t>
            </w:r>
          </w:p>
        </w:tc>
        <w:tc>
          <w:tcPr>
            <w:tcW w:w="2317" w:type="dxa"/>
          </w:tcPr>
          <w:p w14:paraId="53959173" w14:textId="77777777"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8</w:t>
            </w:r>
          </w:p>
          <w:p w14:paraId="63040413" w14:textId="2AAB768B"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10</w:t>
            </w:r>
          </w:p>
        </w:tc>
      </w:tr>
      <w:tr w:rsidR="00173C9C" w:rsidRPr="009362A9" w14:paraId="32639ACF" w14:textId="77777777" w:rsidTr="009362A9">
        <w:trPr>
          <w:trHeight w:val="2924"/>
        </w:trPr>
        <w:tc>
          <w:tcPr>
            <w:tcW w:w="6040" w:type="dxa"/>
          </w:tcPr>
          <w:p w14:paraId="6DAD93F1" w14:textId="77777777"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Historical financial performance</w:t>
            </w:r>
          </w:p>
          <w:p w14:paraId="72693CDC" w14:textId="0FB4CB1A"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Revenue Growth</w:t>
            </w:r>
          </w:p>
          <w:p w14:paraId="7047DB4B" w14:textId="712197C8"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Profitability and Operating Performance</w:t>
            </w:r>
          </w:p>
          <w:p w14:paraId="23381376" w14:textId="3BA1134B"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Cash Flow and Financial Position</w:t>
            </w:r>
          </w:p>
          <w:p w14:paraId="77E7FBB9" w14:textId="49BFE58E" w:rsidR="00173C9C" w:rsidRPr="009362A9" w:rsidRDefault="00173C9C" w:rsidP="00173C9C">
            <w:pPr>
              <w:pStyle w:val="ListParagraph"/>
              <w:rPr>
                <w:rFonts w:ascii="Times New Roman" w:hAnsi="Times New Roman" w:cs="Times New Roman"/>
                <w:b/>
                <w:bCs/>
                <w:sz w:val="28"/>
                <w:szCs w:val="28"/>
              </w:rPr>
            </w:pPr>
          </w:p>
        </w:tc>
        <w:tc>
          <w:tcPr>
            <w:tcW w:w="2317" w:type="dxa"/>
          </w:tcPr>
          <w:p w14:paraId="3B340529" w14:textId="77777777" w:rsidR="00173C9C"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12</w:t>
            </w:r>
          </w:p>
          <w:p w14:paraId="3A4D992F" w14:textId="77777777"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12</w:t>
            </w:r>
          </w:p>
          <w:p w14:paraId="2AAEB7B7" w14:textId="77777777"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14</w:t>
            </w:r>
          </w:p>
          <w:p w14:paraId="7B9841C5" w14:textId="77777777" w:rsidR="009362A9" w:rsidRPr="009362A9" w:rsidRDefault="009362A9">
            <w:pPr>
              <w:rPr>
                <w:rFonts w:ascii="Times New Roman" w:hAnsi="Times New Roman" w:cs="Times New Roman"/>
                <w:b/>
                <w:bCs/>
                <w:sz w:val="28"/>
                <w:szCs w:val="28"/>
              </w:rPr>
            </w:pPr>
          </w:p>
          <w:p w14:paraId="19B0E591" w14:textId="12C6BF28"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16</w:t>
            </w:r>
          </w:p>
        </w:tc>
      </w:tr>
      <w:tr w:rsidR="00173C9C" w:rsidRPr="009362A9" w14:paraId="6850A399" w14:textId="77777777" w:rsidTr="009362A9">
        <w:trPr>
          <w:trHeight w:val="483"/>
        </w:trPr>
        <w:tc>
          <w:tcPr>
            <w:tcW w:w="6040" w:type="dxa"/>
          </w:tcPr>
          <w:p w14:paraId="3236B458" w14:textId="0AAEAE0F"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Valuation Methodology</w:t>
            </w:r>
          </w:p>
        </w:tc>
        <w:tc>
          <w:tcPr>
            <w:tcW w:w="2317" w:type="dxa"/>
          </w:tcPr>
          <w:p w14:paraId="77B14FD5" w14:textId="2341E669" w:rsidR="00173C9C"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19</w:t>
            </w:r>
          </w:p>
        </w:tc>
      </w:tr>
      <w:tr w:rsidR="00173C9C" w:rsidRPr="009362A9" w14:paraId="5B25DDCA" w14:textId="77777777" w:rsidTr="009362A9">
        <w:trPr>
          <w:trHeight w:val="2441"/>
        </w:trPr>
        <w:tc>
          <w:tcPr>
            <w:tcW w:w="6040" w:type="dxa"/>
          </w:tcPr>
          <w:p w14:paraId="1465642F" w14:textId="4289C72D"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 xml:space="preserve">  Key Model Assumptions</w:t>
            </w:r>
          </w:p>
          <w:p w14:paraId="7D6EAE53" w14:textId="1A22AD40"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Revenue Growth</w:t>
            </w:r>
          </w:p>
          <w:p w14:paraId="5C963608" w14:textId="77777777"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Operating Margin</w:t>
            </w:r>
          </w:p>
          <w:p w14:paraId="5D2ABD0A" w14:textId="77777777"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Discount Rate (WACC)</w:t>
            </w:r>
          </w:p>
          <w:p w14:paraId="49E6E71E" w14:textId="7A18AC6B" w:rsidR="00173C9C" w:rsidRPr="009362A9" w:rsidRDefault="00173C9C" w:rsidP="00173C9C">
            <w:pPr>
              <w:pStyle w:val="ListParagraph"/>
              <w:numPr>
                <w:ilvl w:val="1"/>
                <w:numId w:val="9"/>
              </w:numPr>
              <w:rPr>
                <w:rFonts w:ascii="Times New Roman" w:hAnsi="Times New Roman" w:cs="Times New Roman"/>
                <w:b/>
                <w:bCs/>
                <w:sz w:val="28"/>
                <w:szCs w:val="28"/>
              </w:rPr>
            </w:pPr>
            <w:r w:rsidRPr="009362A9">
              <w:rPr>
                <w:rFonts w:ascii="Times New Roman" w:hAnsi="Times New Roman" w:cs="Times New Roman"/>
                <w:b/>
                <w:bCs/>
                <w:sz w:val="28"/>
                <w:szCs w:val="28"/>
              </w:rPr>
              <w:t>Terminal Growth Rate</w:t>
            </w:r>
          </w:p>
        </w:tc>
        <w:tc>
          <w:tcPr>
            <w:tcW w:w="2317" w:type="dxa"/>
          </w:tcPr>
          <w:p w14:paraId="24DA4F7D" w14:textId="77777777" w:rsidR="00173C9C"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21</w:t>
            </w:r>
          </w:p>
          <w:p w14:paraId="28662B3B" w14:textId="77777777"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21</w:t>
            </w:r>
          </w:p>
          <w:p w14:paraId="70794AA4" w14:textId="77777777"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21</w:t>
            </w:r>
          </w:p>
          <w:p w14:paraId="10626822" w14:textId="77777777"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22</w:t>
            </w:r>
          </w:p>
          <w:p w14:paraId="3A3D4251" w14:textId="3188F569" w:rsidR="009362A9" w:rsidRPr="009362A9" w:rsidRDefault="009362A9">
            <w:pPr>
              <w:rPr>
                <w:rFonts w:ascii="Times New Roman" w:hAnsi="Times New Roman" w:cs="Times New Roman"/>
                <w:b/>
                <w:bCs/>
                <w:sz w:val="28"/>
                <w:szCs w:val="28"/>
              </w:rPr>
            </w:pPr>
            <w:r w:rsidRPr="009362A9">
              <w:rPr>
                <w:rFonts w:ascii="Times New Roman" w:hAnsi="Times New Roman" w:cs="Times New Roman"/>
                <w:b/>
                <w:bCs/>
                <w:sz w:val="28"/>
                <w:szCs w:val="28"/>
              </w:rPr>
              <w:t>22</w:t>
            </w:r>
          </w:p>
        </w:tc>
      </w:tr>
      <w:tr w:rsidR="00173C9C" w:rsidRPr="009362A9" w14:paraId="0042F85F" w14:textId="77777777" w:rsidTr="009362A9">
        <w:trPr>
          <w:trHeight w:val="966"/>
        </w:trPr>
        <w:tc>
          <w:tcPr>
            <w:tcW w:w="6040" w:type="dxa"/>
          </w:tcPr>
          <w:p w14:paraId="625C4762" w14:textId="77777777"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Discounted Cash Flow Valuation</w:t>
            </w:r>
          </w:p>
          <w:p w14:paraId="63777FF8" w14:textId="77777777" w:rsidR="00173C9C" w:rsidRPr="009362A9" w:rsidRDefault="00173C9C" w:rsidP="00173C9C">
            <w:pPr>
              <w:pStyle w:val="ListParagraph"/>
              <w:rPr>
                <w:rFonts w:ascii="Times New Roman" w:hAnsi="Times New Roman" w:cs="Times New Roman"/>
                <w:b/>
                <w:bCs/>
                <w:sz w:val="28"/>
                <w:szCs w:val="28"/>
              </w:rPr>
            </w:pPr>
          </w:p>
        </w:tc>
        <w:tc>
          <w:tcPr>
            <w:tcW w:w="2317" w:type="dxa"/>
          </w:tcPr>
          <w:p w14:paraId="7A754773" w14:textId="043E68DF"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24</w:t>
            </w:r>
          </w:p>
        </w:tc>
      </w:tr>
      <w:tr w:rsidR="00173C9C" w:rsidRPr="009362A9" w14:paraId="25A90B4B" w14:textId="77777777" w:rsidTr="009362A9">
        <w:trPr>
          <w:trHeight w:val="809"/>
        </w:trPr>
        <w:tc>
          <w:tcPr>
            <w:tcW w:w="6040" w:type="dxa"/>
          </w:tcPr>
          <w:p w14:paraId="4CBC9D1E" w14:textId="048AA5EA" w:rsidR="00173C9C" w:rsidRPr="009362A9" w:rsidRDefault="00173C9C" w:rsidP="00173C9C">
            <w:pPr>
              <w:pStyle w:val="ListParagraph"/>
              <w:numPr>
                <w:ilvl w:val="0"/>
                <w:numId w:val="9"/>
              </w:numPr>
              <w:rPr>
                <w:rFonts w:ascii="Times New Roman" w:hAnsi="Times New Roman" w:cs="Times New Roman"/>
                <w:b/>
                <w:bCs/>
                <w:sz w:val="28"/>
                <w:szCs w:val="28"/>
              </w:rPr>
            </w:pPr>
            <w:r w:rsidRPr="009362A9">
              <w:rPr>
                <w:rFonts w:ascii="Times New Roman" w:hAnsi="Times New Roman" w:cs="Times New Roman"/>
                <w:b/>
                <w:bCs/>
                <w:sz w:val="28"/>
                <w:szCs w:val="28"/>
              </w:rPr>
              <w:t xml:space="preserve">Conclusion </w:t>
            </w:r>
          </w:p>
        </w:tc>
        <w:tc>
          <w:tcPr>
            <w:tcW w:w="2317" w:type="dxa"/>
          </w:tcPr>
          <w:p w14:paraId="7AE45BF7" w14:textId="185E1D52"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t>26</w:t>
            </w:r>
          </w:p>
        </w:tc>
      </w:tr>
    </w:tbl>
    <w:p w14:paraId="2809BDC0" w14:textId="54B826BC" w:rsidR="00173C9C" w:rsidRPr="009362A9" w:rsidRDefault="00173C9C">
      <w:pPr>
        <w:rPr>
          <w:rFonts w:ascii="Times New Roman" w:hAnsi="Times New Roman" w:cs="Times New Roman"/>
          <w:b/>
          <w:bCs/>
          <w:sz w:val="28"/>
          <w:szCs w:val="28"/>
        </w:rPr>
      </w:pPr>
      <w:r w:rsidRPr="009362A9">
        <w:rPr>
          <w:rFonts w:ascii="Times New Roman" w:hAnsi="Times New Roman" w:cs="Times New Roman"/>
          <w:b/>
          <w:bCs/>
          <w:sz w:val="28"/>
          <w:szCs w:val="28"/>
        </w:rPr>
        <w:br w:type="page"/>
      </w:r>
    </w:p>
    <w:p w14:paraId="6239D703" w14:textId="77777777" w:rsidR="00B621F8" w:rsidRDefault="00B621F8" w:rsidP="00EC7B63">
      <w:pPr>
        <w:pBdr>
          <w:bottom w:val="single" w:sz="4" w:space="1" w:color="auto"/>
        </w:pBdr>
        <w:spacing w:line="360" w:lineRule="auto"/>
        <w:jc w:val="both"/>
        <w:rPr>
          <w:sz w:val="40"/>
          <w:szCs w:val="40"/>
        </w:rPr>
      </w:pPr>
    </w:p>
    <w:p w14:paraId="175168DE" w14:textId="77777777" w:rsidR="005F0534" w:rsidRDefault="005F0534" w:rsidP="004A142A">
      <w:pPr>
        <w:pBdr>
          <w:bottom w:val="single" w:sz="4" w:space="1" w:color="auto"/>
        </w:pBdr>
        <w:spacing w:line="360" w:lineRule="auto"/>
        <w:jc w:val="both"/>
        <w:rPr>
          <w:sz w:val="40"/>
          <w:szCs w:val="40"/>
        </w:rPr>
      </w:pPr>
    </w:p>
    <w:p w14:paraId="1F93CA33" w14:textId="77777777" w:rsidR="004A142A" w:rsidRDefault="004A142A" w:rsidP="004A142A">
      <w:pPr>
        <w:pBdr>
          <w:bottom w:val="single" w:sz="4" w:space="1" w:color="auto"/>
        </w:pBdr>
        <w:spacing w:line="360" w:lineRule="auto"/>
        <w:jc w:val="both"/>
        <w:rPr>
          <w:sz w:val="40"/>
          <w:szCs w:val="40"/>
        </w:rPr>
      </w:pPr>
    </w:p>
    <w:p w14:paraId="252F7ACE" w14:textId="67B641D9" w:rsidR="005F0534" w:rsidRPr="00BB4883" w:rsidRDefault="005F0534" w:rsidP="004A142A">
      <w:pPr>
        <w:pStyle w:val="ListParagraph"/>
        <w:numPr>
          <w:ilvl w:val="0"/>
          <w:numId w:val="2"/>
        </w:numPr>
        <w:pBdr>
          <w:bottom w:val="single" w:sz="4" w:space="1" w:color="auto"/>
        </w:pBdr>
        <w:spacing w:line="360" w:lineRule="auto"/>
        <w:jc w:val="both"/>
        <w:rPr>
          <w:rFonts w:ascii="Times New Roman" w:hAnsi="Times New Roman" w:cs="Times New Roman"/>
          <w:b/>
          <w:bCs/>
          <w:sz w:val="32"/>
          <w:szCs w:val="32"/>
        </w:rPr>
      </w:pPr>
      <w:r w:rsidRPr="00BB4883">
        <w:rPr>
          <w:rFonts w:ascii="Times New Roman" w:hAnsi="Times New Roman" w:cs="Times New Roman"/>
          <w:b/>
          <w:bCs/>
          <w:sz w:val="32"/>
          <w:szCs w:val="32"/>
        </w:rPr>
        <w:t>Executive Summary</w:t>
      </w:r>
    </w:p>
    <w:p w14:paraId="21B6045E"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3C190760" w14:textId="43835DE5" w:rsidR="005F0534" w:rsidRPr="00BB4883" w:rsidRDefault="005F0534"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This report presents a valuation analysis of Adidas AG using the Discounted Cash Flow (DCF) methodology. The objective of the analysis is to estimate the intrinsic value of the company based on its projected future cash flows and to assess whether the company is fairly valued based on fundamental financial performance. Adidas AG is one of the world’s leading sportswear companies and operates globally in the design, manufacturing, and marketing of athletic footwear, apparel, and accessories. The company has established a strong brand identity and maintains a significant presence across major global markets. Given its scale, global recognition, and position within the competitive sportswear industry, Adidas represents an appropriate case study for applying corporate finance valuation methods. This report aims to analyse the company’s historical financial performance, develop reasonable forecasts of future cash flows, and estimate the company’s value based on these projections.</w:t>
      </w:r>
    </w:p>
    <w:p w14:paraId="5FF1FE3B" w14:textId="7464E428" w:rsidR="005F0534" w:rsidRPr="00BB4883" w:rsidRDefault="005F0534"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To achieve this objective, the report applies the Discounted Cash Flow (DCF) valuation methodology, which is widely used in corporate finance and investment analysis to estimate the present value of a company based on its expected future cash flows. The DCF model works on the principle that the value of a company is equal to the present value of the cash flows it is expected to generate in the future. In this analysis, historical financial data was used as a foundation for forecasting future financial performance. Key financial variables such as revenue growth, operating margins, capital expenditures, and changes in working capital were used to project free cash flows over a defined forecast period. These projected free cash flows were then discounted to their present value using the Weighted Average Cost of Capital (WACC), which represents the company’s overall cost of financing from both equity and debt sources. </w:t>
      </w:r>
    </w:p>
    <w:p w14:paraId="59F3662A" w14:textId="521E36A4" w:rsidR="005F0534" w:rsidRPr="00BB4883" w:rsidRDefault="005F0534"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lastRenderedPageBreak/>
        <w:t>The results of the valuation analysis provide an estimate of the overall enterprise value and equity value of Adidas based on the assumptions used in the financial model. The valuation highlights how factors such as projected revenue growth, operating efficiency, and the chosen discount rate influence the estimated intrinsic value of the company. Furthermore, the analysis demonstrates that small changes in key assumptions, particularly the weighted average cost of capital and long-term growth rate, can significantly impact the final valuation outcome. Overall, the findings illustrate the usefulness of the DCF framework in assessing the fundamental financial value of a company. The valuation provides insight into the financial drivers that influence Adidas’ future performance and demonstrates how financial modelling can support investment analysis and strategic decision-making. While valuation results depend on assumptions and forecasts, the analysis provides a structured and analytical approach for evaluating the financial worth of the company.</w:t>
      </w:r>
    </w:p>
    <w:p w14:paraId="68147B2A" w14:textId="77777777" w:rsidR="005F0534" w:rsidRPr="00BB4883" w:rsidRDefault="005F0534" w:rsidP="004A142A">
      <w:pPr>
        <w:pBdr>
          <w:bottom w:val="single" w:sz="4" w:space="1" w:color="auto"/>
        </w:pBdr>
        <w:spacing w:line="360" w:lineRule="auto"/>
        <w:jc w:val="both"/>
        <w:rPr>
          <w:rFonts w:ascii="Times New Roman" w:hAnsi="Times New Roman" w:cs="Times New Roman"/>
        </w:rPr>
      </w:pPr>
    </w:p>
    <w:p w14:paraId="73031A79" w14:textId="77777777" w:rsidR="005F0534" w:rsidRDefault="005F0534" w:rsidP="004A142A">
      <w:pPr>
        <w:pBdr>
          <w:bottom w:val="single" w:sz="4" w:space="1" w:color="auto"/>
        </w:pBdr>
        <w:spacing w:line="360" w:lineRule="auto"/>
        <w:jc w:val="both"/>
        <w:rPr>
          <w:rFonts w:ascii="Times New Roman" w:hAnsi="Times New Roman" w:cs="Times New Roman"/>
        </w:rPr>
      </w:pPr>
    </w:p>
    <w:p w14:paraId="17F3B8C4" w14:textId="77777777" w:rsidR="004A142A" w:rsidRDefault="004A142A" w:rsidP="004A142A">
      <w:pPr>
        <w:pBdr>
          <w:bottom w:val="single" w:sz="4" w:space="1" w:color="auto"/>
        </w:pBdr>
        <w:spacing w:line="360" w:lineRule="auto"/>
        <w:jc w:val="both"/>
        <w:rPr>
          <w:rFonts w:ascii="Times New Roman" w:hAnsi="Times New Roman" w:cs="Times New Roman"/>
        </w:rPr>
      </w:pPr>
    </w:p>
    <w:p w14:paraId="3DA802E0" w14:textId="77777777" w:rsidR="004A142A" w:rsidRDefault="004A142A" w:rsidP="004A142A">
      <w:pPr>
        <w:pBdr>
          <w:bottom w:val="single" w:sz="4" w:space="1" w:color="auto"/>
        </w:pBdr>
        <w:spacing w:line="360" w:lineRule="auto"/>
        <w:jc w:val="both"/>
        <w:rPr>
          <w:rFonts w:ascii="Times New Roman" w:hAnsi="Times New Roman" w:cs="Times New Roman"/>
        </w:rPr>
      </w:pPr>
    </w:p>
    <w:p w14:paraId="4D435728" w14:textId="77777777" w:rsidR="004A142A" w:rsidRDefault="004A142A" w:rsidP="004A142A">
      <w:pPr>
        <w:pBdr>
          <w:bottom w:val="single" w:sz="4" w:space="1" w:color="auto"/>
        </w:pBdr>
        <w:spacing w:line="360" w:lineRule="auto"/>
        <w:jc w:val="both"/>
        <w:rPr>
          <w:rFonts w:ascii="Times New Roman" w:hAnsi="Times New Roman" w:cs="Times New Roman"/>
        </w:rPr>
      </w:pPr>
    </w:p>
    <w:p w14:paraId="05466A66" w14:textId="77777777" w:rsidR="004A142A" w:rsidRDefault="004A142A" w:rsidP="004A142A">
      <w:pPr>
        <w:pBdr>
          <w:bottom w:val="single" w:sz="4" w:space="1" w:color="auto"/>
        </w:pBdr>
        <w:spacing w:line="360" w:lineRule="auto"/>
        <w:jc w:val="both"/>
        <w:rPr>
          <w:rFonts w:ascii="Times New Roman" w:hAnsi="Times New Roman" w:cs="Times New Roman"/>
        </w:rPr>
      </w:pPr>
    </w:p>
    <w:p w14:paraId="4FFA5334" w14:textId="77777777" w:rsidR="004A142A" w:rsidRDefault="004A142A" w:rsidP="004A142A">
      <w:pPr>
        <w:pBdr>
          <w:bottom w:val="single" w:sz="4" w:space="1" w:color="auto"/>
        </w:pBdr>
        <w:spacing w:line="360" w:lineRule="auto"/>
        <w:jc w:val="both"/>
        <w:rPr>
          <w:rFonts w:ascii="Times New Roman" w:hAnsi="Times New Roman" w:cs="Times New Roman"/>
        </w:rPr>
      </w:pPr>
    </w:p>
    <w:p w14:paraId="0806AB4D" w14:textId="77777777" w:rsidR="004A142A" w:rsidRDefault="004A142A" w:rsidP="004A142A">
      <w:pPr>
        <w:pBdr>
          <w:bottom w:val="single" w:sz="4" w:space="1" w:color="auto"/>
        </w:pBdr>
        <w:spacing w:line="360" w:lineRule="auto"/>
        <w:jc w:val="both"/>
        <w:rPr>
          <w:rFonts w:ascii="Times New Roman" w:hAnsi="Times New Roman" w:cs="Times New Roman"/>
        </w:rPr>
      </w:pPr>
    </w:p>
    <w:p w14:paraId="5B782DCF" w14:textId="77777777" w:rsidR="004A142A" w:rsidRDefault="004A142A" w:rsidP="004A142A">
      <w:pPr>
        <w:pBdr>
          <w:bottom w:val="single" w:sz="4" w:space="1" w:color="auto"/>
        </w:pBdr>
        <w:spacing w:line="360" w:lineRule="auto"/>
        <w:jc w:val="both"/>
        <w:rPr>
          <w:rFonts w:ascii="Times New Roman" w:hAnsi="Times New Roman" w:cs="Times New Roman"/>
        </w:rPr>
      </w:pPr>
    </w:p>
    <w:p w14:paraId="1C842B1A" w14:textId="77777777" w:rsidR="004A142A" w:rsidRDefault="004A142A" w:rsidP="004A142A">
      <w:pPr>
        <w:pBdr>
          <w:bottom w:val="single" w:sz="4" w:space="1" w:color="auto"/>
        </w:pBdr>
        <w:spacing w:line="360" w:lineRule="auto"/>
        <w:jc w:val="both"/>
        <w:rPr>
          <w:rFonts w:ascii="Times New Roman" w:hAnsi="Times New Roman" w:cs="Times New Roman"/>
        </w:rPr>
      </w:pPr>
    </w:p>
    <w:p w14:paraId="7412817B" w14:textId="77777777" w:rsidR="004A142A" w:rsidRDefault="004A142A" w:rsidP="004A142A">
      <w:pPr>
        <w:pBdr>
          <w:bottom w:val="single" w:sz="4" w:space="1" w:color="auto"/>
        </w:pBdr>
        <w:spacing w:line="360" w:lineRule="auto"/>
        <w:jc w:val="both"/>
        <w:rPr>
          <w:rFonts w:ascii="Times New Roman" w:hAnsi="Times New Roman" w:cs="Times New Roman"/>
        </w:rPr>
      </w:pPr>
    </w:p>
    <w:p w14:paraId="2842515A" w14:textId="77777777" w:rsidR="004A142A" w:rsidRDefault="004A142A" w:rsidP="004A142A">
      <w:pPr>
        <w:pBdr>
          <w:bottom w:val="single" w:sz="4" w:space="1" w:color="auto"/>
        </w:pBdr>
        <w:spacing w:line="360" w:lineRule="auto"/>
        <w:jc w:val="both"/>
        <w:rPr>
          <w:rFonts w:ascii="Times New Roman" w:hAnsi="Times New Roman" w:cs="Times New Roman"/>
        </w:rPr>
      </w:pPr>
    </w:p>
    <w:p w14:paraId="5B63E6D0" w14:textId="77777777" w:rsidR="004A142A" w:rsidRDefault="004A142A" w:rsidP="004A142A">
      <w:pPr>
        <w:pBdr>
          <w:bottom w:val="single" w:sz="4" w:space="1" w:color="auto"/>
        </w:pBdr>
        <w:spacing w:line="360" w:lineRule="auto"/>
        <w:jc w:val="both"/>
        <w:rPr>
          <w:rFonts w:ascii="Times New Roman" w:hAnsi="Times New Roman" w:cs="Times New Roman"/>
        </w:rPr>
      </w:pPr>
    </w:p>
    <w:p w14:paraId="225FE233" w14:textId="77777777" w:rsidR="004A142A" w:rsidRDefault="004A142A" w:rsidP="004A142A">
      <w:pPr>
        <w:pBdr>
          <w:bottom w:val="single" w:sz="4" w:space="1" w:color="auto"/>
        </w:pBdr>
        <w:spacing w:line="360" w:lineRule="auto"/>
        <w:jc w:val="both"/>
        <w:rPr>
          <w:rFonts w:ascii="Times New Roman" w:hAnsi="Times New Roman" w:cs="Times New Roman"/>
        </w:rPr>
      </w:pPr>
    </w:p>
    <w:p w14:paraId="5E976005" w14:textId="77777777" w:rsidR="004A142A" w:rsidRDefault="004A142A" w:rsidP="004A142A">
      <w:pPr>
        <w:pBdr>
          <w:bottom w:val="single" w:sz="4" w:space="1" w:color="auto"/>
        </w:pBdr>
        <w:spacing w:line="360" w:lineRule="auto"/>
        <w:jc w:val="both"/>
        <w:rPr>
          <w:rFonts w:ascii="Times New Roman" w:hAnsi="Times New Roman" w:cs="Times New Roman"/>
        </w:rPr>
      </w:pPr>
    </w:p>
    <w:p w14:paraId="1EC2A2F3" w14:textId="77777777" w:rsidR="004A142A" w:rsidRDefault="004A142A" w:rsidP="004A142A">
      <w:pPr>
        <w:pBdr>
          <w:bottom w:val="single" w:sz="4" w:space="1" w:color="auto"/>
        </w:pBdr>
        <w:spacing w:line="360" w:lineRule="auto"/>
        <w:jc w:val="both"/>
        <w:rPr>
          <w:rFonts w:ascii="Times New Roman" w:hAnsi="Times New Roman" w:cs="Times New Roman"/>
        </w:rPr>
      </w:pPr>
    </w:p>
    <w:p w14:paraId="0E08B862" w14:textId="77777777" w:rsidR="004A142A" w:rsidRDefault="004A142A" w:rsidP="004A142A">
      <w:pPr>
        <w:pBdr>
          <w:bottom w:val="single" w:sz="4" w:space="1" w:color="auto"/>
        </w:pBdr>
        <w:spacing w:line="360" w:lineRule="auto"/>
        <w:jc w:val="both"/>
        <w:rPr>
          <w:rFonts w:ascii="Times New Roman" w:hAnsi="Times New Roman" w:cs="Times New Roman"/>
        </w:rPr>
      </w:pPr>
    </w:p>
    <w:p w14:paraId="467F0178" w14:textId="77777777" w:rsidR="004A142A" w:rsidRPr="00BB4883" w:rsidRDefault="004A142A" w:rsidP="004A142A">
      <w:pPr>
        <w:pBdr>
          <w:bottom w:val="single" w:sz="4" w:space="1" w:color="auto"/>
        </w:pBdr>
        <w:spacing w:line="360" w:lineRule="auto"/>
        <w:jc w:val="both"/>
        <w:rPr>
          <w:rFonts w:ascii="Times New Roman" w:hAnsi="Times New Roman" w:cs="Times New Roman"/>
        </w:rPr>
      </w:pPr>
    </w:p>
    <w:p w14:paraId="1323AE3B" w14:textId="6DA6C83D" w:rsidR="005F0534" w:rsidRPr="00BB4883" w:rsidRDefault="005F0534" w:rsidP="004A142A">
      <w:pPr>
        <w:pStyle w:val="ListParagraph"/>
        <w:numPr>
          <w:ilvl w:val="0"/>
          <w:numId w:val="2"/>
        </w:numPr>
        <w:pBdr>
          <w:bottom w:val="single" w:sz="4" w:space="1" w:color="auto"/>
        </w:pBdr>
        <w:spacing w:line="360" w:lineRule="auto"/>
        <w:jc w:val="both"/>
        <w:rPr>
          <w:rFonts w:ascii="Times New Roman" w:hAnsi="Times New Roman" w:cs="Times New Roman"/>
          <w:b/>
          <w:bCs/>
          <w:sz w:val="32"/>
          <w:szCs w:val="32"/>
        </w:rPr>
      </w:pPr>
      <w:r w:rsidRPr="00BB4883">
        <w:rPr>
          <w:rFonts w:ascii="Times New Roman" w:hAnsi="Times New Roman" w:cs="Times New Roman"/>
          <w:b/>
          <w:bCs/>
          <w:sz w:val="32"/>
          <w:szCs w:val="32"/>
        </w:rPr>
        <w:t>Company Overview</w:t>
      </w:r>
    </w:p>
    <w:p w14:paraId="725C0258" w14:textId="77777777" w:rsidR="005F0534" w:rsidRPr="00BB4883" w:rsidRDefault="005F0534" w:rsidP="004A142A">
      <w:pPr>
        <w:pBdr>
          <w:bottom w:val="single" w:sz="4" w:space="1" w:color="auto"/>
        </w:pBdr>
        <w:spacing w:line="360" w:lineRule="auto"/>
        <w:jc w:val="both"/>
        <w:rPr>
          <w:rFonts w:ascii="Times New Roman" w:hAnsi="Times New Roman" w:cs="Times New Roman"/>
          <w:b/>
          <w:bCs/>
        </w:rPr>
      </w:pPr>
    </w:p>
    <w:p w14:paraId="0D7F7F86" w14:textId="7519720A" w:rsidR="005F0534" w:rsidRPr="00BB4883" w:rsidRDefault="005F0534"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Adidas AG (German pronunciation is a German multinational athletic apparel and footwear corporation headquartered in Herzogenaurach, Germany. It is the largest sportswear manufacturer in Europe, and the second largest in the world, after Nike</w:t>
      </w:r>
      <w:r w:rsidR="00C426BA" w:rsidRPr="00BB4883">
        <w:rPr>
          <w:rFonts w:ascii="Times New Roman" w:hAnsi="Times New Roman" w:cs="Times New Roman"/>
        </w:rPr>
        <w:t xml:space="preserve">. </w:t>
      </w:r>
      <w:r w:rsidRPr="00BB4883">
        <w:rPr>
          <w:rFonts w:ascii="Times New Roman" w:hAnsi="Times New Roman" w:cs="Times New Roman"/>
        </w:rPr>
        <w:t xml:space="preserve">It is the holding company for the Adidas Group, which also owns an 8.33% stake in the football club Bayern Munich, and </w:t>
      </w:r>
      <w:proofErr w:type="spellStart"/>
      <w:r w:rsidRPr="00BB4883">
        <w:rPr>
          <w:rFonts w:ascii="Times New Roman" w:hAnsi="Times New Roman" w:cs="Times New Roman"/>
        </w:rPr>
        <w:t>Runtastictrian</w:t>
      </w:r>
      <w:proofErr w:type="spellEnd"/>
      <w:r w:rsidRPr="00BB4883">
        <w:rPr>
          <w:rFonts w:ascii="Times New Roman" w:hAnsi="Times New Roman" w:cs="Times New Roman"/>
        </w:rPr>
        <w:t xml:space="preserve"> fitness technology company. Adidas's revenue for 2024 was listed at €23 billion</w:t>
      </w:r>
      <w:r w:rsidR="00C426BA" w:rsidRPr="00BB4883">
        <w:rPr>
          <w:rFonts w:ascii="Times New Roman" w:hAnsi="Times New Roman" w:cs="Times New Roman"/>
        </w:rPr>
        <w:t xml:space="preserve">. </w:t>
      </w:r>
      <w:r w:rsidRPr="00BB4883">
        <w:rPr>
          <w:rFonts w:ascii="Times New Roman" w:hAnsi="Times New Roman" w:cs="Times New Roman"/>
        </w:rPr>
        <w:t>Adidas is best known for their iconic brand image, offering the Yeezy Boost sneakers, and is publicly recognized for their extensive long origin history for participating in sponsored athletes, and for providing gear in the FIFA World Cup series. The brand is also unique for performance innovation of their shoes with major deep ties with sports culture, and durability with their focus of sport shoes, clothing, backpacks, and other accessories. Its commitment to sustainability includes their digital technology and AI, including collaborating with cultural figures like Lionel Messi, Patrick Mahomes, Real Madrid, and Pharrell Williams.</w:t>
      </w:r>
    </w:p>
    <w:p w14:paraId="4CF397A9"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2AD437A8" w14:textId="489310AD" w:rsidR="005F0534" w:rsidRPr="00BB4883" w:rsidRDefault="00C426BA"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three stripes are Adidas's identity mark, having been used on the company's clothing and shoe designs as a marketing aid. The branding, which Adidas bought in 1952 from Finnish sports company Karhu Sports for the equivalent of €1,600 and two bottles of whiskey, became so successful that Dassler described Adidas as “The three stripes company”.</w:t>
      </w:r>
    </w:p>
    <w:p w14:paraId="44B04E38"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2442553F" w14:textId="7BD20FAD" w:rsidR="00C426BA" w:rsidRPr="00BB4883" w:rsidRDefault="00C426BA"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company was founded by Adolf "Adi" Dassler who made sports shoes in his mother's scullery or laundry room in Herzogenaurach, Germany after his return from World War I. In July 1924, his older brother Rudolf joined the business, which became "Dassler Brothers Shoe Factory" (</w:t>
      </w:r>
      <w:proofErr w:type="spellStart"/>
      <w:r w:rsidRPr="00BB4883">
        <w:rPr>
          <w:rFonts w:ascii="Times New Roman" w:hAnsi="Times New Roman" w:cs="Times New Roman"/>
        </w:rPr>
        <w:t>Gebrüder</w:t>
      </w:r>
      <w:proofErr w:type="spellEnd"/>
      <w:r w:rsidRPr="00BB4883">
        <w:rPr>
          <w:rFonts w:ascii="Times New Roman" w:hAnsi="Times New Roman" w:cs="Times New Roman"/>
        </w:rPr>
        <w:t xml:space="preserve"> Dassler Schuhfabrik). The electricity supply in Herzogenaurach was unreliable, so the brothers sometimes had to use pedal power from a stationary bicycle to run their equipment. Dassler assisted in the development of spiked running shoes (spikes) for </w:t>
      </w:r>
      <w:r w:rsidRPr="00BB4883">
        <w:rPr>
          <w:rFonts w:ascii="Times New Roman" w:hAnsi="Times New Roman" w:cs="Times New Roman"/>
        </w:rPr>
        <w:lastRenderedPageBreak/>
        <w:t>multiple athletic events. The brothers split up in 1947 after relations between them had broken down, with Adolf forming a company registered as Adidas AG, from Adi Dassler, on 18 August 1949, and Rudolf forming a new firm that he called Ruda – from Rudolf Dassler, later rebranded Puma. Urban myths have popularised two false backronyms for the name "Adidas": All Day I Dream About Sports and All Day I Dream About Sex. Adidas and Puma SE entered into a fierce and bitter business rivalry after the split. The town of Herzogenaurach was divided on the issue, leading to the nickname "the town of bent necks"—people looked down to see which shoes strangers wore.</w:t>
      </w:r>
    </w:p>
    <w:p w14:paraId="0E392DA5"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1B8CFF06" w14:textId="77777777" w:rsidR="00200876" w:rsidRPr="00BB4883" w:rsidRDefault="00200876" w:rsidP="004A142A">
      <w:pPr>
        <w:pBdr>
          <w:bottom w:val="single" w:sz="4" w:space="1" w:color="auto"/>
        </w:pBdr>
        <w:spacing w:line="360" w:lineRule="auto"/>
        <w:jc w:val="both"/>
        <w:rPr>
          <w:rFonts w:ascii="Times New Roman" w:hAnsi="Times New Roman" w:cs="Times New Roman"/>
          <w:sz w:val="28"/>
          <w:szCs w:val="28"/>
        </w:rPr>
      </w:pPr>
    </w:p>
    <w:p w14:paraId="12E988F0" w14:textId="2D315B20" w:rsidR="00C426BA" w:rsidRPr="00BB4883" w:rsidRDefault="00DF007A"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C426BA" w:rsidRPr="00BB4883">
        <w:rPr>
          <w:rFonts w:ascii="Times New Roman" w:hAnsi="Times New Roman" w:cs="Times New Roman"/>
          <w:b/>
          <w:bCs/>
          <w:sz w:val="28"/>
          <w:szCs w:val="28"/>
        </w:rPr>
        <w:t>Operating activities and capital structure of adidas AG</w:t>
      </w:r>
    </w:p>
    <w:p w14:paraId="0FAC9152"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625E6463" w14:textId="67E1C149" w:rsidR="00C426BA" w:rsidRPr="00BB4883" w:rsidRDefault="00C426BA"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majority of the operating business of adidas AG consists of the sale of merchandise to wholesale partners and own retail activities. In addition to its own trading activities, the results of adidas AG are significantly influenced by its holding function for the adidas Group. This is reflected primarily in currency effects, cost recharges for services provided, interest result, and income from investments in related companies. The risks and opportunities as well as the future development of adidas AG largely reflect those of the adidas Group</w:t>
      </w:r>
    </w:p>
    <w:p w14:paraId="722E9C70" w14:textId="1AF3672E" w:rsidR="00C426BA" w:rsidRPr="00BB4883" w:rsidRDefault="00C426BA"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asset and capital structure of adidas AG is significantly impacted by its holding and financing function for the adidas Group. For example, 49% of total assets as of December 31, 2024, related to financial assets (2023: 48%), which primarily consist of shares in affiliated companies. Intercompany accounts, through which transactions between affiliated companies are settled, represent another 17% of total assets (2023: 28%) and 29% of total equity and liabilities as of December 31, 2024 (2023: 28%).</w:t>
      </w:r>
    </w:p>
    <w:p w14:paraId="0A244FDE"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6356B68C"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Sales of adidas AG comprise external revenues generated by adidas Germany with products of the adidas brand as well as revenues from foreign subsidiaries. Revenues of adidas AG also include royalty and commission income, mainly from affiliated companies, revenues from the central distribution unit and other revenues which mainly consist of costs recharged to </w:t>
      </w:r>
      <w:r w:rsidRPr="00BB4883">
        <w:rPr>
          <w:rFonts w:ascii="Times New Roman" w:hAnsi="Times New Roman" w:cs="Times New Roman"/>
        </w:rPr>
        <w:lastRenderedPageBreak/>
        <w:t>subsidiaries. In 2024, adidas AG net sales increased 12% to € 5,068 million compared to € 4,510 million in the prior year.</w:t>
      </w:r>
    </w:p>
    <w:p w14:paraId="10A602D0" w14:textId="474D4A01"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In 2024, other operating income of adidas AG decreased 5% to € 687 million (2023: € 721 million). This development was primarily due to lower positive currency </w:t>
      </w:r>
      <w:proofErr w:type="spellStart"/>
      <w:r w:rsidRPr="00BB4883">
        <w:rPr>
          <w:rFonts w:ascii="Times New Roman" w:hAnsi="Times New Roman" w:cs="Times New Roman"/>
        </w:rPr>
        <w:t>effects.In</w:t>
      </w:r>
      <w:proofErr w:type="spellEnd"/>
      <w:r w:rsidRPr="00BB4883">
        <w:rPr>
          <w:rFonts w:ascii="Times New Roman" w:hAnsi="Times New Roman" w:cs="Times New Roman"/>
        </w:rPr>
        <w:t xml:space="preserve"> 2024, other operating expenses for adidas AG increased 12% to € 3,150 million (2023: € 2,801 million). This was largely attributable to higher costs for advertising and promotion as well as recharges from subsidiaries. Depreciation and amortization for adidas AG relating to intangible and tangible fixed assets decreased 1% to € 137 million in 2024 (2023: € 139 million)</w:t>
      </w:r>
      <w:r w:rsidR="00BB4883">
        <w:rPr>
          <w:rFonts w:ascii="Times New Roman" w:hAnsi="Times New Roman" w:cs="Times New Roman"/>
        </w:rPr>
        <w:t xml:space="preserve"> </w:t>
      </w:r>
      <w:r w:rsidRPr="00BB4883">
        <w:rPr>
          <w:rFonts w:ascii="Times New Roman" w:hAnsi="Times New Roman" w:cs="Times New Roman"/>
        </w:rPr>
        <w:t xml:space="preserve">.In 2024, adidas AG generated an operating loss of € 268 million (2023: € 243 million). This development is mainly reflecting higher </w:t>
      </w:r>
      <w:proofErr w:type="spellStart"/>
      <w:r w:rsidRPr="00BB4883">
        <w:rPr>
          <w:rFonts w:ascii="Times New Roman" w:hAnsi="Times New Roman" w:cs="Times New Roman"/>
        </w:rPr>
        <w:t>expenses.The</w:t>
      </w:r>
      <w:proofErr w:type="spellEnd"/>
      <w:r w:rsidRPr="00BB4883">
        <w:rPr>
          <w:rFonts w:ascii="Times New Roman" w:hAnsi="Times New Roman" w:cs="Times New Roman"/>
        </w:rPr>
        <w:t xml:space="preserve"> financial result of adidas AG increased 385% to € 500 million in 2024 (2023: € 103 million). The increase was attributable to higher income from dividends.</w:t>
      </w:r>
    </w:p>
    <w:p w14:paraId="4BC692E5"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1BFE30E9"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Net income, after taxes of € 83 million (2023: € 49 million), amounted to € 149 million in 2024 and was higher than the prior year net loss of € 189 million.</w:t>
      </w:r>
    </w:p>
    <w:p w14:paraId="01A72CB2"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056A582C"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7033BA26" w14:textId="77777777" w:rsidR="00200876" w:rsidRDefault="00200876" w:rsidP="004A142A">
      <w:pPr>
        <w:pBdr>
          <w:bottom w:val="single" w:sz="4" w:space="1" w:color="auto"/>
        </w:pBdr>
        <w:shd w:val="clear" w:color="auto" w:fill="FFFFFF"/>
        <w:spacing w:after="0" w:line="360" w:lineRule="auto"/>
        <w:jc w:val="both"/>
        <w:rPr>
          <w:rFonts w:ascii="Times New Roman" w:hAnsi="Times New Roman" w:cs="Times New Roman"/>
        </w:rPr>
      </w:pPr>
    </w:p>
    <w:p w14:paraId="36477CC8"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3EFC2EFF"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05248672"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5996EE28"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160C0F3C"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1527BC4F"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4C199DCC"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386859BE"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55086614"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5C3C397A"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7FD42EA5"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66DA0E39"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4E753C97"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28A9B361" w14:textId="77777777" w:rsidR="004A142A"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43D23B37" w14:textId="77777777" w:rsidR="004A142A" w:rsidRPr="00BB4883" w:rsidRDefault="004A142A" w:rsidP="004A142A">
      <w:pPr>
        <w:pBdr>
          <w:bottom w:val="single" w:sz="4" w:space="1" w:color="auto"/>
        </w:pBdr>
        <w:shd w:val="clear" w:color="auto" w:fill="FFFFFF"/>
        <w:spacing w:after="0" w:line="360" w:lineRule="auto"/>
        <w:jc w:val="both"/>
        <w:rPr>
          <w:rFonts w:ascii="Times New Roman" w:hAnsi="Times New Roman" w:cs="Times New Roman"/>
        </w:rPr>
      </w:pPr>
    </w:p>
    <w:p w14:paraId="7B4832D9" w14:textId="0B204640" w:rsidR="005F3451" w:rsidRPr="00BB4883" w:rsidRDefault="005F3451" w:rsidP="004A142A">
      <w:pPr>
        <w:pStyle w:val="ListParagraph"/>
        <w:numPr>
          <w:ilvl w:val="0"/>
          <w:numId w:val="2"/>
        </w:numPr>
        <w:pBdr>
          <w:bottom w:val="single" w:sz="4" w:space="1" w:color="auto"/>
        </w:pBdr>
        <w:shd w:val="clear" w:color="auto" w:fill="FFFFFF"/>
        <w:spacing w:after="0" w:line="360" w:lineRule="auto"/>
        <w:jc w:val="both"/>
        <w:rPr>
          <w:rFonts w:ascii="Times New Roman" w:eastAsia="Times New Roman" w:hAnsi="Times New Roman" w:cs="Times New Roman"/>
          <w:b/>
          <w:bCs/>
          <w:color w:val="000000"/>
          <w:kern w:val="0"/>
          <w:sz w:val="32"/>
          <w:szCs w:val="32"/>
          <w:lang w:eastAsia="en-IN"/>
          <w14:ligatures w14:val="none"/>
        </w:rPr>
      </w:pPr>
      <w:r w:rsidRPr="00BB4883">
        <w:rPr>
          <w:rFonts w:ascii="Times New Roman" w:eastAsia="Times New Roman" w:hAnsi="Times New Roman" w:cs="Times New Roman"/>
          <w:b/>
          <w:bCs/>
          <w:color w:val="000000"/>
          <w:kern w:val="0"/>
          <w:sz w:val="32"/>
          <w:szCs w:val="32"/>
          <w:lang w:eastAsia="en-IN"/>
          <w14:ligatures w14:val="none"/>
        </w:rPr>
        <w:t>Sportswear Industry Overview</w:t>
      </w:r>
    </w:p>
    <w:p w14:paraId="1BD3A3B9" w14:textId="77777777" w:rsidR="005F3451" w:rsidRPr="00BB4883" w:rsidRDefault="005F3451" w:rsidP="004A142A">
      <w:pPr>
        <w:pBdr>
          <w:bottom w:val="single" w:sz="4" w:space="1" w:color="auto"/>
        </w:pBdr>
        <w:shd w:val="clear" w:color="auto" w:fill="FFFFFF"/>
        <w:spacing w:after="0" w:line="360" w:lineRule="auto"/>
        <w:jc w:val="both"/>
        <w:rPr>
          <w:rFonts w:ascii="Times New Roman" w:eastAsia="Times New Roman" w:hAnsi="Times New Roman" w:cs="Times New Roman"/>
          <w:color w:val="000000"/>
          <w:kern w:val="0"/>
          <w:lang w:eastAsia="en-IN"/>
          <w14:ligatures w14:val="none"/>
        </w:rPr>
      </w:pPr>
    </w:p>
    <w:p w14:paraId="213CB179" w14:textId="77777777" w:rsidR="005F3451" w:rsidRPr="00BB4883" w:rsidRDefault="005F3451" w:rsidP="004A142A">
      <w:pPr>
        <w:pBdr>
          <w:bottom w:val="single" w:sz="4" w:space="1" w:color="auto"/>
        </w:pBdr>
        <w:shd w:val="clear" w:color="auto" w:fill="FFFFFF"/>
        <w:spacing w:after="0" w:line="360" w:lineRule="auto"/>
        <w:jc w:val="both"/>
        <w:rPr>
          <w:rFonts w:ascii="Times New Roman" w:eastAsia="Times New Roman" w:hAnsi="Times New Roman" w:cs="Times New Roman"/>
          <w:color w:val="000000"/>
          <w:kern w:val="0"/>
          <w:lang w:eastAsia="en-IN"/>
          <w14:ligatures w14:val="none"/>
        </w:rPr>
      </w:pPr>
      <w:r w:rsidRPr="00BB4883">
        <w:rPr>
          <w:rFonts w:ascii="Times New Roman" w:eastAsia="Times New Roman" w:hAnsi="Times New Roman" w:cs="Times New Roman"/>
          <w:color w:val="000000"/>
          <w:kern w:val="0"/>
          <w:lang w:eastAsia="en-IN"/>
          <w14:ligatures w14:val="none"/>
        </w:rPr>
        <w:t>The global sportswear industry has grown significantly over the past few decades as more people around the world have become interested in fitness, sports, and healthier lifestyles. The industry includes a wide range of products such as athletic footwear, performance clothing, and sports accessories that are used both by professional athletes and everyday consumers. In recent years, sportswear has also become part of everyday fashion, with many consumers wearing athletic clothing in casual settings rather than only during exercise. This shift has increased demand for sportswear products across global markets. Large multinational brands dominate the industry and compete through product innovation, marketing campaigns, and global distribution networks. As a result, the sportswear market remains highly competitive and continues to expand as consumer interest in health, fitness, and comfort-focused clothing grows.</w:t>
      </w:r>
    </w:p>
    <w:p w14:paraId="30712A74" w14:textId="77777777" w:rsidR="005F3451" w:rsidRPr="00BB4883" w:rsidRDefault="005F3451" w:rsidP="004A142A">
      <w:pPr>
        <w:pBdr>
          <w:bottom w:val="single" w:sz="4" w:space="1" w:color="auto"/>
        </w:pBdr>
        <w:shd w:val="clear" w:color="auto" w:fill="FFFFFF"/>
        <w:spacing w:after="0" w:line="360" w:lineRule="auto"/>
        <w:jc w:val="both"/>
        <w:rPr>
          <w:rFonts w:ascii="Times New Roman" w:eastAsia="Times New Roman" w:hAnsi="Times New Roman" w:cs="Times New Roman"/>
          <w:color w:val="000000"/>
          <w:kern w:val="0"/>
          <w:lang w:eastAsia="en-IN"/>
          <w14:ligatures w14:val="none"/>
        </w:rPr>
      </w:pPr>
    </w:p>
    <w:p w14:paraId="2FCE8B8F" w14:textId="67060129" w:rsidR="005F3451" w:rsidRPr="00BB4883" w:rsidRDefault="005F3451" w:rsidP="004A142A">
      <w:pPr>
        <w:pBdr>
          <w:bottom w:val="single" w:sz="4" w:space="1" w:color="auto"/>
        </w:pBdr>
        <w:shd w:val="clear" w:color="auto" w:fill="FFFFFF"/>
        <w:spacing w:after="0" w:line="360" w:lineRule="auto"/>
        <w:jc w:val="both"/>
        <w:rPr>
          <w:rFonts w:ascii="Times New Roman" w:eastAsia="Times New Roman" w:hAnsi="Times New Roman" w:cs="Times New Roman"/>
          <w:color w:val="000000"/>
          <w:kern w:val="0"/>
          <w:lang w:eastAsia="en-IN"/>
          <w14:ligatures w14:val="none"/>
        </w:rPr>
      </w:pPr>
      <w:r w:rsidRPr="00BB4883">
        <w:rPr>
          <w:rFonts w:ascii="Times New Roman" w:eastAsia="Times New Roman" w:hAnsi="Times New Roman" w:cs="Times New Roman"/>
          <w:color w:val="000000"/>
          <w:kern w:val="0"/>
          <w:lang w:eastAsia="en-IN"/>
          <w14:ligatures w14:val="none"/>
        </w:rPr>
        <w:t>The industry is led by several major companies that compete for market share on a global scale. One of the largest competitors is Nike, which holds a dominant position due to its strong brand recognition, extensive product range, and high-profile athlete endorsements. Another important competitor is Puma, which focuses on both sports’ performance products and lifestyle-oriented designs. In addition, Under Armour has built a reputation for performance-focused apparel and innovative sports technology. These companies compete in several product categories including footwear, apparel, and accessories while also expanding into new international markets. Strong marketing strategies, sponsorship deals, and collaborations with athletes and celebrities play an important role in strengthening brand visibility and maintaining competitive advantage</w:t>
      </w:r>
    </w:p>
    <w:p w14:paraId="69CB5530" w14:textId="77777777" w:rsidR="00C426BA" w:rsidRPr="00BB4883" w:rsidRDefault="00C426BA" w:rsidP="004A142A">
      <w:pPr>
        <w:pBdr>
          <w:bottom w:val="single" w:sz="4" w:space="1" w:color="auto"/>
        </w:pBdr>
        <w:spacing w:line="360" w:lineRule="auto"/>
        <w:jc w:val="both"/>
        <w:rPr>
          <w:rFonts w:ascii="Times New Roman" w:hAnsi="Times New Roman" w:cs="Times New Roman"/>
        </w:rPr>
      </w:pPr>
    </w:p>
    <w:p w14:paraId="261DE8C2" w14:textId="259FB3C7" w:rsidR="005F3451" w:rsidRPr="00BB4883" w:rsidRDefault="005F3451" w:rsidP="004A142A">
      <w:pPr>
        <w:pBdr>
          <w:bottom w:val="single" w:sz="4" w:space="1" w:color="auto"/>
        </w:pBdr>
        <w:spacing w:line="360" w:lineRule="auto"/>
        <w:jc w:val="both"/>
        <w:rPr>
          <w:rFonts w:ascii="Times New Roman" w:hAnsi="Times New Roman" w:cs="Times New Roman"/>
          <w:b/>
          <w:bCs/>
          <w:sz w:val="28"/>
          <w:szCs w:val="28"/>
        </w:rPr>
      </w:pPr>
      <w:r w:rsidRPr="00BB4883">
        <w:rPr>
          <w:rFonts w:ascii="Times New Roman" w:hAnsi="Times New Roman" w:cs="Times New Roman"/>
          <w:b/>
          <w:bCs/>
          <w:sz w:val="28"/>
          <w:szCs w:val="28"/>
        </w:rPr>
        <w:t>Market Size and Growth</w:t>
      </w:r>
    </w:p>
    <w:p w14:paraId="1DCD3FA8" w14:textId="02DBDD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global sportswear market is projected to grow significantly, reaching an estimated USD 350.45 billion by 2032, driven by rising health consciousness and the athleisure trend.</w:t>
      </w:r>
    </w:p>
    <w:p w14:paraId="647711EC"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lastRenderedPageBreak/>
        <w:t xml:space="preserve">The global sportswear market was valued at USD 206.64 billion in 2024 and is expected to grow to USD 220.34 billion in 2025, with a projected CAGR of 7.84% from 2025 to 2032. </w:t>
      </w:r>
    </w:p>
    <w:p w14:paraId="1E3B91A9"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Another report estimates the market size at USD 335.92 billion in 2023, with expectations to reach USD 646.01 billion by 2030, growing at a CAGR of 9.9%. </w:t>
      </w:r>
    </w:p>
    <w:p w14:paraId="6E4FBC1C" w14:textId="79455DF2" w:rsidR="005F3451" w:rsidRPr="00BB4883" w:rsidRDefault="005F3451" w:rsidP="004A142A">
      <w:pPr>
        <w:pBdr>
          <w:bottom w:val="single" w:sz="4" w:space="1" w:color="auto"/>
        </w:pBdr>
        <w:spacing w:line="360" w:lineRule="auto"/>
        <w:jc w:val="both"/>
        <w:rPr>
          <w:rFonts w:ascii="Times New Roman" w:hAnsi="Times New Roman" w:cs="Times New Roman"/>
        </w:rPr>
      </w:pPr>
    </w:p>
    <w:p w14:paraId="6D416B58" w14:textId="77777777" w:rsidR="005F3451" w:rsidRPr="00BB4883" w:rsidRDefault="005F3451" w:rsidP="004A142A">
      <w:pPr>
        <w:pBdr>
          <w:bottom w:val="single" w:sz="4" w:space="1" w:color="auto"/>
        </w:pBdr>
        <w:spacing w:line="360" w:lineRule="auto"/>
        <w:jc w:val="both"/>
        <w:rPr>
          <w:rFonts w:ascii="Times New Roman" w:hAnsi="Times New Roman" w:cs="Times New Roman"/>
          <w:b/>
          <w:bCs/>
          <w:sz w:val="28"/>
          <w:szCs w:val="28"/>
        </w:rPr>
      </w:pPr>
      <w:r w:rsidRPr="00BB4883">
        <w:rPr>
          <w:rFonts w:ascii="Times New Roman" w:hAnsi="Times New Roman" w:cs="Times New Roman"/>
          <w:b/>
          <w:bCs/>
          <w:sz w:val="28"/>
          <w:szCs w:val="28"/>
        </w:rPr>
        <w:t>Key Drivers</w:t>
      </w:r>
    </w:p>
    <w:p w14:paraId="01BFFE2B"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Health Consciousness: Increasing awareness of health and fitness is driving demand for sportswear, as more people engage in physical activities. </w:t>
      </w:r>
    </w:p>
    <w:p w14:paraId="66380D3E"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Athleisure Trend: The popularity of athleisure, where athletic clothing is worn in casual settings, has significantly boosted the market. </w:t>
      </w:r>
    </w:p>
    <w:p w14:paraId="128EE528" w14:textId="7F6554E4"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Technological Advancements: Innovations in fabric technology, such as moisture-wicking and temperature regulation, </w:t>
      </w:r>
      <w:r w:rsidR="00BB4883" w:rsidRPr="00BB4883">
        <w:rPr>
          <w:rFonts w:ascii="Times New Roman" w:hAnsi="Times New Roman" w:cs="Times New Roman"/>
        </w:rPr>
        <w:t>enhance</w:t>
      </w:r>
      <w:r w:rsidRPr="00BB4883">
        <w:rPr>
          <w:rFonts w:ascii="Times New Roman" w:hAnsi="Times New Roman" w:cs="Times New Roman"/>
        </w:rPr>
        <w:t xml:space="preserve"> the functionality and appeal of sportswear. </w:t>
      </w:r>
    </w:p>
    <w:p w14:paraId="56042E7D"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196F8AF5"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33C7FCA9" w14:textId="79785C08" w:rsidR="005F3451" w:rsidRPr="00BB4883" w:rsidRDefault="005F3451" w:rsidP="004A142A">
      <w:pPr>
        <w:pBdr>
          <w:bottom w:val="single" w:sz="4" w:space="1" w:color="auto"/>
        </w:pBdr>
        <w:spacing w:line="360" w:lineRule="auto"/>
        <w:jc w:val="both"/>
        <w:rPr>
          <w:rFonts w:ascii="Times New Roman" w:hAnsi="Times New Roman" w:cs="Times New Roman"/>
          <w:b/>
          <w:bCs/>
          <w:sz w:val="28"/>
          <w:szCs w:val="28"/>
        </w:rPr>
      </w:pPr>
      <w:r w:rsidRPr="00BB4883">
        <w:rPr>
          <w:rFonts w:ascii="Times New Roman" w:hAnsi="Times New Roman" w:cs="Times New Roman"/>
          <w:b/>
          <w:bCs/>
          <w:sz w:val="28"/>
          <w:szCs w:val="28"/>
        </w:rPr>
        <w:t>Regional Insights</w:t>
      </w:r>
    </w:p>
    <w:p w14:paraId="1A34BAE2"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North America: Dominates the market with a share of 45.86% in 2024, driven by strong retail presence and health awareness. </w:t>
      </w:r>
    </w:p>
    <w:p w14:paraId="2FCC6294" w14:textId="02865BAC"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Asia-Pacific: Rapid urbanization and government initiatives in countries like India and China are </w:t>
      </w:r>
      <w:r w:rsidR="00BB4883" w:rsidRPr="00BB4883">
        <w:rPr>
          <w:rFonts w:ascii="Times New Roman" w:hAnsi="Times New Roman" w:cs="Times New Roman"/>
        </w:rPr>
        <w:t>fuelling</w:t>
      </w:r>
      <w:r w:rsidRPr="00BB4883">
        <w:rPr>
          <w:rFonts w:ascii="Times New Roman" w:hAnsi="Times New Roman" w:cs="Times New Roman"/>
        </w:rPr>
        <w:t xml:space="preserve"> growth, particularly among the youth. </w:t>
      </w:r>
    </w:p>
    <w:p w14:paraId="333C0EAC"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Europe: Increasing demand for functional and sustainable sportswear is notable, with countries like Germany and the UK leading in this trend. </w:t>
      </w:r>
    </w:p>
    <w:p w14:paraId="6FBBE59D"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Market Segmentation</w:t>
      </w:r>
    </w:p>
    <w:p w14:paraId="1664B9BD"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Product Type: The market is segmented into apparel and footwear, with apparel holding the largest share due to its popularity across various sports and fitness activities. </w:t>
      </w:r>
    </w:p>
    <w:p w14:paraId="0AF46375"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End User: The market caters to men, women, and children, with a notable increase in women's sports participation reshaping the market dynamics. </w:t>
      </w:r>
    </w:p>
    <w:p w14:paraId="54AC6715"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lastRenderedPageBreak/>
        <w:t xml:space="preserve">Distribution Channels: Retail stores dominate, but online platforms are rapidly growing, reflecting changing consumer shopping </w:t>
      </w:r>
      <w:proofErr w:type="spellStart"/>
      <w:r w:rsidRPr="00BB4883">
        <w:rPr>
          <w:rFonts w:ascii="Times New Roman" w:hAnsi="Times New Roman" w:cs="Times New Roman"/>
        </w:rPr>
        <w:t>behaviors</w:t>
      </w:r>
      <w:proofErr w:type="spellEnd"/>
      <w:r w:rsidRPr="00BB4883">
        <w:rPr>
          <w:rFonts w:ascii="Times New Roman" w:hAnsi="Times New Roman" w:cs="Times New Roman"/>
        </w:rPr>
        <w:t xml:space="preserve">. </w:t>
      </w:r>
    </w:p>
    <w:p w14:paraId="6B10DC32"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5A28156B" w14:textId="77777777" w:rsidR="005F3451" w:rsidRPr="00BB4883" w:rsidRDefault="005F3451" w:rsidP="004A142A">
      <w:pPr>
        <w:pBdr>
          <w:bottom w:val="single" w:sz="4" w:space="1" w:color="auto"/>
        </w:pBdr>
        <w:spacing w:line="360" w:lineRule="auto"/>
        <w:jc w:val="both"/>
        <w:rPr>
          <w:rFonts w:ascii="Times New Roman" w:hAnsi="Times New Roman" w:cs="Times New Roman"/>
          <w:b/>
          <w:bCs/>
          <w:sz w:val="28"/>
          <w:szCs w:val="28"/>
        </w:rPr>
      </w:pPr>
      <w:r w:rsidRPr="00BB4883">
        <w:rPr>
          <w:rFonts w:ascii="Times New Roman" w:hAnsi="Times New Roman" w:cs="Times New Roman"/>
          <w:b/>
          <w:bCs/>
          <w:sz w:val="28"/>
          <w:szCs w:val="28"/>
        </w:rPr>
        <w:t>Emerging Trends</w:t>
      </w:r>
    </w:p>
    <w:p w14:paraId="4ECA9940"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Sustainability: There is a growing emphasis on eco-friendly materials and sustainable production processes, driven by consumer demand for environmentally responsible products. </w:t>
      </w:r>
    </w:p>
    <w:p w14:paraId="60F2B046"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Smart Sportswear: The integration of technology into sportswear, such as smart textiles, is becoming increasingly popular, enhancing performance and comfort. </w:t>
      </w:r>
    </w:p>
    <w:p w14:paraId="3C2CB2E1" w14:textId="2F25E606"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Diversity in Marketing: Brands are shifting from traditional marketing to narratives that resonate with evolving consumer values, particularly focusing on inclusivity and support for female athletes. </w:t>
      </w:r>
    </w:p>
    <w:p w14:paraId="0FD48D41"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19D738CF"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In summary, the sportswear industry is experiencing robust growth driven by health trends, technological advancements, and changing consumer preferences, with significant opportunities for brands that adapt to these dynamics.</w:t>
      </w:r>
    </w:p>
    <w:p w14:paraId="392E8F79" w14:textId="77777777" w:rsidR="00BB4883" w:rsidRDefault="00BB4883" w:rsidP="004A142A">
      <w:pPr>
        <w:pBdr>
          <w:bottom w:val="single" w:sz="4" w:space="1" w:color="auto"/>
        </w:pBdr>
        <w:spacing w:line="360" w:lineRule="auto"/>
        <w:jc w:val="both"/>
        <w:rPr>
          <w:rFonts w:ascii="Times New Roman" w:hAnsi="Times New Roman" w:cs="Times New Roman"/>
        </w:rPr>
      </w:pPr>
    </w:p>
    <w:p w14:paraId="00532E0E" w14:textId="22E4BF2D" w:rsidR="005F3451" w:rsidRPr="00BB4883" w:rsidRDefault="00DF007A"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005F3451" w:rsidRPr="00BB4883">
        <w:rPr>
          <w:rFonts w:ascii="Times New Roman" w:hAnsi="Times New Roman" w:cs="Times New Roman"/>
          <w:b/>
          <w:bCs/>
          <w:sz w:val="28"/>
          <w:szCs w:val="28"/>
        </w:rPr>
        <w:t>Industry Trends in the Global Sportswear Market</w:t>
      </w:r>
    </w:p>
    <w:p w14:paraId="121A8257" w14:textId="77777777" w:rsidR="005F3451" w:rsidRPr="00BB4883" w:rsidRDefault="005F3451" w:rsidP="004A142A">
      <w:pPr>
        <w:pBdr>
          <w:bottom w:val="single" w:sz="4" w:space="1" w:color="auto"/>
        </w:pBdr>
        <w:spacing w:line="360" w:lineRule="auto"/>
        <w:jc w:val="both"/>
        <w:rPr>
          <w:rFonts w:ascii="Times New Roman" w:hAnsi="Times New Roman" w:cs="Times New Roman"/>
          <w:sz w:val="28"/>
          <w:szCs w:val="28"/>
        </w:rPr>
      </w:pPr>
    </w:p>
    <w:p w14:paraId="1E070060"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global sportswear industry continues to evolve as consumer preferences, technology, and retail strategies change. Several important trends are shaping how sportswear companies design products, market their brands, and reach consumers around the world.</w:t>
      </w:r>
    </w:p>
    <w:p w14:paraId="0DA630A3"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3BA48707"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One of the most significant trends is the rapid growth of athleisure, which refers to clothing that combines athletic functionality with everyday fashion. Consumers increasingly prefer comfortable and versatile clothing that can be worn both during exercise and in casual settings such as work, travel, or social activities. This shift has blurred the boundary between sportswear and regular fashion, leading many brands to design products that focus not only on performance </w:t>
      </w:r>
      <w:r w:rsidRPr="00BB4883">
        <w:rPr>
          <w:rFonts w:ascii="Times New Roman" w:hAnsi="Times New Roman" w:cs="Times New Roman"/>
        </w:rPr>
        <w:lastRenderedPageBreak/>
        <w:t>but also on style and comfort. As a result, sportswear companies have expanded their product lines to include lifestyle-oriented apparel that appeals to a broader customer base.</w:t>
      </w:r>
    </w:p>
    <w:p w14:paraId="31DCD8A8"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007078F5"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Another important trend is the growing emphasis on sustainability and environmental responsibility within the industry. Consumers are becoming more aware of environmental issues and are increasingly demanding products that are produced in a responsible and sustainable way. In response, many sportswear companies are investing in sustainable materials such as recycled polyester, organic cotton, and environmentally friendly manufacturing processes. Companies are also working to reduce carbon emissions, water usage, and waste across their supply chains. Sustainability initiatives have therefore become an important part of brand reputation and long-term corporate strategy within the sportswear industry.</w:t>
      </w:r>
    </w:p>
    <w:p w14:paraId="75DCECE6" w14:textId="77777777" w:rsidR="005F3451" w:rsidRPr="00BB4883" w:rsidRDefault="005F3451" w:rsidP="004A142A">
      <w:pPr>
        <w:pBdr>
          <w:bottom w:val="single" w:sz="4" w:space="1" w:color="auto"/>
        </w:pBdr>
        <w:spacing w:line="360" w:lineRule="auto"/>
        <w:jc w:val="both"/>
        <w:rPr>
          <w:rFonts w:ascii="Times New Roman" w:hAnsi="Times New Roman" w:cs="Times New Roman"/>
        </w:rPr>
      </w:pPr>
    </w:p>
    <w:p w14:paraId="17F127DB" w14:textId="37791F9A" w:rsidR="005F3451" w:rsidRPr="00BB4883" w:rsidRDefault="005F3451"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expansion of e-commerce and digital retail platforms has also significantly transformed the sportswear market. Online shopping has become increasingly popular, allowing consumers to purchase products directly from brand websites and mobile applications. Many sportswear companies are focusing on direct-to-consumer digital channels, which allow them to build stronger relationships with customers while also improving profit margins by reducing reliance on third-party retailers. Digital platforms also enable companies to collect customer data and personalize marketing strategies, making online retail a key driver of growth in the industry.</w:t>
      </w:r>
    </w:p>
    <w:p w14:paraId="03DD6594" w14:textId="77777777" w:rsidR="00925D98" w:rsidRPr="00BB4883" w:rsidRDefault="00925D98" w:rsidP="004A142A">
      <w:pPr>
        <w:pBdr>
          <w:bottom w:val="single" w:sz="4" w:space="1" w:color="auto"/>
        </w:pBdr>
        <w:spacing w:line="360" w:lineRule="auto"/>
        <w:jc w:val="both"/>
        <w:rPr>
          <w:rFonts w:ascii="Times New Roman" w:hAnsi="Times New Roman" w:cs="Times New Roman"/>
        </w:rPr>
      </w:pPr>
    </w:p>
    <w:p w14:paraId="354A4EE8"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6DBA093B"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63840FB0" w14:textId="77777777" w:rsidR="00674366" w:rsidRDefault="00674366" w:rsidP="004A142A">
      <w:pPr>
        <w:pBdr>
          <w:bottom w:val="single" w:sz="4" w:space="1" w:color="auto"/>
        </w:pBdr>
        <w:spacing w:line="360" w:lineRule="auto"/>
        <w:jc w:val="both"/>
        <w:rPr>
          <w:rFonts w:ascii="Times New Roman" w:hAnsi="Times New Roman" w:cs="Times New Roman"/>
        </w:rPr>
      </w:pPr>
    </w:p>
    <w:p w14:paraId="31B7CB60" w14:textId="77777777" w:rsidR="001F696B" w:rsidRDefault="001F696B" w:rsidP="004A142A">
      <w:pPr>
        <w:pBdr>
          <w:bottom w:val="single" w:sz="4" w:space="1" w:color="auto"/>
        </w:pBdr>
        <w:spacing w:line="360" w:lineRule="auto"/>
        <w:jc w:val="both"/>
        <w:rPr>
          <w:rFonts w:ascii="Times New Roman" w:hAnsi="Times New Roman" w:cs="Times New Roman"/>
        </w:rPr>
      </w:pPr>
    </w:p>
    <w:p w14:paraId="2AFAB17F" w14:textId="77777777" w:rsidR="001F696B" w:rsidRDefault="001F696B" w:rsidP="004A142A">
      <w:pPr>
        <w:pBdr>
          <w:bottom w:val="single" w:sz="4" w:space="1" w:color="auto"/>
        </w:pBdr>
        <w:spacing w:line="360" w:lineRule="auto"/>
        <w:jc w:val="both"/>
        <w:rPr>
          <w:rFonts w:ascii="Times New Roman" w:hAnsi="Times New Roman" w:cs="Times New Roman"/>
        </w:rPr>
      </w:pPr>
    </w:p>
    <w:p w14:paraId="0EF1F512" w14:textId="77777777" w:rsidR="001F696B" w:rsidRDefault="001F696B" w:rsidP="004A142A">
      <w:pPr>
        <w:pBdr>
          <w:bottom w:val="single" w:sz="4" w:space="1" w:color="auto"/>
        </w:pBdr>
        <w:spacing w:line="360" w:lineRule="auto"/>
        <w:jc w:val="both"/>
        <w:rPr>
          <w:rFonts w:ascii="Times New Roman" w:hAnsi="Times New Roman" w:cs="Times New Roman"/>
        </w:rPr>
      </w:pPr>
    </w:p>
    <w:p w14:paraId="637B40EA" w14:textId="77777777" w:rsidR="001F696B" w:rsidRDefault="001F696B" w:rsidP="004A142A">
      <w:pPr>
        <w:pBdr>
          <w:bottom w:val="single" w:sz="4" w:space="1" w:color="auto"/>
        </w:pBdr>
        <w:spacing w:line="360" w:lineRule="auto"/>
        <w:jc w:val="both"/>
        <w:rPr>
          <w:rFonts w:ascii="Times New Roman" w:hAnsi="Times New Roman" w:cs="Times New Roman"/>
        </w:rPr>
      </w:pPr>
    </w:p>
    <w:p w14:paraId="747E7FAC" w14:textId="77777777" w:rsidR="001F696B" w:rsidRDefault="001F696B" w:rsidP="004A142A">
      <w:pPr>
        <w:pBdr>
          <w:bottom w:val="single" w:sz="4" w:space="1" w:color="auto"/>
        </w:pBdr>
        <w:spacing w:line="360" w:lineRule="auto"/>
        <w:jc w:val="both"/>
        <w:rPr>
          <w:rFonts w:ascii="Times New Roman" w:hAnsi="Times New Roman" w:cs="Times New Roman"/>
        </w:rPr>
      </w:pPr>
    </w:p>
    <w:p w14:paraId="520CC0D8" w14:textId="77777777" w:rsidR="001F696B" w:rsidRDefault="001F696B" w:rsidP="004A142A">
      <w:pPr>
        <w:pBdr>
          <w:bottom w:val="single" w:sz="4" w:space="1" w:color="auto"/>
        </w:pBdr>
        <w:spacing w:line="360" w:lineRule="auto"/>
        <w:jc w:val="both"/>
        <w:rPr>
          <w:rFonts w:ascii="Times New Roman" w:hAnsi="Times New Roman" w:cs="Times New Roman"/>
        </w:rPr>
      </w:pPr>
    </w:p>
    <w:p w14:paraId="47AF93D4" w14:textId="77777777" w:rsidR="001F696B" w:rsidRPr="00BB4883" w:rsidRDefault="001F696B" w:rsidP="004A142A">
      <w:pPr>
        <w:pBdr>
          <w:bottom w:val="single" w:sz="4" w:space="1" w:color="auto"/>
        </w:pBdr>
        <w:spacing w:line="360" w:lineRule="auto"/>
        <w:jc w:val="both"/>
        <w:rPr>
          <w:rFonts w:ascii="Times New Roman" w:hAnsi="Times New Roman" w:cs="Times New Roman"/>
        </w:rPr>
      </w:pPr>
    </w:p>
    <w:p w14:paraId="0BCD536A" w14:textId="4B1745C2" w:rsidR="00674366" w:rsidRPr="00BB4883" w:rsidRDefault="00674366" w:rsidP="004A142A">
      <w:pPr>
        <w:pStyle w:val="ListParagraph"/>
        <w:numPr>
          <w:ilvl w:val="0"/>
          <w:numId w:val="2"/>
        </w:numPr>
        <w:pBdr>
          <w:bottom w:val="single" w:sz="4" w:space="1" w:color="auto"/>
        </w:pBdr>
        <w:spacing w:line="360" w:lineRule="auto"/>
        <w:jc w:val="both"/>
        <w:rPr>
          <w:rFonts w:ascii="Times New Roman" w:hAnsi="Times New Roman" w:cs="Times New Roman"/>
          <w:b/>
          <w:bCs/>
          <w:sz w:val="32"/>
          <w:szCs w:val="32"/>
        </w:rPr>
      </w:pPr>
      <w:r w:rsidRPr="00BB4883">
        <w:rPr>
          <w:rFonts w:ascii="Times New Roman" w:hAnsi="Times New Roman" w:cs="Times New Roman"/>
          <w:b/>
          <w:bCs/>
          <w:sz w:val="32"/>
          <w:szCs w:val="32"/>
        </w:rPr>
        <w:t>Historical Financial Performance</w:t>
      </w:r>
    </w:p>
    <w:p w14:paraId="5F05C287"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7B0497A5"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An examination of the historical financial performance of Adidas AG provides important insight into the company’s operational development and financial stability over recent years. Historical financial analysis allows investors and analysts to identify key trends in revenue generation, profitability, and operational efficiency, which form the basis for forecasting future financial performance in valuation models. As a global leader in the sportswear industry, Adidas generates revenue primarily through the sale of athletic footwear, apparel, and accessories across multiple international markets. The company’s financial performance has been influenced by factors such as changing consumer preferences, global economic conditions, and competitive pressures within the sportswear market. Evaluating historical performance therefore helps establish a realistic foundation for projecting future cash flows and estimating the company’s intrinsic value through the discounted cash flow valuation approach.</w:t>
      </w:r>
    </w:p>
    <w:p w14:paraId="7A3A96A4" w14:textId="77777777" w:rsidR="00674366" w:rsidRPr="00BB4883" w:rsidRDefault="00674366" w:rsidP="004A142A">
      <w:pPr>
        <w:pBdr>
          <w:bottom w:val="single" w:sz="4" w:space="1" w:color="auto"/>
        </w:pBdr>
        <w:spacing w:line="360" w:lineRule="auto"/>
        <w:jc w:val="both"/>
        <w:rPr>
          <w:rFonts w:ascii="Times New Roman" w:hAnsi="Times New Roman" w:cs="Times New Roman"/>
          <w:b/>
          <w:bCs/>
          <w:sz w:val="28"/>
          <w:szCs w:val="28"/>
        </w:rPr>
      </w:pPr>
    </w:p>
    <w:p w14:paraId="34B1FB9A" w14:textId="4F9504C4" w:rsidR="00674366" w:rsidRPr="00BB4883" w:rsidRDefault="00DF007A"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4.1 </w:t>
      </w:r>
      <w:r w:rsidR="00674366" w:rsidRPr="00BB4883">
        <w:rPr>
          <w:rFonts w:ascii="Times New Roman" w:hAnsi="Times New Roman" w:cs="Times New Roman"/>
          <w:b/>
          <w:bCs/>
          <w:sz w:val="28"/>
          <w:szCs w:val="28"/>
        </w:rPr>
        <w:t>Revenue Growth</w:t>
      </w:r>
    </w:p>
    <w:p w14:paraId="2B0E1DAF"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57959B23"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Revenue growth represents one of the most important indicators of a company’s market position and its ability to expand within a competitive industry. Over the past several years, Adidas has demonstrated relatively strong revenue performance, supported by its globally recognized brand and diversified product portfolio. In 2019, the company reported revenue of approximately €23.64 billion, reflecting strong global demand for its athletic footwear and apparel products. However, in 2020 revenue declined slightly to around €21.23 billion, largely due to disruptions caused by the global COVID-19 pandemic, which affected retail operations and consumer spending across many markets.</w:t>
      </w:r>
    </w:p>
    <w:p w14:paraId="216D8261"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012F95F7"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Following this decline, Adidas experienced a recovery in revenue as global economic conditions improved and consumer demand for sportswear products increased. In 2021, the company’s revenue increased to approximately €21.23–€21.90 billion, supported by strong digital sales and improved retail performance. Revenue continued to grow in 2022, reaching approximately €22.51 billion, reflecting ongoing demand for athletic apparel and expansion in direct-to-consumer sales channels. Despite some operational challenges and strategic adjustments within the company, Adidas has generally maintained a strong revenue base due to its brand strength, global distribution network, and continued product innovation.</w:t>
      </w:r>
    </w:p>
    <w:p w14:paraId="1998C63A"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21889317" w14:textId="14F959F8" w:rsidR="00674366" w:rsidRPr="00BB4883" w:rsidRDefault="0067436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Overall, the historical revenue trend demonstrates the company’s resilience within the competitive sportswear industry. While short-term fluctuations have occurred due to economic conditions and operational factors, the long-term trajectory of Adidas’ revenue reflects its ability to maintain a strong presence in global markets. This historical performance provides an important foundation for forecasting future revenue growth within the discounted cash flow valuation model.</w:t>
      </w:r>
    </w:p>
    <w:p w14:paraId="61D8A097"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5E05DD32" w14:textId="77777777" w:rsidR="00674366" w:rsidRPr="00BB4883" w:rsidRDefault="00674366" w:rsidP="004A142A">
      <w:pPr>
        <w:pBdr>
          <w:bottom w:val="single" w:sz="4" w:space="1" w:color="auto"/>
        </w:pBdr>
        <w:spacing w:line="360" w:lineRule="auto"/>
        <w:jc w:val="both"/>
        <w:rPr>
          <w:rFonts w:ascii="Times New Roman" w:hAnsi="Times New Roman" w:cs="Times New Roman"/>
        </w:rPr>
      </w:pPr>
    </w:p>
    <w:p w14:paraId="009C7C76" w14:textId="77777777" w:rsidR="001F696B" w:rsidRDefault="0067436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noProof/>
        </w:rPr>
        <w:lastRenderedPageBreak/>
        <w:drawing>
          <wp:inline distT="0" distB="0" distL="0" distR="0" wp14:anchorId="6587791E" wp14:editId="3882A6FA">
            <wp:extent cx="5635625" cy="3400926"/>
            <wp:effectExtent l="0" t="0" r="3175" b="9525"/>
            <wp:docPr id="1061012676" name="Chart 1">
              <a:extLst xmlns:a="http://schemas.openxmlformats.org/drawingml/2006/main">
                <a:ext uri="{FF2B5EF4-FFF2-40B4-BE49-F238E27FC236}">
                  <a16:creationId xmlns:a16="http://schemas.microsoft.com/office/drawing/2014/main" id="{51D788F2-DECF-A3B0-9E06-70D2B397E3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FDA677B" w14:textId="7804148B" w:rsidR="00B90315" w:rsidRPr="001F696B" w:rsidRDefault="00DF007A" w:rsidP="004A142A">
      <w:pPr>
        <w:pBdr>
          <w:bottom w:val="single" w:sz="4" w:space="1" w:color="auto"/>
        </w:pBdr>
        <w:spacing w:line="360" w:lineRule="auto"/>
        <w:jc w:val="both"/>
        <w:rPr>
          <w:rFonts w:ascii="Times New Roman" w:hAnsi="Times New Roman" w:cs="Times New Roman"/>
        </w:rPr>
      </w:pPr>
      <w:r>
        <w:rPr>
          <w:rFonts w:ascii="Times New Roman" w:hAnsi="Times New Roman" w:cs="Times New Roman"/>
          <w:b/>
          <w:bCs/>
          <w:sz w:val="28"/>
          <w:szCs w:val="28"/>
        </w:rPr>
        <w:t xml:space="preserve">4.2 </w:t>
      </w:r>
      <w:r w:rsidR="00B90315" w:rsidRPr="00BB4883">
        <w:rPr>
          <w:rFonts w:ascii="Times New Roman" w:hAnsi="Times New Roman" w:cs="Times New Roman"/>
          <w:b/>
          <w:bCs/>
          <w:sz w:val="28"/>
          <w:szCs w:val="28"/>
        </w:rPr>
        <w:t>Profitability and Operating Performance</w:t>
      </w:r>
    </w:p>
    <w:p w14:paraId="38C0BD7D"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p>
    <w:p w14:paraId="55323C26"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Profitability is an important indicator of a company’s ability to convert its revenue into sustainable earnings. For Adidas AG, operating profitability has historically been influenced by factors such as production costs, marketing expenditures, and investments in product development. Operating margin reflects how efficiently the company manages its operating expenses relative to its revenue. In recent years, Adidas has experienced fluctuations in its operating profitability as a result of both internal strategic decisions and external economic conditions.</w:t>
      </w:r>
    </w:p>
    <w:p w14:paraId="033A728C"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p>
    <w:p w14:paraId="7449182F"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Historically, Adidas maintained relatively stable operating margins within the sportswear industry. For example, the company reported an operating margin of approximately 11.3% in 2019, reflecting strong global demand and efficient cost management during that period. However, profitability declined significantly in 2020, when the operating margin fell to around 4.1%, largely due to the global disruptions caused by the COVID-19 pandemic, which led to temporary store closures and lower consumer spending. As market conditions improved, Adidas experienced a recovery in profitability, with operating margins rising again in 2021 to </w:t>
      </w:r>
      <w:r w:rsidRPr="00BB4883">
        <w:rPr>
          <w:rFonts w:ascii="Times New Roman" w:hAnsi="Times New Roman" w:cs="Times New Roman"/>
        </w:rPr>
        <w:lastRenderedPageBreak/>
        <w:t>approximately 9–10%, supported by stronger digital sales and improved operational efficiency. In 2022 and 2023, profitability faced additional pressure due to supply chain challenges, rising input costs, and strategic restructuring decisions within the company.</w:t>
      </w:r>
    </w:p>
    <w:p w14:paraId="3331AD2D"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p>
    <w:p w14:paraId="13CD69B2"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Changes in profitability are often influenced by factors such as production costs, marketing investments, and competitive pressures within the global sportswear market. Adidas invests heavily in brand marketing, athlete endorsements, and product innovation in order to maintain its competitive position against major rivals. While these investments may increase operating expenses in the short term, they are often necessary to sustain long-term brand value and revenue growth. Additionally, external economic factors such as inflation, currency fluctuations, and changes in consumer demand can also affect profit margins.</w:t>
      </w:r>
    </w:p>
    <w:p w14:paraId="4A5C9D0B"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p>
    <w:p w14:paraId="517E753F" w14:textId="5E017E7E" w:rsidR="00B90315" w:rsidRPr="00BB4883" w:rsidRDefault="00B90315"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Overall, Adidas’ profitability trends indicate that while the company has experienced periods of margin pressure, it has historically maintained the ability to generate operating profits from its global sales operations. From a valuation perspective, profitability plays a crucial role in determining the company’s ability to generate future free cash flows. Higher operating margins generally lead to stronger cash flow generation, which ultimately increases the estimated intrinsic value of the company within a discounted cash flow valuation model.</w:t>
      </w:r>
    </w:p>
    <w:p w14:paraId="15C98A68" w14:textId="77777777" w:rsidR="00B90315" w:rsidRPr="00BB4883" w:rsidRDefault="00B90315" w:rsidP="004A142A">
      <w:pPr>
        <w:pBdr>
          <w:bottom w:val="single" w:sz="4" w:space="1" w:color="auto"/>
        </w:pBdr>
        <w:spacing w:line="360" w:lineRule="auto"/>
        <w:jc w:val="both"/>
        <w:rPr>
          <w:rFonts w:ascii="Times New Roman" w:hAnsi="Times New Roman" w:cs="Times New Roman"/>
        </w:rPr>
      </w:pPr>
    </w:p>
    <w:p w14:paraId="009E0121" w14:textId="77777777" w:rsidR="00592E2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noProof/>
        </w:rPr>
        <w:lastRenderedPageBreak/>
        <w:drawing>
          <wp:inline distT="0" distB="0" distL="0" distR="0" wp14:anchorId="33B55443" wp14:editId="48EAC77F">
            <wp:extent cx="5705642" cy="3443605"/>
            <wp:effectExtent l="0" t="0" r="9525" b="4445"/>
            <wp:docPr id="421423416" name="Chart 1">
              <a:extLst xmlns:a="http://schemas.openxmlformats.org/drawingml/2006/main">
                <a:ext uri="{FF2B5EF4-FFF2-40B4-BE49-F238E27FC236}">
                  <a16:creationId xmlns:a16="http://schemas.microsoft.com/office/drawing/2014/main" id="{9A3CAAE8-D917-B867-D816-EB36AB7129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55EA5EE" w14:textId="77777777" w:rsidR="00BB4883" w:rsidRDefault="00BB4883" w:rsidP="004A142A">
      <w:pPr>
        <w:pBdr>
          <w:bottom w:val="single" w:sz="4" w:space="1" w:color="auto"/>
        </w:pBdr>
        <w:spacing w:line="360" w:lineRule="auto"/>
        <w:jc w:val="both"/>
        <w:rPr>
          <w:rFonts w:ascii="Times New Roman" w:hAnsi="Times New Roman" w:cs="Times New Roman"/>
          <w:b/>
          <w:bCs/>
          <w:sz w:val="32"/>
          <w:szCs w:val="32"/>
        </w:rPr>
      </w:pPr>
    </w:p>
    <w:p w14:paraId="00292B64" w14:textId="77777777" w:rsidR="00BB4883" w:rsidRDefault="00BB4883" w:rsidP="004A142A">
      <w:pPr>
        <w:pBdr>
          <w:bottom w:val="single" w:sz="4" w:space="1" w:color="auto"/>
        </w:pBdr>
        <w:spacing w:line="360" w:lineRule="auto"/>
        <w:jc w:val="both"/>
        <w:rPr>
          <w:rFonts w:ascii="Times New Roman" w:hAnsi="Times New Roman" w:cs="Times New Roman"/>
          <w:b/>
          <w:bCs/>
          <w:sz w:val="32"/>
          <w:szCs w:val="32"/>
        </w:rPr>
      </w:pPr>
    </w:p>
    <w:p w14:paraId="2B9EF6FE" w14:textId="77777777" w:rsidR="00BB4883" w:rsidRDefault="00BB4883" w:rsidP="004A142A">
      <w:pPr>
        <w:pBdr>
          <w:bottom w:val="single" w:sz="4" w:space="1" w:color="auto"/>
        </w:pBdr>
        <w:spacing w:line="360" w:lineRule="auto"/>
        <w:jc w:val="both"/>
        <w:rPr>
          <w:rFonts w:ascii="Times New Roman" w:hAnsi="Times New Roman" w:cs="Times New Roman"/>
          <w:b/>
          <w:bCs/>
          <w:sz w:val="32"/>
          <w:szCs w:val="32"/>
        </w:rPr>
      </w:pPr>
    </w:p>
    <w:p w14:paraId="5C0A9C11" w14:textId="1DA5ADAA" w:rsidR="00200876" w:rsidRPr="00BB4883" w:rsidRDefault="00DF007A" w:rsidP="004A142A">
      <w:pPr>
        <w:pBdr>
          <w:bottom w:val="single" w:sz="4" w:space="1" w:color="auto"/>
        </w:pBd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4.3 </w:t>
      </w:r>
      <w:r w:rsidR="00200876" w:rsidRPr="00BB4883">
        <w:rPr>
          <w:rFonts w:ascii="Times New Roman" w:hAnsi="Times New Roman" w:cs="Times New Roman"/>
          <w:b/>
          <w:bCs/>
          <w:sz w:val="28"/>
          <w:szCs w:val="28"/>
        </w:rPr>
        <w:t>Cash Flow and Financial Position</w:t>
      </w:r>
    </w:p>
    <w:p w14:paraId="55B42EB7"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16449F30"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Cash flow generation is a critical indicator of a company’s financial health, particularly in valuation models such as the Discounted Cash Flow (DCF) method, which relies on a firm’s ability to generate sustainable future cash flows. Unlike accounting profit, cash flow reflects the actual liquidity generated by a company’s operations and therefore provides a clearer view of its financial capacity to fund investments, repay obligations, and support long-term growth. </w:t>
      </w:r>
    </w:p>
    <w:p w14:paraId="2C3205EC"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3C8FAF44" w14:textId="619BAC68"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Historically, Adidas AG has demonstrated the ability to generate significant operating cash flow through its global sales operations. In recent years the company has generated several billion euros in operating cash flow annually, supported by strong revenue levels and its established global brand presence. For example, Adidas reported revenues of approximately </w:t>
      </w:r>
      <w:r w:rsidRPr="00BB4883">
        <w:rPr>
          <w:rFonts w:ascii="Times New Roman" w:hAnsi="Times New Roman" w:cs="Times New Roman"/>
        </w:rPr>
        <w:lastRenderedPageBreak/>
        <w:t>€22.5 billion in 2022, with operating income of roughly €669 million, while operating cash flow remained positive despite operational challenges. Consistent cash flow generation allows the company to maintain liquidity and continue funding its core business activities.</w:t>
      </w:r>
    </w:p>
    <w:p w14:paraId="7D271F55"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0D7BCC24" w14:textId="1619F70B"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A portion of the company’s cash flow is reinvested into strategic initiatives aimed at supporting long-term growth. Adidas allocates capital toward product innovation, marketing campaigns, digital transformation, and expansion of direct-to-consumer channels, including e-commerce platforms and global retail networks. Investments in marketing and athlete sponsorships are particularly important in the sportswear industry, where brand visibility and consumer engagement play a significant role in maintaining competitive advantage. Additionally, the company continues to invest in supply chain improvements and sustainability initiatives to strengthen operational efficiency and brand reputation.</w:t>
      </w:r>
    </w:p>
    <w:p w14:paraId="0CC9EF1A" w14:textId="77777777" w:rsidR="00200876" w:rsidRPr="00BB4883" w:rsidRDefault="00200876" w:rsidP="004A142A">
      <w:pPr>
        <w:pBdr>
          <w:bottom w:val="single" w:sz="4" w:space="1" w:color="auto"/>
        </w:pBdr>
        <w:spacing w:line="360" w:lineRule="auto"/>
        <w:jc w:val="both"/>
        <w:rPr>
          <w:rFonts w:ascii="Times New Roman" w:hAnsi="Times New Roman" w:cs="Times New Roman"/>
        </w:rPr>
      </w:pPr>
    </w:p>
    <w:p w14:paraId="36F24057" w14:textId="60EA04E0" w:rsidR="00200876" w:rsidRPr="00BB4883" w:rsidRDefault="0020087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Overall, Adidas’ historical ability to generate operating cash flow and reinvest in strategic growth initiatives indicates a relatively stable financial position within the global sportswear market. From a valuation perspective, stable cash flow generation provides a solid foundation for forecasting future free cash flows within the DCF model. These projected cash flows, when discounted using an appropriate cost of capital, form the basis for estimating the company’s intrinsic value and assessing its long-term financial prospects. </w:t>
      </w:r>
    </w:p>
    <w:p w14:paraId="7191F83C"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12A6D82C"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7B5C19FC" w14:textId="6D380831" w:rsidR="00A80DD8"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noProof/>
        </w:rPr>
        <w:lastRenderedPageBreak/>
        <w:drawing>
          <wp:inline distT="0" distB="0" distL="0" distR="0" wp14:anchorId="199F209C" wp14:editId="5C610E2C">
            <wp:extent cx="5379085" cy="3823368"/>
            <wp:effectExtent l="0" t="0" r="12065" b="5715"/>
            <wp:docPr id="803817614" name="Chart 1">
              <a:extLst xmlns:a="http://schemas.openxmlformats.org/drawingml/2006/main">
                <a:ext uri="{FF2B5EF4-FFF2-40B4-BE49-F238E27FC236}">
                  <a16:creationId xmlns:a16="http://schemas.microsoft.com/office/drawing/2014/main" id="{53AF1F9D-6946-E0C9-AFB9-91BDDF1AEB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B6EB339" w14:textId="77777777" w:rsidR="00592E26" w:rsidRDefault="00592E26" w:rsidP="004A142A">
      <w:pPr>
        <w:pBdr>
          <w:bottom w:val="single" w:sz="4" w:space="1" w:color="auto"/>
        </w:pBdr>
        <w:spacing w:line="360" w:lineRule="auto"/>
        <w:jc w:val="both"/>
        <w:rPr>
          <w:rFonts w:ascii="Times New Roman" w:hAnsi="Times New Roman" w:cs="Times New Roman"/>
          <w:b/>
          <w:bCs/>
          <w:sz w:val="32"/>
          <w:szCs w:val="32"/>
        </w:rPr>
      </w:pPr>
    </w:p>
    <w:p w14:paraId="7F5DC906"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352FC66B"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7F1690F8"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4D5E40E8"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24061AEC"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52492F88"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1BE5181A"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58849DB9"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0D0D42D9" w14:textId="77777777" w:rsidR="001F696B" w:rsidRDefault="001F696B" w:rsidP="004A142A">
      <w:pPr>
        <w:pBdr>
          <w:bottom w:val="single" w:sz="4" w:space="1" w:color="auto"/>
        </w:pBdr>
        <w:spacing w:line="360" w:lineRule="auto"/>
        <w:jc w:val="both"/>
        <w:rPr>
          <w:rFonts w:ascii="Times New Roman" w:hAnsi="Times New Roman" w:cs="Times New Roman"/>
          <w:b/>
          <w:bCs/>
          <w:sz w:val="32"/>
          <w:szCs w:val="32"/>
        </w:rPr>
      </w:pPr>
    </w:p>
    <w:p w14:paraId="7A827524" w14:textId="77777777" w:rsidR="001F696B" w:rsidRPr="00BB4883" w:rsidRDefault="001F696B" w:rsidP="004A142A">
      <w:pPr>
        <w:pBdr>
          <w:bottom w:val="single" w:sz="4" w:space="1" w:color="auto"/>
        </w:pBdr>
        <w:spacing w:line="360" w:lineRule="auto"/>
        <w:jc w:val="both"/>
        <w:rPr>
          <w:rFonts w:ascii="Times New Roman" w:hAnsi="Times New Roman" w:cs="Times New Roman"/>
          <w:b/>
          <w:bCs/>
          <w:sz w:val="32"/>
          <w:szCs w:val="32"/>
        </w:rPr>
      </w:pPr>
    </w:p>
    <w:p w14:paraId="3B8DE06C" w14:textId="61DB76F0" w:rsidR="00A80DD8" w:rsidRPr="00BB4883" w:rsidRDefault="00A80DD8" w:rsidP="004A142A">
      <w:pPr>
        <w:pStyle w:val="ListParagraph"/>
        <w:numPr>
          <w:ilvl w:val="0"/>
          <w:numId w:val="2"/>
        </w:numPr>
        <w:pBdr>
          <w:bottom w:val="single" w:sz="4" w:space="1" w:color="auto"/>
        </w:pBdr>
        <w:spacing w:line="360" w:lineRule="auto"/>
        <w:jc w:val="both"/>
        <w:rPr>
          <w:rFonts w:ascii="Times New Roman" w:hAnsi="Times New Roman" w:cs="Times New Roman"/>
          <w:b/>
          <w:bCs/>
          <w:sz w:val="32"/>
          <w:szCs w:val="32"/>
        </w:rPr>
      </w:pPr>
      <w:r w:rsidRPr="00BB4883">
        <w:rPr>
          <w:rFonts w:ascii="Times New Roman" w:hAnsi="Times New Roman" w:cs="Times New Roman"/>
          <w:b/>
          <w:bCs/>
          <w:sz w:val="32"/>
          <w:szCs w:val="32"/>
        </w:rPr>
        <w:t>Valuation Methodology</w:t>
      </w:r>
    </w:p>
    <w:p w14:paraId="4CE77390"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66493D77"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valuation of Adidas AG in this report is conducted using the Discounted Cash Flow (DCF) valuation method, which is widely used in corporate finance and investment analysis to estimate the intrinsic value of a company. The DCF approach is based on the principle that the value of a business is equal to the present value of the cash flows it is expected to generate in the future. Rather than relying solely on market prices, the DCF model focuses on a company’s fundamental financial performance and long-term growth prospects. By forecasting future financial performance and converting those expected cash flows into present value terms, analysts are able to estimate the underlying economic value of a company.</w:t>
      </w:r>
    </w:p>
    <w:p w14:paraId="6D2DFD5B"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A key component of the DCF model is Free Cash Flow (FCF), which represents the cash generated by a company after accounting for operating expenses, taxes, and necessary investments in capital expenditures and working capital. Free cash flow reflects the amount of cash that is available to investors after the company has covered its operational and investment requirements. Because it represents the actual cash generated by business operations, free cash flow is considered a reliable measure of a firm’s financial performance and its capacity to create value for shareholders. In valuation analysis, projected free cash flows are typically estimated over a forecast period using assumptions about revenue growth, operating margins, capital expenditure, and working capital requirements.</w:t>
      </w:r>
    </w:p>
    <w:p w14:paraId="5698C692"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Once future free cash flows are projected, they must be discounted back to their present value using an appropriate discount rate. In most corporate valuation models, this rate is represented by the Weighted Average Cost of Capital (WACC), which reflects the average return required by both debt and equity investors. The WACC incorporates the cost of equity, the cost of debt, and the company’s capital structure to determine the overall cost of financing. Discounting future cash flows using the WACC accounts for the time value of money and the risk associated with future cash flows, ensuring that cash received in the future is appropriately adjusted when estimating the company’s value today.</w:t>
      </w:r>
    </w:p>
    <w:p w14:paraId="4ABBBF89" w14:textId="21B1A41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lastRenderedPageBreak/>
        <w:t>In addition to forecasting cash flows during the explicit projection period, the DCF model also includes a terminal value, which represents the value of the company beyond the forecast horizon. Because companies are assumed to operate indefinitely, the terminal value captures the present value of all future cash flows generated after the forecast period. This value is typically calculated using a perpetual growth model, which assumes that cash flows will continue to grow at a stable long-term growth rate. The terminal value is then discounted back to present value using the same discount rate as the projected cash flows. Together, the discounted free cash flows and the terminal value form the basis for estimating the enterprise value of the company within the DCF valuation framework.</w:t>
      </w:r>
    </w:p>
    <w:p w14:paraId="393FEC29" w14:textId="77777777" w:rsidR="00A80DD8" w:rsidRDefault="00A80DD8" w:rsidP="004A142A">
      <w:pPr>
        <w:pBdr>
          <w:bottom w:val="single" w:sz="4" w:space="1" w:color="auto"/>
        </w:pBdr>
        <w:spacing w:line="360" w:lineRule="auto"/>
        <w:jc w:val="both"/>
        <w:rPr>
          <w:rFonts w:ascii="Times New Roman" w:hAnsi="Times New Roman" w:cs="Times New Roman"/>
        </w:rPr>
      </w:pPr>
    </w:p>
    <w:p w14:paraId="75E9BD0A" w14:textId="77777777" w:rsidR="001F696B" w:rsidRDefault="001F696B" w:rsidP="004A142A">
      <w:pPr>
        <w:pBdr>
          <w:bottom w:val="single" w:sz="4" w:space="1" w:color="auto"/>
        </w:pBdr>
        <w:spacing w:line="360" w:lineRule="auto"/>
        <w:jc w:val="both"/>
        <w:rPr>
          <w:rFonts w:ascii="Times New Roman" w:hAnsi="Times New Roman" w:cs="Times New Roman"/>
        </w:rPr>
      </w:pPr>
    </w:p>
    <w:p w14:paraId="3EC0E6D5" w14:textId="77777777" w:rsidR="001F696B" w:rsidRDefault="001F696B" w:rsidP="004A142A">
      <w:pPr>
        <w:pBdr>
          <w:bottom w:val="single" w:sz="4" w:space="1" w:color="auto"/>
        </w:pBdr>
        <w:spacing w:line="360" w:lineRule="auto"/>
        <w:jc w:val="both"/>
        <w:rPr>
          <w:rFonts w:ascii="Times New Roman" w:hAnsi="Times New Roman" w:cs="Times New Roman"/>
        </w:rPr>
      </w:pPr>
    </w:p>
    <w:p w14:paraId="6A96E8F8" w14:textId="77777777" w:rsidR="001F696B" w:rsidRDefault="001F696B" w:rsidP="004A142A">
      <w:pPr>
        <w:pBdr>
          <w:bottom w:val="single" w:sz="4" w:space="1" w:color="auto"/>
        </w:pBdr>
        <w:spacing w:line="360" w:lineRule="auto"/>
        <w:jc w:val="both"/>
        <w:rPr>
          <w:rFonts w:ascii="Times New Roman" w:hAnsi="Times New Roman" w:cs="Times New Roman"/>
        </w:rPr>
      </w:pPr>
    </w:p>
    <w:p w14:paraId="1C832B20" w14:textId="77777777" w:rsidR="001F696B" w:rsidRDefault="001F696B" w:rsidP="004A142A">
      <w:pPr>
        <w:pBdr>
          <w:bottom w:val="single" w:sz="4" w:space="1" w:color="auto"/>
        </w:pBdr>
        <w:spacing w:line="360" w:lineRule="auto"/>
        <w:jc w:val="both"/>
        <w:rPr>
          <w:rFonts w:ascii="Times New Roman" w:hAnsi="Times New Roman" w:cs="Times New Roman"/>
        </w:rPr>
      </w:pPr>
    </w:p>
    <w:p w14:paraId="5A54A258" w14:textId="77777777" w:rsidR="001F696B" w:rsidRDefault="001F696B" w:rsidP="004A142A">
      <w:pPr>
        <w:pBdr>
          <w:bottom w:val="single" w:sz="4" w:space="1" w:color="auto"/>
        </w:pBdr>
        <w:spacing w:line="360" w:lineRule="auto"/>
        <w:jc w:val="both"/>
        <w:rPr>
          <w:rFonts w:ascii="Times New Roman" w:hAnsi="Times New Roman" w:cs="Times New Roman"/>
        </w:rPr>
      </w:pPr>
    </w:p>
    <w:p w14:paraId="1B59DBF4" w14:textId="77777777" w:rsidR="001F696B" w:rsidRDefault="001F696B" w:rsidP="004A142A">
      <w:pPr>
        <w:pBdr>
          <w:bottom w:val="single" w:sz="4" w:space="1" w:color="auto"/>
        </w:pBdr>
        <w:spacing w:line="360" w:lineRule="auto"/>
        <w:jc w:val="both"/>
        <w:rPr>
          <w:rFonts w:ascii="Times New Roman" w:hAnsi="Times New Roman" w:cs="Times New Roman"/>
        </w:rPr>
      </w:pPr>
    </w:p>
    <w:p w14:paraId="044D54EA" w14:textId="77777777" w:rsidR="001F696B" w:rsidRDefault="001F696B" w:rsidP="004A142A">
      <w:pPr>
        <w:pBdr>
          <w:bottom w:val="single" w:sz="4" w:space="1" w:color="auto"/>
        </w:pBdr>
        <w:spacing w:line="360" w:lineRule="auto"/>
        <w:jc w:val="both"/>
        <w:rPr>
          <w:rFonts w:ascii="Times New Roman" w:hAnsi="Times New Roman" w:cs="Times New Roman"/>
        </w:rPr>
      </w:pPr>
    </w:p>
    <w:p w14:paraId="3771C187" w14:textId="77777777" w:rsidR="001F696B" w:rsidRDefault="001F696B" w:rsidP="004A142A">
      <w:pPr>
        <w:pBdr>
          <w:bottom w:val="single" w:sz="4" w:space="1" w:color="auto"/>
        </w:pBdr>
        <w:spacing w:line="360" w:lineRule="auto"/>
        <w:jc w:val="both"/>
        <w:rPr>
          <w:rFonts w:ascii="Times New Roman" w:hAnsi="Times New Roman" w:cs="Times New Roman"/>
        </w:rPr>
      </w:pPr>
    </w:p>
    <w:p w14:paraId="62267AB4" w14:textId="77777777" w:rsidR="001F696B" w:rsidRDefault="001F696B" w:rsidP="004A142A">
      <w:pPr>
        <w:pBdr>
          <w:bottom w:val="single" w:sz="4" w:space="1" w:color="auto"/>
        </w:pBdr>
        <w:spacing w:line="360" w:lineRule="auto"/>
        <w:jc w:val="both"/>
        <w:rPr>
          <w:rFonts w:ascii="Times New Roman" w:hAnsi="Times New Roman" w:cs="Times New Roman"/>
        </w:rPr>
      </w:pPr>
    </w:p>
    <w:p w14:paraId="61B3C842" w14:textId="77777777" w:rsidR="001F696B" w:rsidRDefault="001F696B" w:rsidP="004A142A">
      <w:pPr>
        <w:pBdr>
          <w:bottom w:val="single" w:sz="4" w:space="1" w:color="auto"/>
        </w:pBdr>
        <w:spacing w:line="360" w:lineRule="auto"/>
        <w:jc w:val="both"/>
        <w:rPr>
          <w:rFonts w:ascii="Times New Roman" w:hAnsi="Times New Roman" w:cs="Times New Roman"/>
        </w:rPr>
      </w:pPr>
    </w:p>
    <w:p w14:paraId="7C3E49BB" w14:textId="77777777" w:rsidR="001F696B" w:rsidRDefault="001F696B" w:rsidP="004A142A">
      <w:pPr>
        <w:pBdr>
          <w:bottom w:val="single" w:sz="4" w:space="1" w:color="auto"/>
        </w:pBdr>
        <w:spacing w:line="360" w:lineRule="auto"/>
        <w:jc w:val="both"/>
        <w:rPr>
          <w:rFonts w:ascii="Times New Roman" w:hAnsi="Times New Roman" w:cs="Times New Roman"/>
        </w:rPr>
      </w:pPr>
    </w:p>
    <w:p w14:paraId="0F75D1CB" w14:textId="77777777" w:rsidR="001F696B" w:rsidRDefault="001F696B" w:rsidP="004A142A">
      <w:pPr>
        <w:pBdr>
          <w:bottom w:val="single" w:sz="4" w:space="1" w:color="auto"/>
        </w:pBdr>
        <w:spacing w:line="360" w:lineRule="auto"/>
        <w:jc w:val="both"/>
        <w:rPr>
          <w:rFonts w:ascii="Times New Roman" w:hAnsi="Times New Roman" w:cs="Times New Roman"/>
        </w:rPr>
      </w:pPr>
    </w:p>
    <w:p w14:paraId="6EC2F165" w14:textId="77777777" w:rsidR="001F696B" w:rsidRDefault="001F696B" w:rsidP="004A142A">
      <w:pPr>
        <w:pBdr>
          <w:bottom w:val="single" w:sz="4" w:space="1" w:color="auto"/>
        </w:pBdr>
        <w:spacing w:line="360" w:lineRule="auto"/>
        <w:jc w:val="both"/>
        <w:rPr>
          <w:rFonts w:ascii="Times New Roman" w:hAnsi="Times New Roman" w:cs="Times New Roman"/>
        </w:rPr>
      </w:pPr>
    </w:p>
    <w:p w14:paraId="4EC3EBBD" w14:textId="77777777" w:rsidR="001F696B" w:rsidRDefault="001F696B" w:rsidP="004A142A">
      <w:pPr>
        <w:pBdr>
          <w:bottom w:val="single" w:sz="4" w:space="1" w:color="auto"/>
        </w:pBdr>
        <w:spacing w:line="360" w:lineRule="auto"/>
        <w:jc w:val="both"/>
        <w:rPr>
          <w:rFonts w:ascii="Times New Roman" w:hAnsi="Times New Roman" w:cs="Times New Roman"/>
        </w:rPr>
      </w:pPr>
    </w:p>
    <w:p w14:paraId="661DA89C" w14:textId="77777777" w:rsidR="001F696B" w:rsidRDefault="001F696B" w:rsidP="004A142A">
      <w:pPr>
        <w:pBdr>
          <w:bottom w:val="single" w:sz="4" w:space="1" w:color="auto"/>
        </w:pBdr>
        <w:spacing w:line="360" w:lineRule="auto"/>
        <w:jc w:val="both"/>
        <w:rPr>
          <w:rFonts w:ascii="Times New Roman" w:hAnsi="Times New Roman" w:cs="Times New Roman"/>
        </w:rPr>
      </w:pPr>
    </w:p>
    <w:p w14:paraId="46FC164C" w14:textId="77777777" w:rsidR="001F696B" w:rsidRDefault="001F696B" w:rsidP="004A142A">
      <w:pPr>
        <w:pBdr>
          <w:bottom w:val="single" w:sz="4" w:space="1" w:color="auto"/>
        </w:pBdr>
        <w:spacing w:line="360" w:lineRule="auto"/>
        <w:jc w:val="both"/>
        <w:rPr>
          <w:rFonts w:ascii="Times New Roman" w:hAnsi="Times New Roman" w:cs="Times New Roman"/>
        </w:rPr>
      </w:pPr>
    </w:p>
    <w:p w14:paraId="50110655" w14:textId="77777777" w:rsidR="001F696B" w:rsidRPr="00BB4883" w:rsidRDefault="001F696B" w:rsidP="004A142A">
      <w:pPr>
        <w:pBdr>
          <w:bottom w:val="single" w:sz="4" w:space="1" w:color="auto"/>
        </w:pBdr>
        <w:spacing w:line="360" w:lineRule="auto"/>
        <w:jc w:val="both"/>
        <w:rPr>
          <w:rFonts w:ascii="Times New Roman" w:hAnsi="Times New Roman" w:cs="Times New Roman"/>
        </w:rPr>
      </w:pPr>
    </w:p>
    <w:p w14:paraId="32AC2082" w14:textId="77777777" w:rsidR="00A80DD8" w:rsidRPr="00BB4883" w:rsidRDefault="00A80DD8" w:rsidP="004A142A">
      <w:pPr>
        <w:pStyle w:val="ListParagraph"/>
        <w:numPr>
          <w:ilvl w:val="0"/>
          <w:numId w:val="2"/>
        </w:numPr>
        <w:pBdr>
          <w:bottom w:val="single" w:sz="4" w:space="1" w:color="auto"/>
        </w:pBdr>
        <w:spacing w:line="360" w:lineRule="auto"/>
        <w:jc w:val="both"/>
        <w:rPr>
          <w:rFonts w:ascii="Times New Roman" w:hAnsi="Times New Roman" w:cs="Times New Roman"/>
          <w:b/>
          <w:bCs/>
          <w:sz w:val="32"/>
          <w:szCs w:val="32"/>
        </w:rPr>
      </w:pPr>
      <w:r w:rsidRPr="00BB4883">
        <w:rPr>
          <w:rFonts w:ascii="Times New Roman" w:hAnsi="Times New Roman" w:cs="Times New Roman"/>
          <w:b/>
          <w:bCs/>
          <w:sz w:val="32"/>
          <w:szCs w:val="32"/>
        </w:rPr>
        <w:t>Key Model Assumptions</w:t>
      </w:r>
    </w:p>
    <w:p w14:paraId="5D255098" w14:textId="77777777" w:rsidR="00BB4883" w:rsidRDefault="00BB4883" w:rsidP="004A142A">
      <w:pPr>
        <w:pBdr>
          <w:bottom w:val="single" w:sz="4" w:space="1" w:color="auto"/>
        </w:pBdr>
        <w:spacing w:line="360" w:lineRule="auto"/>
        <w:jc w:val="both"/>
        <w:rPr>
          <w:rFonts w:ascii="Times New Roman" w:hAnsi="Times New Roman" w:cs="Times New Roman"/>
        </w:rPr>
      </w:pPr>
    </w:p>
    <w:p w14:paraId="7F0EE065" w14:textId="0C2406CB"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valuation of Adidas AG relies on several key assumptions that are used to forecast the company’s future financial performance. These assumptions are necessary for projecting revenue growth, operating profitability, and long-term business sustainability within the Discounted Cash Flow model. The accuracy of a DCF valuation largely depends on the reasonableness of these assumptions, as they directly influence the estimated future cash flows and the resulting intrinsic value of the company.</w:t>
      </w:r>
    </w:p>
    <w:p w14:paraId="78C38D88"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01198A94" w14:textId="336A45F9" w:rsidR="00A80DD8" w:rsidRPr="00BB4883" w:rsidRDefault="00EC7B63"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6.1 </w:t>
      </w:r>
      <w:r w:rsidR="00A80DD8" w:rsidRPr="00BB4883">
        <w:rPr>
          <w:rFonts w:ascii="Times New Roman" w:hAnsi="Times New Roman" w:cs="Times New Roman"/>
          <w:b/>
          <w:bCs/>
          <w:sz w:val="28"/>
          <w:szCs w:val="28"/>
        </w:rPr>
        <w:t>Revenue Growth</w:t>
      </w:r>
    </w:p>
    <w:p w14:paraId="4BE60018"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519E78A1"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Revenue growth assumptions are based on the company’s historical financial performance, industry conditions, and expected expansion in global sportswear markets. Adidas has historically demonstrated relatively stable revenue generation supported by strong brand recognition and global demand for athletic footwear and apparel. In this model, a moderate revenue growth rate is assumed during the forecast period, reflecting continued market demand, expansion in direct-to-consumer channels, and growth in international markets.</w:t>
      </w:r>
    </w:p>
    <w:p w14:paraId="47868A9C"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0F805F83" w14:textId="5DEF6D27" w:rsidR="00A80DD8" w:rsidRPr="00BB4883" w:rsidRDefault="00EC7B63"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6.2 </w:t>
      </w:r>
      <w:r w:rsidR="00A80DD8" w:rsidRPr="00BB4883">
        <w:rPr>
          <w:rFonts w:ascii="Times New Roman" w:hAnsi="Times New Roman" w:cs="Times New Roman"/>
          <w:b/>
          <w:bCs/>
          <w:sz w:val="28"/>
          <w:szCs w:val="28"/>
        </w:rPr>
        <w:t>Operating Margin</w:t>
      </w:r>
    </w:p>
    <w:p w14:paraId="4ADCDA17"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15A7725C"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Operating margin assumptions are used to estimate the company’s profitability over the forecast period. Historically, Adidas has maintained operating margins within a competitive range compared to other companies in the sportswear industry. The projected operating margin assumes that the company will maintain operational efficiency while continuing to invest in product innovation, marketing, and digital sales channels. Stable margins indicate that the company is expected to convert a consistent portion of revenue into operating profit.</w:t>
      </w:r>
    </w:p>
    <w:p w14:paraId="53DAEA45"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105A3169" w14:textId="70B65A2D" w:rsidR="00A80DD8" w:rsidRPr="00BB4883" w:rsidRDefault="00EC7B63"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6.3 </w:t>
      </w:r>
      <w:r w:rsidR="00A80DD8" w:rsidRPr="00BB4883">
        <w:rPr>
          <w:rFonts w:ascii="Times New Roman" w:hAnsi="Times New Roman" w:cs="Times New Roman"/>
          <w:b/>
          <w:bCs/>
          <w:sz w:val="28"/>
          <w:szCs w:val="28"/>
        </w:rPr>
        <w:t>Discount Rate (WACC)</w:t>
      </w:r>
    </w:p>
    <w:p w14:paraId="6F264289"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29D38738"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discount rate used in the model is the Weighted Average Cost of Capital (WACC), which represents the average return required by both equity and debt investors. The WACC incorporates the company’s capital structure, cost of equity, and cost of debt to estimate the overall cost of financing. Using WACC as the discount rate ensures that future cash flows are adjusted for both risk and the time value of money.</w:t>
      </w:r>
    </w:p>
    <w:p w14:paraId="32F73627"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50E54298" w14:textId="457664AB" w:rsidR="00A80DD8" w:rsidRPr="00BB4883" w:rsidRDefault="00EC7B63" w:rsidP="004A142A">
      <w:pPr>
        <w:pBdr>
          <w:bottom w:val="single" w:sz="4" w:space="1" w:color="auto"/>
        </w:pBd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6.4 </w:t>
      </w:r>
      <w:r w:rsidR="00A80DD8" w:rsidRPr="00BB4883">
        <w:rPr>
          <w:rFonts w:ascii="Times New Roman" w:hAnsi="Times New Roman" w:cs="Times New Roman"/>
          <w:b/>
          <w:bCs/>
          <w:sz w:val="28"/>
          <w:szCs w:val="28"/>
        </w:rPr>
        <w:t>Terminal Growth Rate</w:t>
      </w:r>
    </w:p>
    <w:p w14:paraId="0638A58D" w14:textId="77777777" w:rsidR="00A80DD8" w:rsidRPr="00BB4883" w:rsidRDefault="00A80DD8" w:rsidP="004A142A">
      <w:pPr>
        <w:pBdr>
          <w:bottom w:val="single" w:sz="4" w:space="1" w:color="auto"/>
        </w:pBdr>
        <w:spacing w:line="360" w:lineRule="auto"/>
        <w:jc w:val="both"/>
        <w:rPr>
          <w:rFonts w:ascii="Times New Roman" w:hAnsi="Times New Roman" w:cs="Times New Roman"/>
        </w:rPr>
      </w:pPr>
    </w:p>
    <w:p w14:paraId="67B42068" w14:textId="40091A82" w:rsidR="00A80DD8" w:rsidRPr="00BB4883" w:rsidRDefault="00A80DD8"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terminal growth rate represents the long-term growth assumption applied beyond the explicit forecast period. This rate typically reflects the expected long-term growth of the broader economy or industry. In this valuation model, the terminal growth rate assumes that Adidas will continue to grow at a stable and sustainable rate over the long term as global demand for sportswear products continues to expand.</w:t>
      </w:r>
    </w:p>
    <w:p w14:paraId="1507A256" w14:textId="0DB91641" w:rsidR="00AB6AEE" w:rsidRPr="00AB6AEE" w:rsidRDefault="00592E26" w:rsidP="00AB6AEE">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fldChar w:fldCharType="begin"/>
      </w:r>
      <w:r w:rsidRPr="00BB4883">
        <w:rPr>
          <w:rFonts w:ascii="Times New Roman" w:hAnsi="Times New Roman" w:cs="Times New Roman"/>
        </w:rPr>
        <w:instrText xml:space="preserve"> LINK </w:instrText>
      </w:r>
      <w:r w:rsidR="00AB6AEE">
        <w:rPr>
          <w:rFonts w:ascii="Times New Roman" w:hAnsi="Times New Roman" w:cs="Times New Roman"/>
        </w:rPr>
        <w:instrText xml:space="preserve">Excel.Sheet.12 https://d.docs.live.net/e1948fbe2e7b1f87/Desktop/Adidas_DCF_Model.xlsx Sheet1!R21C1:R40C2 </w:instrText>
      </w:r>
      <w:r w:rsidRPr="00BB4883">
        <w:rPr>
          <w:rFonts w:ascii="Times New Roman" w:hAnsi="Times New Roman" w:cs="Times New Roman"/>
        </w:rPr>
        <w:instrText xml:space="preserve">\a \f 5 \h  \* MERGEFORMAT </w:instrText>
      </w:r>
      <w:r w:rsidR="00AB6AEE" w:rsidRPr="00BB4883">
        <w:rPr>
          <w:rFonts w:ascii="Times New Roman" w:hAnsi="Times New Roman" w:cs="Times New Roman"/>
        </w:rPr>
        <w:fldChar w:fldCharType="separate"/>
      </w:r>
    </w:p>
    <w:tbl>
      <w:tblPr>
        <w:tblStyle w:val="TableGrid"/>
        <w:tblW w:w="4499" w:type="dxa"/>
        <w:tblLook w:val="04A0" w:firstRow="1" w:lastRow="0" w:firstColumn="1" w:lastColumn="0" w:noHBand="0" w:noVBand="1"/>
      </w:tblPr>
      <w:tblGrid>
        <w:gridCol w:w="2760"/>
        <w:gridCol w:w="1739"/>
      </w:tblGrid>
      <w:tr w:rsidR="00AB6AEE" w:rsidRPr="00AB6AEE" w14:paraId="36EB25C8" w14:textId="77777777" w:rsidTr="00AB6AEE">
        <w:trPr>
          <w:trHeight w:val="285"/>
        </w:trPr>
        <w:tc>
          <w:tcPr>
            <w:tcW w:w="2760" w:type="dxa"/>
            <w:noWrap/>
            <w:hideMark/>
          </w:tcPr>
          <w:p w14:paraId="67427008" w14:textId="712AE106"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b/>
                <w:bCs/>
              </w:rPr>
              <w:t>DCF VALAUTION</w:t>
            </w:r>
            <w:r w:rsidRPr="00AB6AEE">
              <w:rPr>
                <w:rFonts w:ascii="Times New Roman" w:hAnsi="Times New Roman" w:cs="Times New Roman"/>
              </w:rPr>
              <w:t xml:space="preserve"> </w:t>
            </w:r>
          </w:p>
        </w:tc>
        <w:tc>
          <w:tcPr>
            <w:tcW w:w="1739" w:type="dxa"/>
            <w:noWrap/>
            <w:hideMark/>
          </w:tcPr>
          <w:p w14:paraId="7AD0CA3B"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45B381FB" w14:textId="77777777" w:rsidTr="00AB6AEE">
        <w:trPr>
          <w:trHeight w:val="285"/>
        </w:trPr>
        <w:tc>
          <w:tcPr>
            <w:tcW w:w="2760" w:type="dxa"/>
            <w:noWrap/>
            <w:hideMark/>
          </w:tcPr>
          <w:p w14:paraId="7615364E"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26D14792"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2C395674" w14:textId="77777777" w:rsidTr="00AB6AEE">
        <w:trPr>
          <w:trHeight w:val="285"/>
        </w:trPr>
        <w:tc>
          <w:tcPr>
            <w:tcW w:w="2760" w:type="dxa"/>
            <w:noWrap/>
            <w:hideMark/>
          </w:tcPr>
          <w:p w14:paraId="128E6123"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WACC</w:t>
            </w:r>
          </w:p>
        </w:tc>
        <w:tc>
          <w:tcPr>
            <w:tcW w:w="1739" w:type="dxa"/>
            <w:noWrap/>
            <w:hideMark/>
          </w:tcPr>
          <w:p w14:paraId="7B314537"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0.09 </w:t>
            </w:r>
          </w:p>
        </w:tc>
      </w:tr>
      <w:tr w:rsidR="00AB6AEE" w:rsidRPr="00AB6AEE" w14:paraId="30CFE330" w14:textId="77777777" w:rsidTr="00AB6AEE">
        <w:trPr>
          <w:trHeight w:val="285"/>
        </w:trPr>
        <w:tc>
          <w:tcPr>
            <w:tcW w:w="2760" w:type="dxa"/>
            <w:noWrap/>
            <w:hideMark/>
          </w:tcPr>
          <w:p w14:paraId="2EB66334"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Terminal Growth Rate </w:t>
            </w:r>
          </w:p>
        </w:tc>
        <w:tc>
          <w:tcPr>
            <w:tcW w:w="1739" w:type="dxa"/>
            <w:noWrap/>
            <w:hideMark/>
          </w:tcPr>
          <w:p w14:paraId="26088B2C"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0.03 </w:t>
            </w:r>
          </w:p>
        </w:tc>
      </w:tr>
      <w:tr w:rsidR="00AB6AEE" w:rsidRPr="00AB6AEE" w14:paraId="4809C2D1" w14:textId="77777777" w:rsidTr="00AB6AEE">
        <w:trPr>
          <w:trHeight w:val="285"/>
        </w:trPr>
        <w:tc>
          <w:tcPr>
            <w:tcW w:w="2760" w:type="dxa"/>
            <w:noWrap/>
            <w:hideMark/>
          </w:tcPr>
          <w:p w14:paraId="324B77DD"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14422172"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24AB60BE" w14:textId="77777777" w:rsidTr="00AB6AEE">
        <w:trPr>
          <w:trHeight w:val="285"/>
        </w:trPr>
        <w:tc>
          <w:tcPr>
            <w:tcW w:w="2760" w:type="dxa"/>
            <w:noWrap/>
            <w:hideMark/>
          </w:tcPr>
          <w:p w14:paraId="3983B2CE"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Terminal Value </w:t>
            </w:r>
          </w:p>
        </w:tc>
        <w:tc>
          <w:tcPr>
            <w:tcW w:w="1739" w:type="dxa"/>
            <w:noWrap/>
            <w:hideMark/>
          </w:tcPr>
          <w:p w14:paraId="0C6F4B60"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21,732.33 </w:t>
            </w:r>
          </w:p>
        </w:tc>
      </w:tr>
      <w:tr w:rsidR="00AB6AEE" w:rsidRPr="00AB6AEE" w14:paraId="6EB1D52D" w14:textId="77777777" w:rsidTr="00AB6AEE">
        <w:trPr>
          <w:trHeight w:val="285"/>
        </w:trPr>
        <w:tc>
          <w:tcPr>
            <w:tcW w:w="2760" w:type="dxa"/>
            <w:noWrap/>
            <w:hideMark/>
          </w:tcPr>
          <w:p w14:paraId="5DAB1BB5"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0852E1EC"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19FE7563" w14:textId="77777777" w:rsidTr="00AB6AEE">
        <w:trPr>
          <w:trHeight w:val="285"/>
        </w:trPr>
        <w:tc>
          <w:tcPr>
            <w:tcW w:w="2760" w:type="dxa"/>
            <w:noWrap/>
            <w:hideMark/>
          </w:tcPr>
          <w:p w14:paraId="374C1343"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7C8BCB2D"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36818509" w14:textId="77777777" w:rsidTr="00AB6AEE">
        <w:trPr>
          <w:trHeight w:val="285"/>
        </w:trPr>
        <w:tc>
          <w:tcPr>
            <w:tcW w:w="2760" w:type="dxa"/>
            <w:noWrap/>
            <w:hideMark/>
          </w:tcPr>
          <w:p w14:paraId="51EA0A24"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Present value of terminal value </w:t>
            </w:r>
          </w:p>
        </w:tc>
        <w:tc>
          <w:tcPr>
            <w:tcW w:w="1739" w:type="dxa"/>
            <w:noWrap/>
            <w:hideMark/>
          </w:tcPr>
          <w:p w14:paraId="1A93E33E"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14,124.52 </w:t>
            </w:r>
          </w:p>
        </w:tc>
      </w:tr>
      <w:tr w:rsidR="00AB6AEE" w:rsidRPr="00AB6AEE" w14:paraId="3AE78FFE" w14:textId="77777777" w:rsidTr="00AB6AEE">
        <w:trPr>
          <w:trHeight w:val="285"/>
        </w:trPr>
        <w:tc>
          <w:tcPr>
            <w:tcW w:w="2760" w:type="dxa"/>
            <w:noWrap/>
            <w:hideMark/>
          </w:tcPr>
          <w:p w14:paraId="21D97700"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2EB6EE7A"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59E0164C" w14:textId="77777777" w:rsidTr="00AB6AEE">
        <w:trPr>
          <w:trHeight w:val="285"/>
        </w:trPr>
        <w:tc>
          <w:tcPr>
            <w:tcW w:w="2760" w:type="dxa"/>
            <w:noWrap/>
            <w:hideMark/>
          </w:tcPr>
          <w:p w14:paraId="608BDCA9"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r w:rsidRPr="00AB6AEE">
              <w:rPr>
                <w:rFonts w:ascii="Times New Roman" w:hAnsi="Times New Roman" w:cs="Times New Roman"/>
                <w:b/>
                <w:bCs/>
              </w:rPr>
              <w:t xml:space="preserve">Enterprise Value </w:t>
            </w:r>
          </w:p>
        </w:tc>
        <w:tc>
          <w:tcPr>
            <w:tcW w:w="1739" w:type="dxa"/>
            <w:noWrap/>
            <w:hideMark/>
          </w:tcPr>
          <w:p w14:paraId="709D33FB"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r w:rsidRPr="00AB6AEE">
              <w:rPr>
                <w:rFonts w:ascii="Times New Roman" w:hAnsi="Times New Roman" w:cs="Times New Roman"/>
                <w:b/>
                <w:bCs/>
              </w:rPr>
              <w:t xml:space="preserve">                  19,279.54 </w:t>
            </w:r>
          </w:p>
        </w:tc>
      </w:tr>
      <w:tr w:rsidR="00AB6AEE" w:rsidRPr="00AB6AEE" w14:paraId="57CFCD4E" w14:textId="77777777" w:rsidTr="00AB6AEE">
        <w:trPr>
          <w:trHeight w:val="285"/>
        </w:trPr>
        <w:tc>
          <w:tcPr>
            <w:tcW w:w="2760" w:type="dxa"/>
            <w:noWrap/>
            <w:hideMark/>
          </w:tcPr>
          <w:p w14:paraId="04C45407"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p>
        </w:tc>
        <w:tc>
          <w:tcPr>
            <w:tcW w:w="1739" w:type="dxa"/>
            <w:noWrap/>
            <w:hideMark/>
          </w:tcPr>
          <w:p w14:paraId="7AD85207"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2F2595AD" w14:textId="77777777" w:rsidTr="00AB6AEE">
        <w:trPr>
          <w:trHeight w:val="285"/>
        </w:trPr>
        <w:tc>
          <w:tcPr>
            <w:tcW w:w="2760" w:type="dxa"/>
            <w:noWrap/>
            <w:hideMark/>
          </w:tcPr>
          <w:p w14:paraId="5A03FF6D"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cash </w:t>
            </w:r>
          </w:p>
        </w:tc>
        <w:tc>
          <w:tcPr>
            <w:tcW w:w="1739" w:type="dxa"/>
            <w:noWrap/>
            <w:hideMark/>
          </w:tcPr>
          <w:p w14:paraId="666AED7C"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3,000.00 </w:t>
            </w:r>
          </w:p>
        </w:tc>
      </w:tr>
      <w:tr w:rsidR="00AB6AEE" w:rsidRPr="00AB6AEE" w14:paraId="1704E058" w14:textId="77777777" w:rsidTr="00AB6AEE">
        <w:trPr>
          <w:trHeight w:val="285"/>
        </w:trPr>
        <w:tc>
          <w:tcPr>
            <w:tcW w:w="2760" w:type="dxa"/>
            <w:noWrap/>
            <w:hideMark/>
          </w:tcPr>
          <w:p w14:paraId="4FEBC957"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Total debt </w:t>
            </w:r>
          </w:p>
        </w:tc>
        <w:tc>
          <w:tcPr>
            <w:tcW w:w="1739" w:type="dxa"/>
            <w:noWrap/>
            <w:hideMark/>
          </w:tcPr>
          <w:p w14:paraId="2397F0FD"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6,200.00 </w:t>
            </w:r>
          </w:p>
        </w:tc>
      </w:tr>
      <w:tr w:rsidR="00AB6AEE" w:rsidRPr="00AB6AEE" w14:paraId="38BED9D6" w14:textId="77777777" w:rsidTr="00AB6AEE">
        <w:trPr>
          <w:trHeight w:val="285"/>
        </w:trPr>
        <w:tc>
          <w:tcPr>
            <w:tcW w:w="2760" w:type="dxa"/>
            <w:noWrap/>
            <w:hideMark/>
          </w:tcPr>
          <w:p w14:paraId="311F5FEB"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1BAF8CF2"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0E1C6DFF" w14:textId="77777777" w:rsidTr="00AB6AEE">
        <w:trPr>
          <w:trHeight w:val="285"/>
        </w:trPr>
        <w:tc>
          <w:tcPr>
            <w:tcW w:w="2760" w:type="dxa"/>
            <w:noWrap/>
            <w:hideMark/>
          </w:tcPr>
          <w:p w14:paraId="0CB7A9E2"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r w:rsidRPr="00AB6AEE">
              <w:rPr>
                <w:rFonts w:ascii="Times New Roman" w:hAnsi="Times New Roman" w:cs="Times New Roman"/>
                <w:b/>
                <w:bCs/>
              </w:rPr>
              <w:t xml:space="preserve">Equity value </w:t>
            </w:r>
          </w:p>
        </w:tc>
        <w:tc>
          <w:tcPr>
            <w:tcW w:w="1739" w:type="dxa"/>
            <w:noWrap/>
            <w:hideMark/>
          </w:tcPr>
          <w:p w14:paraId="7CFCECFC"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r w:rsidRPr="00AB6AEE">
              <w:rPr>
                <w:rFonts w:ascii="Times New Roman" w:hAnsi="Times New Roman" w:cs="Times New Roman"/>
                <w:b/>
                <w:bCs/>
              </w:rPr>
              <w:t xml:space="preserve">                  16,079.54 </w:t>
            </w:r>
          </w:p>
        </w:tc>
      </w:tr>
      <w:tr w:rsidR="00AB6AEE" w:rsidRPr="00AB6AEE" w14:paraId="7AB04E39" w14:textId="77777777" w:rsidTr="00AB6AEE">
        <w:trPr>
          <w:trHeight w:val="285"/>
        </w:trPr>
        <w:tc>
          <w:tcPr>
            <w:tcW w:w="2760" w:type="dxa"/>
            <w:noWrap/>
            <w:hideMark/>
          </w:tcPr>
          <w:p w14:paraId="73B47938"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p>
        </w:tc>
        <w:tc>
          <w:tcPr>
            <w:tcW w:w="1739" w:type="dxa"/>
            <w:noWrap/>
            <w:hideMark/>
          </w:tcPr>
          <w:p w14:paraId="6D9B5247"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26A00D5F" w14:textId="77777777" w:rsidTr="00AB6AEE">
        <w:trPr>
          <w:trHeight w:val="285"/>
        </w:trPr>
        <w:tc>
          <w:tcPr>
            <w:tcW w:w="2760" w:type="dxa"/>
            <w:noWrap/>
            <w:hideMark/>
          </w:tcPr>
          <w:p w14:paraId="58B5D837"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Shares outstanding </w:t>
            </w:r>
          </w:p>
        </w:tc>
        <w:tc>
          <w:tcPr>
            <w:tcW w:w="1739" w:type="dxa"/>
            <w:noWrap/>
            <w:hideMark/>
          </w:tcPr>
          <w:p w14:paraId="5334AB64"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rPr>
              <w:t xml:space="preserve">                          179.00 </w:t>
            </w:r>
          </w:p>
        </w:tc>
      </w:tr>
      <w:tr w:rsidR="00AB6AEE" w:rsidRPr="00AB6AEE" w14:paraId="4E90CEEF" w14:textId="77777777" w:rsidTr="00AB6AEE">
        <w:trPr>
          <w:trHeight w:val="285"/>
        </w:trPr>
        <w:tc>
          <w:tcPr>
            <w:tcW w:w="2760" w:type="dxa"/>
            <w:noWrap/>
            <w:hideMark/>
          </w:tcPr>
          <w:p w14:paraId="652DBA85"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c>
          <w:tcPr>
            <w:tcW w:w="1739" w:type="dxa"/>
            <w:noWrap/>
            <w:hideMark/>
          </w:tcPr>
          <w:p w14:paraId="26596552"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p>
        </w:tc>
      </w:tr>
      <w:tr w:rsidR="00AB6AEE" w:rsidRPr="00AB6AEE" w14:paraId="572A5B55" w14:textId="77777777" w:rsidTr="00AB6AEE">
        <w:trPr>
          <w:trHeight w:val="285"/>
        </w:trPr>
        <w:tc>
          <w:tcPr>
            <w:tcW w:w="2760" w:type="dxa"/>
            <w:noWrap/>
            <w:hideMark/>
          </w:tcPr>
          <w:p w14:paraId="245F7FFE" w14:textId="77777777" w:rsidR="00AB6AEE" w:rsidRPr="00AB6AEE" w:rsidRDefault="00AB6AEE" w:rsidP="00AB6AEE">
            <w:pPr>
              <w:pBdr>
                <w:bottom w:val="single" w:sz="4" w:space="1" w:color="auto"/>
              </w:pBdr>
              <w:spacing w:line="360" w:lineRule="auto"/>
              <w:jc w:val="both"/>
              <w:rPr>
                <w:rFonts w:ascii="Times New Roman" w:hAnsi="Times New Roman" w:cs="Times New Roman"/>
              </w:rPr>
            </w:pPr>
            <w:r w:rsidRPr="00AB6AEE">
              <w:rPr>
                <w:rFonts w:ascii="Times New Roman" w:hAnsi="Times New Roman" w:cs="Times New Roman"/>
                <w:b/>
                <w:bCs/>
              </w:rPr>
              <w:t>Intrinsic Value per share</w:t>
            </w:r>
            <w:r w:rsidRPr="00AB6AEE">
              <w:rPr>
                <w:rFonts w:ascii="Times New Roman" w:hAnsi="Times New Roman" w:cs="Times New Roman"/>
              </w:rPr>
              <w:t xml:space="preserve"> </w:t>
            </w:r>
          </w:p>
        </w:tc>
        <w:tc>
          <w:tcPr>
            <w:tcW w:w="1739" w:type="dxa"/>
            <w:noWrap/>
            <w:hideMark/>
          </w:tcPr>
          <w:p w14:paraId="7EBDEC97" w14:textId="77777777" w:rsidR="00AB6AEE" w:rsidRPr="00AB6AEE" w:rsidRDefault="00AB6AEE" w:rsidP="00AB6AEE">
            <w:pPr>
              <w:pBdr>
                <w:bottom w:val="single" w:sz="4" w:space="1" w:color="auto"/>
              </w:pBdr>
              <w:spacing w:line="360" w:lineRule="auto"/>
              <w:jc w:val="both"/>
              <w:rPr>
                <w:rFonts w:ascii="Times New Roman" w:hAnsi="Times New Roman" w:cs="Times New Roman"/>
                <w:b/>
                <w:bCs/>
              </w:rPr>
            </w:pPr>
            <w:r w:rsidRPr="00AB6AEE">
              <w:rPr>
                <w:rFonts w:ascii="Times New Roman" w:hAnsi="Times New Roman" w:cs="Times New Roman"/>
                <w:b/>
                <w:bCs/>
              </w:rPr>
              <w:t xml:space="preserve">                             89.83 </w:t>
            </w:r>
          </w:p>
        </w:tc>
      </w:tr>
    </w:tbl>
    <w:p w14:paraId="330378FA" w14:textId="221F94E9" w:rsidR="00DF007A" w:rsidRDefault="00592E26" w:rsidP="00DF007A">
      <w:pPr>
        <w:spacing w:line="360" w:lineRule="auto"/>
        <w:jc w:val="both"/>
        <w:rPr>
          <w:rFonts w:ascii="Times New Roman" w:hAnsi="Times New Roman" w:cs="Times New Roman"/>
        </w:rPr>
      </w:pPr>
      <w:r w:rsidRPr="00BB4883">
        <w:rPr>
          <w:rFonts w:ascii="Times New Roman" w:hAnsi="Times New Roman" w:cs="Times New Roman"/>
        </w:rPr>
        <w:fldChar w:fldCharType="end"/>
      </w:r>
    </w:p>
    <w:p w14:paraId="18BAD911" w14:textId="77777777" w:rsidR="00DF007A" w:rsidRDefault="00DF007A" w:rsidP="00DF007A">
      <w:pPr>
        <w:spacing w:line="360" w:lineRule="auto"/>
        <w:jc w:val="both"/>
        <w:rPr>
          <w:rFonts w:ascii="Times New Roman" w:hAnsi="Times New Roman" w:cs="Times New Roman"/>
        </w:rPr>
      </w:pPr>
    </w:p>
    <w:p w14:paraId="7A4BB5CC" w14:textId="77777777" w:rsidR="00DF007A" w:rsidRDefault="00DF007A" w:rsidP="00DF007A">
      <w:pPr>
        <w:spacing w:line="360" w:lineRule="auto"/>
        <w:jc w:val="both"/>
        <w:rPr>
          <w:rFonts w:ascii="Times New Roman" w:hAnsi="Times New Roman" w:cs="Times New Roman"/>
        </w:rPr>
      </w:pPr>
    </w:p>
    <w:p w14:paraId="6688775C" w14:textId="77777777" w:rsidR="00DF007A" w:rsidRDefault="00DF007A" w:rsidP="00DF007A">
      <w:pPr>
        <w:spacing w:line="360" w:lineRule="auto"/>
        <w:jc w:val="both"/>
        <w:rPr>
          <w:rFonts w:ascii="Times New Roman" w:hAnsi="Times New Roman" w:cs="Times New Roman"/>
        </w:rPr>
      </w:pPr>
    </w:p>
    <w:p w14:paraId="749A039E" w14:textId="77777777" w:rsidR="00DF007A" w:rsidRDefault="00DF007A" w:rsidP="00DF007A">
      <w:pPr>
        <w:spacing w:line="360" w:lineRule="auto"/>
        <w:jc w:val="both"/>
        <w:rPr>
          <w:rFonts w:ascii="Times New Roman" w:hAnsi="Times New Roman" w:cs="Times New Roman"/>
        </w:rPr>
      </w:pPr>
    </w:p>
    <w:p w14:paraId="65CF8A8F" w14:textId="77777777" w:rsidR="00DF007A" w:rsidRDefault="00DF007A" w:rsidP="00DF007A">
      <w:pPr>
        <w:spacing w:line="360" w:lineRule="auto"/>
        <w:jc w:val="both"/>
        <w:rPr>
          <w:rFonts w:ascii="Times New Roman" w:hAnsi="Times New Roman" w:cs="Times New Roman"/>
        </w:rPr>
      </w:pPr>
    </w:p>
    <w:p w14:paraId="2C57580C" w14:textId="77777777" w:rsidR="00DF007A" w:rsidRDefault="00DF007A" w:rsidP="00DF007A">
      <w:pPr>
        <w:spacing w:line="360" w:lineRule="auto"/>
        <w:jc w:val="both"/>
        <w:rPr>
          <w:rFonts w:ascii="Times New Roman" w:hAnsi="Times New Roman" w:cs="Times New Roman"/>
        </w:rPr>
      </w:pPr>
    </w:p>
    <w:p w14:paraId="0E9FD2D6" w14:textId="77777777" w:rsidR="00DF007A" w:rsidRPr="00DF007A" w:rsidRDefault="00DF007A" w:rsidP="00DF007A">
      <w:pPr>
        <w:spacing w:line="360" w:lineRule="auto"/>
        <w:jc w:val="both"/>
        <w:rPr>
          <w:rFonts w:ascii="Times New Roman" w:hAnsi="Times New Roman" w:cs="Times New Roman"/>
          <w:sz w:val="32"/>
          <w:szCs w:val="32"/>
        </w:rPr>
      </w:pPr>
    </w:p>
    <w:p w14:paraId="55035A66" w14:textId="77777777" w:rsidR="00DF007A" w:rsidRPr="00EC7B63" w:rsidRDefault="00DF007A" w:rsidP="00EC7B63">
      <w:pPr>
        <w:pStyle w:val="ListParagraph"/>
        <w:numPr>
          <w:ilvl w:val="0"/>
          <w:numId w:val="2"/>
        </w:numPr>
        <w:pBdr>
          <w:top w:val="single" w:sz="4" w:space="1" w:color="auto"/>
          <w:bottom w:val="single" w:sz="4" w:space="1" w:color="auto"/>
        </w:pBdr>
        <w:spacing w:line="360" w:lineRule="auto"/>
        <w:jc w:val="both"/>
        <w:rPr>
          <w:rFonts w:ascii="Times New Roman" w:hAnsi="Times New Roman" w:cs="Times New Roman"/>
          <w:sz w:val="32"/>
          <w:szCs w:val="32"/>
        </w:rPr>
      </w:pPr>
      <w:r w:rsidRPr="00EC7B63">
        <w:rPr>
          <w:rFonts w:ascii="Times New Roman" w:hAnsi="Times New Roman" w:cs="Times New Roman"/>
          <w:b/>
          <w:bCs/>
          <w:sz w:val="32"/>
          <w:szCs w:val="32"/>
        </w:rPr>
        <w:lastRenderedPageBreak/>
        <w:t>Discounted Cash Flow Valuation</w:t>
      </w:r>
    </w:p>
    <w:p w14:paraId="29F89B15" w14:textId="77777777" w:rsidR="00DF007A" w:rsidRDefault="00DF007A" w:rsidP="004A142A">
      <w:pPr>
        <w:pBdr>
          <w:bottom w:val="single" w:sz="4" w:space="1" w:color="auto"/>
        </w:pBdr>
        <w:spacing w:line="360" w:lineRule="auto"/>
        <w:jc w:val="both"/>
        <w:rPr>
          <w:rFonts w:ascii="Times New Roman" w:hAnsi="Times New Roman" w:cs="Times New Roman"/>
        </w:rPr>
      </w:pPr>
    </w:p>
    <w:p w14:paraId="5DB4CB06" w14:textId="1A6B85CC"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The Discounted Cash Flow model estimates the intrinsic value of Adidas AG by projecting future free cash flows and discounting them back to their present value. The model forecasts free cash flows over a specified projection period based on assumptions regarding revenue growth, operating profitability, and investment requirements. These projected cash flows represent the cash generated by the company that is available to investors after accounting for operating expenses, taxes, and necessary reinvestment in the business.</w:t>
      </w:r>
    </w:p>
    <w:p w14:paraId="7BDD84B6"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7C392AA8"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In addition to the forecast period, the model incorporates a terminal value, which represents the value of the company beyond the explicit projection horizon. The terminal value is calculated using the perpetual growth method, which assumes that free cash flows will continue to grow at a stable long-term growth rate. This value captures the majority of the company’s long-term value and reflects the expectation that the business will continue operating indefinitely.</w:t>
      </w:r>
    </w:p>
    <w:p w14:paraId="382668A4"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02CF686E" w14:textId="20DE69FA"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The sum of the discounted projected cash flows and the discounted terminal value results in the enterprise value of the company. After adjusting for net debt and other financial obligations, the enterprise value is converted into equity value, which represents the value attributable to shareholders. This valuation framework provides an estimate of the intrinsic financial value of Adidas based on its expected future cash flow generation. </w:t>
      </w:r>
    </w:p>
    <w:p w14:paraId="0F9FE2E9" w14:textId="2F538611"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noProof/>
        </w:rPr>
        <w:lastRenderedPageBreak/>
        <w:drawing>
          <wp:inline distT="0" distB="0" distL="0" distR="0" wp14:anchorId="324B1836" wp14:editId="795C37F4">
            <wp:extent cx="5432425" cy="2957095"/>
            <wp:effectExtent l="0" t="0" r="15875" b="15240"/>
            <wp:docPr id="1669560115" name="Chart 1">
              <a:extLst xmlns:a="http://schemas.openxmlformats.org/drawingml/2006/main">
                <a:ext uri="{FF2B5EF4-FFF2-40B4-BE49-F238E27FC236}">
                  <a16:creationId xmlns:a16="http://schemas.microsoft.com/office/drawing/2014/main" id="{53AF1F9D-6946-E0C9-AFB9-91BDDF1AEB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FF585AC" w14:textId="77777777" w:rsidR="00592E26" w:rsidRDefault="00592E26" w:rsidP="004A142A">
      <w:pPr>
        <w:pBdr>
          <w:bottom w:val="single" w:sz="4" w:space="1" w:color="auto"/>
        </w:pBdr>
        <w:spacing w:line="360" w:lineRule="auto"/>
        <w:jc w:val="both"/>
        <w:rPr>
          <w:rFonts w:ascii="Times New Roman" w:hAnsi="Times New Roman" w:cs="Times New Roman"/>
        </w:rPr>
      </w:pPr>
    </w:p>
    <w:p w14:paraId="155A8DC3" w14:textId="77777777" w:rsidR="00DF007A" w:rsidRDefault="00DF007A" w:rsidP="004A142A">
      <w:pPr>
        <w:pBdr>
          <w:bottom w:val="single" w:sz="4" w:space="1" w:color="auto"/>
        </w:pBdr>
        <w:spacing w:line="360" w:lineRule="auto"/>
        <w:jc w:val="both"/>
        <w:rPr>
          <w:rFonts w:ascii="Times New Roman" w:hAnsi="Times New Roman" w:cs="Times New Roman"/>
        </w:rPr>
      </w:pPr>
    </w:p>
    <w:p w14:paraId="0370A765" w14:textId="77777777" w:rsidR="00DF007A" w:rsidRDefault="00DF007A" w:rsidP="004A142A">
      <w:pPr>
        <w:pBdr>
          <w:bottom w:val="single" w:sz="4" w:space="1" w:color="auto"/>
        </w:pBdr>
        <w:spacing w:line="360" w:lineRule="auto"/>
        <w:jc w:val="both"/>
        <w:rPr>
          <w:rFonts w:ascii="Times New Roman" w:hAnsi="Times New Roman" w:cs="Times New Roman"/>
        </w:rPr>
      </w:pPr>
    </w:p>
    <w:p w14:paraId="0E0E1C28" w14:textId="77777777" w:rsidR="00DF007A" w:rsidRDefault="00DF007A" w:rsidP="004A142A">
      <w:pPr>
        <w:pBdr>
          <w:bottom w:val="single" w:sz="4" w:space="1" w:color="auto"/>
        </w:pBdr>
        <w:spacing w:line="360" w:lineRule="auto"/>
        <w:jc w:val="both"/>
        <w:rPr>
          <w:rFonts w:ascii="Times New Roman" w:hAnsi="Times New Roman" w:cs="Times New Roman"/>
        </w:rPr>
      </w:pPr>
    </w:p>
    <w:p w14:paraId="122E5FEE" w14:textId="77777777" w:rsidR="00DF007A" w:rsidRDefault="00DF007A" w:rsidP="004A142A">
      <w:pPr>
        <w:pBdr>
          <w:bottom w:val="single" w:sz="4" w:space="1" w:color="auto"/>
        </w:pBdr>
        <w:spacing w:line="360" w:lineRule="auto"/>
        <w:jc w:val="both"/>
        <w:rPr>
          <w:rFonts w:ascii="Times New Roman" w:hAnsi="Times New Roman" w:cs="Times New Roman"/>
        </w:rPr>
      </w:pPr>
    </w:p>
    <w:p w14:paraId="111B7AD3" w14:textId="77777777" w:rsidR="00DF007A" w:rsidRDefault="00DF007A" w:rsidP="004A142A">
      <w:pPr>
        <w:pBdr>
          <w:bottom w:val="single" w:sz="4" w:space="1" w:color="auto"/>
        </w:pBdr>
        <w:spacing w:line="360" w:lineRule="auto"/>
        <w:jc w:val="both"/>
        <w:rPr>
          <w:rFonts w:ascii="Times New Roman" w:hAnsi="Times New Roman" w:cs="Times New Roman"/>
        </w:rPr>
      </w:pPr>
    </w:p>
    <w:p w14:paraId="4A86A879" w14:textId="77777777" w:rsidR="00DF007A" w:rsidRDefault="00DF007A" w:rsidP="004A142A">
      <w:pPr>
        <w:pBdr>
          <w:bottom w:val="single" w:sz="4" w:space="1" w:color="auto"/>
        </w:pBdr>
        <w:spacing w:line="360" w:lineRule="auto"/>
        <w:jc w:val="both"/>
        <w:rPr>
          <w:rFonts w:ascii="Times New Roman" w:hAnsi="Times New Roman" w:cs="Times New Roman"/>
        </w:rPr>
      </w:pPr>
    </w:p>
    <w:p w14:paraId="542B7DE2" w14:textId="77777777" w:rsidR="00DF007A" w:rsidRDefault="00DF007A" w:rsidP="004A142A">
      <w:pPr>
        <w:pBdr>
          <w:bottom w:val="single" w:sz="4" w:space="1" w:color="auto"/>
        </w:pBdr>
        <w:spacing w:line="360" w:lineRule="auto"/>
        <w:jc w:val="both"/>
        <w:rPr>
          <w:rFonts w:ascii="Times New Roman" w:hAnsi="Times New Roman" w:cs="Times New Roman"/>
        </w:rPr>
      </w:pPr>
    </w:p>
    <w:p w14:paraId="620329B7" w14:textId="77777777" w:rsidR="00DF007A" w:rsidRDefault="00DF007A" w:rsidP="004A142A">
      <w:pPr>
        <w:pBdr>
          <w:bottom w:val="single" w:sz="4" w:space="1" w:color="auto"/>
        </w:pBdr>
        <w:spacing w:line="360" w:lineRule="auto"/>
        <w:jc w:val="both"/>
        <w:rPr>
          <w:rFonts w:ascii="Times New Roman" w:hAnsi="Times New Roman" w:cs="Times New Roman"/>
        </w:rPr>
      </w:pPr>
    </w:p>
    <w:p w14:paraId="58AD031C" w14:textId="77777777" w:rsidR="00DF007A" w:rsidRDefault="00DF007A" w:rsidP="004A142A">
      <w:pPr>
        <w:pBdr>
          <w:bottom w:val="single" w:sz="4" w:space="1" w:color="auto"/>
        </w:pBdr>
        <w:spacing w:line="360" w:lineRule="auto"/>
        <w:jc w:val="both"/>
        <w:rPr>
          <w:rFonts w:ascii="Times New Roman" w:hAnsi="Times New Roman" w:cs="Times New Roman"/>
        </w:rPr>
      </w:pPr>
    </w:p>
    <w:p w14:paraId="10263AFD" w14:textId="77777777" w:rsidR="00DF007A" w:rsidRDefault="00DF007A" w:rsidP="004A142A">
      <w:pPr>
        <w:pBdr>
          <w:bottom w:val="single" w:sz="4" w:space="1" w:color="auto"/>
        </w:pBdr>
        <w:spacing w:line="360" w:lineRule="auto"/>
        <w:jc w:val="both"/>
        <w:rPr>
          <w:rFonts w:ascii="Times New Roman" w:hAnsi="Times New Roman" w:cs="Times New Roman"/>
        </w:rPr>
      </w:pPr>
    </w:p>
    <w:p w14:paraId="2E9C323F" w14:textId="77777777" w:rsidR="00DF007A" w:rsidRDefault="00DF007A" w:rsidP="004A142A">
      <w:pPr>
        <w:pBdr>
          <w:bottom w:val="single" w:sz="4" w:space="1" w:color="auto"/>
        </w:pBdr>
        <w:spacing w:line="360" w:lineRule="auto"/>
        <w:jc w:val="both"/>
        <w:rPr>
          <w:rFonts w:ascii="Times New Roman" w:hAnsi="Times New Roman" w:cs="Times New Roman"/>
        </w:rPr>
      </w:pPr>
    </w:p>
    <w:p w14:paraId="73F9ACB8" w14:textId="77777777" w:rsidR="00DF007A" w:rsidRDefault="00DF007A" w:rsidP="004A142A">
      <w:pPr>
        <w:pBdr>
          <w:bottom w:val="single" w:sz="4" w:space="1" w:color="auto"/>
        </w:pBdr>
        <w:spacing w:line="360" w:lineRule="auto"/>
        <w:jc w:val="both"/>
        <w:rPr>
          <w:rFonts w:ascii="Times New Roman" w:hAnsi="Times New Roman" w:cs="Times New Roman"/>
        </w:rPr>
      </w:pPr>
    </w:p>
    <w:p w14:paraId="360C6C3F" w14:textId="77777777" w:rsidR="00DF007A" w:rsidRDefault="00DF007A" w:rsidP="004A142A">
      <w:pPr>
        <w:pBdr>
          <w:bottom w:val="single" w:sz="4" w:space="1" w:color="auto"/>
        </w:pBdr>
        <w:spacing w:line="360" w:lineRule="auto"/>
        <w:jc w:val="both"/>
        <w:rPr>
          <w:rFonts w:ascii="Times New Roman" w:hAnsi="Times New Roman" w:cs="Times New Roman"/>
        </w:rPr>
      </w:pPr>
    </w:p>
    <w:p w14:paraId="70CE7E56" w14:textId="77777777" w:rsidR="00DF007A" w:rsidRDefault="00DF007A" w:rsidP="004A142A">
      <w:pPr>
        <w:pBdr>
          <w:bottom w:val="single" w:sz="4" w:space="1" w:color="auto"/>
        </w:pBdr>
        <w:spacing w:line="360" w:lineRule="auto"/>
        <w:jc w:val="both"/>
        <w:rPr>
          <w:rFonts w:ascii="Times New Roman" w:hAnsi="Times New Roman" w:cs="Times New Roman"/>
        </w:rPr>
      </w:pPr>
    </w:p>
    <w:p w14:paraId="4DFA5EA7" w14:textId="77777777" w:rsidR="00DF007A" w:rsidRPr="00BB4883" w:rsidRDefault="00DF007A" w:rsidP="004A142A">
      <w:pPr>
        <w:pBdr>
          <w:bottom w:val="single" w:sz="4" w:space="1" w:color="auto"/>
        </w:pBdr>
        <w:spacing w:line="360" w:lineRule="auto"/>
        <w:jc w:val="both"/>
        <w:rPr>
          <w:rFonts w:ascii="Times New Roman" w:hAnsi="Times New Roman" w:cs="Times New Roman"/>
        </w:rPr>
      </w:pPr>
    </w:p>
    <w:p w14:paraId="132214C9" w14:textId="247DE2CB" w:rsidR="00592E26" w:rsidRPr="00DF007A" w:rsidRDefault="00DF007A" w:rsidP="00DF007A">
      <w:pPr>
        <w:pBdr>
          <w:bottom w:val="single" w:sz="4" w:space="1" w:color="auto"/>
        </w:pBdr>
        <w:spacing w:line="360" w:lineRule="auto"/>
        <w:ind w:left="360"/>
        <w:jc w:val="both"/>
        <w:rPr>
          <w:rFonts w:ascii="Times New Roman" w:hAnsi="Times New Roman" w:cs="Times New Roman"/>
          <w:b/>
          <w:bCs/>
          <w:sz w:val="32"/>
          <w:szCs w:val="32"/>
        </w:rPr>
      </w:pPr>
      <w:r>
        <w:rPr>
          <w:rFonts w:ascii="Times New Roman" w:hAnsi="Times New Roman" w:cs="Times New Roman"/>
          <w:b/>
          <w:bCs/>
          <w:sz w:val="32"/>
          <w:szCs w:val="32"/>
        </w:rPr>
        <w:t>8.</w:t>
      </w:r>
      <w:r w:rsidR="00592E26" w:rsidRPr="00DF007A">
        <w:rPr>
          <w:rFonts w:ascii="Times New Roman" w:hAnsi="Times New Roman" w:cs="Times New Roman"/>
          <w:b/>
          <w:bCs/>
          <w:sz w:val="32"/>
          <w:szCs w:val="32"/>
        </w:rPr>
        <w:t>Conclusion</w:t>
      </w:r>
    </w:p>
    <w:p w14:paraId="0894B0ED"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712043A2" w14:textId="2701BBF7"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This report aimed to estimate the intrinsic value of Adidas AG using the Discounted Cash Flow (DCF) valuation approach. The analysis began with an examination of the company’s business model, industry environment, and historical financial performance in order to understand the key factors influencing its growth and profitability. By studying Adidas’ revenue trends, operating performance, and cash flow generation, a foundation was established for forecasting the company’s future financial performance. This historical analysis helped identify important financial drivers such as revenue growth, operating margins, and the company’s ability to generate sustainable cash flows, all of which are essential inputs for the valuation model.</w:t>
      </w:r>
    </w:p>
    <w:p w14:paraId="7DCF8087"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1C82C3CA"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The core of the analysis involved building a DCF model in Microsoft Excel to estimate the present value of Adidas’ expected future cash flows. The model projected free cash flows over a forecast period based on assumptions regarding revenue growth, operating profitability, capital expenditures, and working capital requirements. These projected cash flows were then discounted using the Weighted Average Cost of Capital (WACC), which represents the required return for both equity and debt investors. In addition to the forecast period, a terminal value was calculated using a perpetual growth assumption </w:t>
      </w:r>
      <w:proofErr w:type="gramStart"/>
      <w:r w:rsidRPr="00BB4883">
        <w:rPr>
          <w:rFonts w:ascii="Times New Roman" w:hAnsi="Times New Roman" w:cs="Times New Roman"/>
        </w:rPr>
        <w:t>in order to</w:t>
      </w:r>
      <w:proofErr w:type="gramEnd"/>
      <w:r w:rsidRPr="00BB4883">
        <w:rPr>
          <w:rFonts w:ascii="Times New Roman" w:hAnsi="Times New Roman" w:cs="Times New Roman"/>
        </w:rPr>
        <w:t xml:space="preserve"> capture the long-term value of the business beyond the explicit projection horizon. The combination of discounted future cash flows and the terminal value provided an estimate of the company’s enterprise value and equity value.</w:t>
      </w:r>
    </w:p>
    <w:p w14:paraId="5F9DE2E4"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47161BBF"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 xml:space="preserve">Through the development of this model, the analysis demonstrated how valuation outcomes are highly dependent on key financial assumptions. Factors such as revenue growth expectations, operating margin stability, and the chosen discount rate have a significant impact on the estimated intrinsic value of the company. The sensitivity analysis further illustrated how small changes in these assumptions can lead to different valuation outcomes, highlighting the </w:t>
      </w:r>
      <w:r w:rsidRPr="00BB4883">
        <w:rPr>
          <w:rFonts w:ascii="Times New Roman" w:hAnsi="Times New Roman" w:cs="Times New Roman"/>
        </w:rPr>
        <w:lastRenderedPageBreak/>
        <w:t>importance of carefully selecting reasonable and well-supported assumptions in financial modelling.</w:t>
      </w:r>
    </w:p>
    <w:p w14:paraId="36333CD6"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66B1BE66"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Beyond estimating the value of the company, this project provided valuable insights into the practical application of corporate finance concepts. Constructing the Excel-based DCF model required integrating financial statement analysis, forecasting techniques, and valuation theory into a structured analytical framework. The process of gathering financial data, building projections, and interpreting valuation results improved my understanding of how financial analysts evaluate companies and assess investment opportunities. In particular, the project emphasized the importance of cash flow analysis, financial forecasting, and risk considerations when estimating the value of a business.</w:t>
      </w:r>
    </w:p>
    <w:p w14:paraId="4BE23508" w14:textId="77777777" w:rsidR="00592E26" w:rsidRPr="00BB4883" w:rsidRDefault="00592E26" w:rsidP="004A142A">
      <w:pPr>
        <w:pBdr>
          <w:bottom w:val="single" w:sz="4" w:space="1" w:color="auto"/>
        </w:pBdr>
        <w:spacing w:line="360" w:lineRule="auto"/>
        <w:jc w:val="both"/>
        <w:rPr>
          <w:rFonts w:ascii="Times New Roman" w:hAnsi="Times New Roman" w:cs="Times New Roman"/>
        </w:rPr>
      </w:pPr>
    </w:p>
    <w:p w14:paraId="1CB7ADCB" w14:textId="401955EA" w:rsidR="00592E26" w:rsidRPr="00BB4883" w:rsidRDefault="00592E26" w:rsidP="004A142A">
      <w:pPr>
        <w:pBdr>
          <w:bottom w:val="single" w:sz="4" w:space="1" w:color="auto"/>
        </w:pBdr>
        <w:spacing w:line="360" w:lineRule="auto"/>
        <w:jc w:val="both"/>
        <w:rPr>
          <w:rFonts w:ascii="Times New Roman" w:hAnsi="Times New Roman" w:cs="Times New Roman"/>
        </w:rPr>
      </w:pPr>
      <w:r w:rsidRPr="00BB4883">
        <w:rPr>
          <w:rFonts w:ascii="Times New Roman" w:hAnsi="Times New Roman" w:cs="Times New Roman"/>
        </w:rPr>
        <w:t>Overall, the valuation analysis demonstrates that the Discounted Cash Flow approach provides a systematic and analytical method for evaluating the financial value of a company. While the results depend on assumptions and future expectations, the methodology allows analysts to assess the underlying drivers of a company’s value and develop a reasoned estimate of its intrinsic worth. This project therefore highlights both the usefulness of financial modelling in investment analysis and the importance of applying sound financial judgement when interpreting valuation outcomes.</w:t>
      </w:r>
    </w:p>
    <w:sectPr w:rsidR="00592E26" w:rsidRPr="00BB4883">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0A901" w14:textId="77777777" w:rsidR="00D329BF" w:rsidRDefault="00D329BF" w:rsidP="00592E26">
      <w:pPr>
        <w:spacing w:after="0" w:line="240" w:lineRule="auto"/>
      </w:pPr>
      <w:r>
        <w:separator/>
      </w:r>
    </w:p>
  </w:endnote>
  <w:endnote w:type="continuationSeparator" w:id="0">
    <w:p w14:paraId="62D8632D" w14:textId="77777777" w:rsidR="00D329BF" w:rsidRDefault="00D329BF" w:rsidP="00592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85E7" w14:textId="77777777" w:rsidR="00592E26" w:rsidRDefault="00592E26">
    <w:pPr>
      <w:pStyle w:val="Footer"/>
    </w:pPr>
  </w:p>
  <w:p w14:paraId="04DFDB37" w14:textId="77777777" w:rsidR="00592E26" w:rsidRDefault="00592E26">
    <w:pPr>
      <w:pStyle w:val="Footer"/>
    </w:pPr>
  </w:p>
  <w:p w14:paraId="0AE65AB2" w14:textId="77777777" w:rsidR="00592E26" w:rsidRDefault="00592E26">
    <w:pPr>
      <w:pStyle w:val="Footer"/>
    </w:pPr>
  </w:p>
  <w:p w14:paraId="1855E514" w14:textId="77777777" w:rsidR="00592E26" w:rsidRDefault="00592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5FCA" w14:textId="77777777" w:rsidR="00D329BF" w:rsidRDefault="00D329BF" w:rsidP="00592E26">
      <w:pPr>
        <w:spacing w:after="0" w:line="240" w:lineRule="auto"/>
      </w:pPr>
      <w:r>
        <w:separator/>
      </w:r>
    </w:p>
  </w:footnote>
  <w:footnote w:type="continuationSeparator" w:id="0">
    <w:p w14:paraId="30288E6F" w14:textId="77777777" w:rsidR="00D329BF" w:rsidRDefault="00D329BF" w:rsidP="00592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5FA5"/>
    <w:multiLevelType w:val="multilevel"/>
    <w:tmpl w:val="6008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0295"/>
    <w:multiLevelType w:val="hybridMultilevel"/>
    <w:tmpl w:val="695A1E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F511C"/>
    <w:multiLevelType w:val="hybridMultilevel"/>
    <w:tmpl w:val="CF581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63187A"/>
    <w:multiLevelType w:val="hybridMultilevel"/>
    <w:tmpl w:val="543C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E74834"/>
    <w:multiLevelType w:val="hybridMultilevel"/>
    <w:tmpl w:val="7F58C6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29308C"/>
    <w:multiLevelType w:val="hybridMultilevel"/>
    <w:tmpl w:val="3EDE2BD2"/>
    <w:lvl w:ilvl="0" w:tplc="4009000F">
      <w:start w:val="1"/>
      <w:numFmt w:val="decimal"/>
      <w:lvlText w:val="%1."/>
      <w:lvlJc w:val="left"/>
      <w:pPr>
        <w:ind w:left="804" w:hanging="360"/>
      </w:p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6" w15:restartNumberingAfterBreak="0">
    <w:nsid w:val="50E34E06"/>
    <w:multiLevelType w:val="hybridMultilevel"/>
    <w:tmpl w:val="BB8EC0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1852141"/>
    <w:multiLevelType w:val="hybridMultilevel"/>
    <w:tmpl w:val="F38CF7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695652"/>
    <w:multiLevelType w:val="multilevel"/>
    <w:tmpl w:val="7198728C"/>
    <w:lvl w:ilvl="0">
      <w:start w:val="1"/>
      <w:numFmt w:val="decimal"/>
      <w:lvlText w:val="%1."/>
      <w:lvlJc w:val="left"/>
      <w:pPr>
        <w:ind w:left="720" w:hanging="360"/>
      </w:pPr>
      <w:rPr>
        <w:rFonts w:hint="default"/>
      </w:rPr>
    </w:lvl>
    <w:lvl w:ilvl="1">
      <w:start w:val="1"/>
      <w:numFmt w:val="decimal"/>
      <w:isLgl/>
      <w:lvlText w:val="%1.%2"/>
      <w:lvlJc w:val="left"/>
      <w:pPr>
        <w:ind w:left="1530" w:hanging="720"/>
      </w:pPr>
      <w:rPr>
        <w:rFonts w:hint="default"/>
      </w:rPr>
    </w:lvl>
    <w:lvl w:ilvl="2">
      <w:start w:val="1"/>
      <w:numFmt w:val="decimal"/>
      <w:isLgl/>
      <w:lvlText w:val="%1.%2.%3"/>
      <w:lvlJc w:val="left"/>
      <w:pPr>
        <w:ind w:left="2340" w:hanging="1080"/>
      </w:pPr>
      <w:rPr>
        <w:rFonts w:hint="default"/>
      </w:rPr>
    </w:lvl>
    <w:lvl w:ilvl="3">
      <w:start w:val="1"/>
      <w:numFmt w:val="decimal"/>
      <w:isLgl/>
      <w:lvlText w:val="%1.%2.%3.%4"/>
      <w:lvlJc w:val="left"/>
      <w:pPr>
        <w:ind w:left="3150" w:hanging="1440"/>
      </w:pPr>
      <w:rPr>
        <w:rFonts w:hint="default"/>
      </w:rPr>
    </w:lvl>
    <w:lvl w:ilvl="4">
      <w:start w:val="1"/>
      <w:numFmt w:val="decimal"/>
      <w:isLgl/>
      <w:lvlText w:val="%1.%2.%3.%4.%5"/>
      <w:lvlJc w:val="left"/>
      <w:pPr>
        <w:ind w:left="3960" w:hanging="1800"/>
      </w:pPr>
      <w:rPr>
        <w:rFonts w:hint="default"/>
      </w:rPr>
    </w:lvl>
    <w:lvl w:ilvl="5">
      <w:start w:val="1"/>
      <w:numFmt w:val="decimal"/>
      <w:isLgl/>
      <w:lvlText w:val="%1.%2.%3.%4.%5.%6"/>
      <w:lvlJc w:val="left"/>
      <w:pPr>
        <w:ind w:left="4770" w:hanging="2160"/>
      </w:pPr>
      <w:rPr>
        <w:rFonts w:hint="default"/>
      </w:rPr>
    </w:lvl>
    <w:lvl w:ilvl="6">
      <w:start w:val="1"/>
      <w:numFmt w:val="decimal"/>
      <w:isLgl/>
      <w:lvlText w:val="%1.%2.%3.%4.%5.%6.%7"/>
      <w:lvlJc w:val="left"/>
      <w:pPr>
        <w:ind w:left="5580" w:hanging="2520"/>
      </w:pPr>
      <w:rPr>
        <w:rFonts w:hint="default"/>
      </w:rPr>
    </w:lvl>
    <w:lvl w:ilvl="7">
      <w:start w:val="1"/>
      <w:numFmt w:val="decimal"/>
      <w:isLgl/>
      <w:lvlText w:val="%1.%2.%3.%4.%5.%6.%7.%8"/>
      <w:lvlJc w:val="left"/>
      <w:pPr>
        <w:ind w:left="6030" w:hanging="2520"/>
      </w:pPr>
      <w:rPr>
        <w:rFonts w:hint="default"/>
      </w:rPr>
    </w:lvl>
    <w:lvl w:ilvl="8">
      <w:start w:val="1"/>
      <w:numFmt w:val="decimal"/>
      <w:isLgl/>
      <w:lvlText w:val="%1.%2.%3.%4.%5.%6.%7.%8.%9"/>
      <w:lvlJc w:val="left"/>
      <w:pPr>
        <w:ind w:left="6840" w:hanging="2880"/>
      </w:pPr>
      <w:rPr>
        <w:rFonts w:hint="default"/>
      </w:rPr>
    </w:lvl>
  </w:abstractNum>
  <w:num w:numId="1" w16cid:durableId="675034356">
    <w:abstractNumId w:val="0"/>
  </w:num>
  <w:num w:numId="2" w16cid:durableId="927811814">
    <w:abstractNumId w:val="6"/>
  </w:num>
  <w:num w:numId="3" w16cid:durableId="109512268">
    <w:abstractNumId w:val="7"/>
  </w:num>
  <w:num w:numId="4" w16cid:durableId="916397908">
    <w:abstractNumId w:val="3"/>
  </w:num>
  <w:num w:numId="5" w16cid:durableId="1280261829">
    <w:abstractNumId w:val="5"/>
  </w:num>
  <w:num w:numId="6" w16cid:durableId="1424645356">
    <w:abstractNumId w:val="2"/>
  </w:num>
  <w:num w:numId="7" w16cid:durableId="1750418223">
    <w:abstractNumId w:val="4"/>
  </w:num>
  <w:num w:numId="8" w16cid:durableId="2110616867">
    <w:abstractNumId w:val="1"/>
  </w:num>
  <w:num w:numId="9" w16cid:durableId="4196414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34"/>
    <w:rsid w:val="00162BA9"/>
    <w:rsid w:val="00173C9C"/>
    <w:rsid w:val="001C2A96"/>
    <w:rsid w:val="001F696B"/>
    <w:rsid w:val="00200876"/>
    <w:rsid w:val="00216AB7"/>
    <w:rsid w:val="00492BA1"/>
    <w:rsid w:val="004A142A"/>
    <w:rsid w:val="00592E26"/>
    <w:rsid w:val="00594BE3"/>
    <w:rsid w:val="005F0534"/>
    <w:rsid w:val="005F3451"/>
    <w:rsid w:val="00674366"/>
    <w:rsid w:val="00843DA1"/>
    <w:rsid w:val="008470FD"/>
    <w:rsid w:val="00925D98"/>
    <w:rsid w:val="009362A9"/>
    <w:rsid w:val="00A80DD8"/>
    <w:rsid w:val="00AB6AEE"/>
    <w:rsid w:val="00B621F8"/>
    <w:rsid w:val="00B90315"/>
    <w:rsid w:val="00BB4883"/>
    <w:rsid w:val="00BC19F7"/>
    <w:rsid w:val="00C426BA"/>
    <w:rsid w:val="00D329BF"/>
    <w:rsid w:val="00DF007A"/>
    <w:rsid w:val="00EC7B63"/>
    <w:rsid w:val="00F4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3C412"/>
  <w15:chartTrackingRefBased/>
  <w15:docId w15:val="{B9CAD658-AAAF-4713-BFF6-8231F9A6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534"/>
    <w:rPr>
      <w:rFonts w:eastAsiaTheme="majorEastAsia" w:cstheme="majorBidi"/>
      <w:color w:val="272727" w:themeColor="text1" w:themeTint="D8"/>
    </w:rPr>
  </w:style>
  <w:style w:type="paragraph" w:styleId="Title">
    <w:name w:val="Title"/>
    <w:basedOn w:val="Normal"/>
    <w:next w:val="Normal"/>
    <w:link w:val="TitleChar"/>
    <w:uiPriority w:val="10"/>
    <w:qFormat/>
    <w:rsid w:val="005F0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534"/>
    <w:pPr>
      <w:spacing w:before="160"/>
      <w:jc w:val="center"/>
    </w:pPr>
    <w:rPr>
      <w:i/>
      <w:iCs/>
      <w:color w:val="404040" w:themeColor="text1" w:themeTint="BF"/>
    </w:rPr>
  </w:style>
  <w:style w:type="character" w:customStyle="1" w:styleId="QuoteChar">
    <w:name w:val="Quote Char"/>
    <w:basedOn w:val="DefaultParagraphFont"/>
    <w:link w:val="Quote"/>
    <w:uiPriority w:val="29"/>
    <w:rsid w:val="005F0534"/>
    <w:rPr>
      <w:i/>
      <w:iCs/>
      <w:color w:val="404040" w:themeColor="text1" w:themeTint="BF"/>
    </w:rPr>
  </w:style>
  <w:style w:type="paragraph" w:styleId="ListParagraph">
    <w:name w:val="List Paragraph"/>
    <w:basedOn w:val="Normal"/>
    <w:uiPriority w:val="34"/>
    <w:qFormat/>
    <w:rsid w:val="005F0534"/>
    <w:pPr>
      <w:ind w:left="720"/>
      <w:contextualSpacing/>
    </w:pPr>
  </w:style>
  <w:style w:type="character" w:styleId="IntenseEmphasis">
    <w:name w:val="Intense Emphasis"/>
    <w:basedOn w:val="DefaultParagraphFont"/>
    <w:uiPriority w:val="21"/>
    <w:qFormat/>
    <w:rsid w:val="005F0534"/>
    <w:rPr>
      <w:i/>
      <w:iCs/>
      <w:color w:val="0F4761" w:themeColor="accent1" w:themeShade="BF"/>
    </w:rPr>
  </w:style>
  <w:style w:type="paragraph" w:styleId="IntenseQuote">
    <w:name w:val="Intense Quote"/>
    <w:basedOn w:val="Normal"/>
    <w:next w:val="Normal"/>
    <w:link w:val="IntenseQuoteChar"/>
    <w:uiPriority w:val="30"/>
    <w:qFormat/>
    <w:rsid w:val="005F0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534"/>
    <w:rPr>
      <w:i/>
      <w:iCs/>
      <w:color w:val="0F4761" w:themeColor="accent1" w:themeShade="BF"/>
    </w:rPr>
  </w:style>
  <w:style w:type="character" w:styleId="IntenseReference">
    <w:name w:val="Intense Reference"/>
    <w:basedOn w:val="DefaultParagraphFont"/>
    <w:uiPriority w:val="32"/>
    <w:qFormat/>
    <w:rsid w:val="005F0534"/>
    <w:rPr>
      <w:b/>
      <w:bCs/>
      <w:smallCaps/>
      <w:color w:val="0F4761" w:themeColor="accent1" w:themeShade="BF"/>
      <w:spacing w:val="5"/>
    </w:rPr>
  </w:style>
  <w:style w:type="table" w:styleId="TableGrid">
    <w:name w:val="Table Grid"/>
    <w:basedOn w:val="TableNormal"/>
    <w:uiPriority w:val="39"/>
    <w:rsid w:val="00592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2E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E26"/>
  </w:style>
  <w:style w:type="paragraph" w:styleId="Footer">
    <w:name w:val="footer"/>
    <w:basedOn w:val="Normal"/>
    <w:link w:val="FooterChar"/>
    <w:uiPriority w:val="99"/>
    <w:unhideWhenUsed/>
    <w:rsid w:val="00592E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1948fbe2e7b1f87/Desktop/Adidas_DCF_Mod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Sheet1!$B$3</c:f>
              <c:strCache>
                <c:ptCount val="1"/>
                <c:pt idx="0">
                  <c:v>Revenue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Sheet1!$B$4:$B$8</c:f>
              <c:numCache>
                <c:formatCode>_(* #,##0.00_);_(* \(#,##0.00\);_(* "-"??_);_(@_)</c:formatCode>
                <c:ptCount val="5"/>
                <c:pt idx="0">
                  <c:v>19844</c:v>
                </c:pt>
                <c:pt idx="1">
                  <c:v>21234</c:v>
                </c:pt>
                <c:pt idx="2">
                  <c:v>22511</c:v>
                </c:pt>
                <c:pt idx="3">
                  <c:v>21427</c:v>
                </c:pt>
                <c:pt idx="4">
                  <c:v>23683</c:v>
                </c:pt>
              </c:numCache>
            </c:numRef>
          </c:val>
          <c:smooth val="0"/>
          <c:extLst>
            <c:ext xmlns:c16="http://schemas.microsoft.com/office/drawing/2014/chart" uri="{C3380CC4-5D6E-409C-BE32-E72D297353CC}">
              <c16:uniqueId val="{00000000-C1F3-4B87-B1AF-F85FA96EC789}"/>
            </c:ext>
          </c:extLst>
        </c:ser>
        <c:dLbls>
          <c:showLegendKey val="0"/>
          <c:showVal val="0"/>
          <c:showCatName val="0"/>
          <c:showSerName val="0"/>
          <c:showPercent val="0"/>
          <c:showBubbleSize val="0"/>
        </c:dLbls>
        <c:marker val="1"/>
        <c:smooth val="0"/>
        <c:axId val="1410484175"/>
        <c:axId val="1410484655"/>
      </c:lineChart>
      <c:catAx>
        <c:axId val="141048417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484655"/>
        <c:crosses val="autoZero"/>
        <c:auto val="1"/>
        <c:lblAlgn val="ctr"/>
        <c:lblOffset val="100"/>
        <c:noMultiLvlLbl val="0"/>
      </c:catAx>
      <c:valAx>
        <c:axId val="141048465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484175"/>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layout>
        <c:manualLayout>
          <c:xMode val="edge"/>
          <c:yMode val="edge"/>
          <c:x val="0.45223600174978129"/>
          <c:y val="7.87037037037037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005336832895887"/>
          <c:y val="0.19486111111111112"/>
          <c:w val="0.8299466316710411"/>
          <c:h val="0.72125801983085447"/>
        </c:manualLayout>
      </c:layout>
      <c:lineChart>
        <c:grouping val="stacked"/>
        <c:varyColors val="0"/>
        <c:ser>
          <c:idx val="0"/>
          <c:order val="0"/>
          <c:tx>
            <c:strRef>
              <c:f>Sheet1!$O$3</c:f>
              <c:strCache>
                <c:ptCount val="1"/>
                <c:pt idx="0">
                  <c:v>EBITDA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Sheet1!$O$4:$O$8</c:f>
              <c:numCache>
                <c:formatCode>_(* #,##0.00_);_(* \(#,##0.00\);_(* "-"??_);_(@_)</c:formatCode>
                <c:ptCount val="5"/>
                <c:pt idx="0">
                  <c:v>1601</c:v>
                </c:pt>
                <c:pt idx="1">
                  <c:v>2986</c:v>
                </c:pt>
                <c:pt idx="2">
                  <c:v>1569</c:v>
                </c:pt>
                <c:pt idx="3">
                  <c:v>1178</c:v>
                </c:pt>
                <c:pt idx="4">
                  <c:v>2169</c:v>
                </c:pt>
              </c:numCache>
            </c:numRef>
          </c:val>
          <c:smooth val="0"/>
          <c:extLst>
            <c:ext xmlns:c16="http://schemas.microsoft.com/office/drawing/2014/chart" uri="{C3380CC4-5D6E-409C-BE32-E72D297353CC}">
              <c16:uniqueId val="{00000000-0836-4253-AB38-B09F05766003}"/>
            </c:ext>
          </c:extLst>
        </c:ser>
        <c:dLbls>
          <c:showLegendKey val="0"/>
          <c:showVal val="0"/>
          <c:showCatName val="0"/>
          <c:showSerName val="0"/>
          <c:showPercent val="0"/>
          <c:showBubbleSize val="0"/>
        </c:dLbls>
        <c:marker val="1"/>
        <c:smooth val="0"/>
        <c:axId val="1410374735"/>
        <c:axId val="1410358415"/>
      </c:lineChart>
      <c:catAx>
        <c:axId val="141037473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358415"/>
        <c:crosses val="autoZero"/>
        <c:auto val="1"/>
        <c:lblAlgn val="ctr"/>
        <c:lblOffset val="100"/>
        <c:noMultiLvlLbl val="0"/>
      </c:catAx>
      <c:valAx>
        <c:axId val="14103584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374735"/>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Historical Free cash flow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Sheet1!$G$14</c:f>
              <c:strCache>
                <c:ptCount val="1"/>
                <c:pt idx="0">
                  <c:v> Free cash flow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Sheet1!$G$15:$G$19</c:f>
              <c:numCache>
                <c:formatCode>_(* #,##0.00_);_(* \(#,##0.00\);_(* "-"??_);_(@_)</c:formatCode>
                <c:ptCount val="5"/>
                <c:pt idx="0">
                  <c:v>1284.4796642341787</c:v>
                </c:pt>
                <c:pt idx="1">
                  <c:v>1304.9630839753324</c:v>
                </c:pt>
                <c:pt idx="2">
                  <c:v>1327.342334632752</c:v>
                </c:pt>
                <c:pt idx="3">
                  <c:v>1351.7061976109248</c:v>
                </c:pt>
                <c:pt idx="4">
                  <c:v>1378.1476119307774</c:v>
                </c:pt>
              </c:numCache>
            </c:numRef>
          </c:val>
          <c:smooth val="0"/>
          <c:extLst>
            <c:ext xmlns:c16="http://schemas.microsoft.com/office/drawing/2014/chart" uri="{C3380CC4-5D6E-409C-BE32-E72D297353CC}">
              <c16:uniqueId val="{00000000-3F5F-44D8-9693-5CF5699E5986}"/>
            </c:ext>
          </c:extLst>
        </c:ser>
        <c:dLbls>
          <c:showLegendKey val="0"/>
          <c:showVal val="0"/>
          <c:showCatName val="0"/>
          <c:showSerName val="0"/>
          <c:showPercent val="0"/>
          <c:showBubbleSize val="0"/>
        </c:dLbls>
        <c:marker val="1"/>
        <c:smooth val="0"/>
        <c:axId val="1410402095"/>
        <c:axId val="1410392975"/>
      </c:lineChart>
      <c:catAx>
        <c:axId val="141040209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392975"/>
        <c:crosses val="autoZero"/>
        <c:auto val="1"/>
        <c:lblAlgn val="ctr"/>
        <c:lblOffset val="100"/>
        <c:noMultiLvlLbl val="0"/>
      </c:catAx>
      <c:valAx>
        <c:axId val="141039297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402095"/>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 Forecasted</a:t>
            </a:r>
            <a:r>
              <a:rPr lang="en-IN" baseline="0"/>
              <a:t> </a:t>
            </a:r>
            <a:r>
              <a:rPr lang="en-IN"/>
              <a:t>Free cash flow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Sheet1!$G$14</c:f>
              <c:strCache>
                <c:ptCount val="1"/>
                <c:pt idx="0">
                  <c:v> Free cash flow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Sheet1!$G$15:$G$19</c:f>
              <c:numCache>
                <c:formatCode>_(* #,##0.00_);_(* \(#,##0.00\);_(* "-"??_);_(@_)</c:formatCode>
                <c:ptCount val="5"/>
                <c:pt idx="0">
                  <c:v>1284.4796642341787</c:v>
                </c:pt>
                <c:pt idx="1">
                  <c:v>1304.9630839753324</c:v>
                </c:pt>
                <c:pt idx="2">
                  <c:v>1327.342334632752</c:v>
                </c:pt>
                <c:pt idx="3">
                  <c:v>1351.7061976109248</c:v>
                </c:pt>
                <c:pt idx="4">
                  <c:v>1378.1476119307774</c:v>
                </c:pt>
              </c:numCache>
            </c:numRef>
          </c:val>
          <c:smooth val="0"/>
          <c:extLst>
            <c:ext xmlns:c16="http://schemas.microsoft.com/office/drawing/2014/chart" uri="{C3380CC4-5D6E-409C-BE32-E72D297353CC}">
              <c16:uniqueId val="{00000000-45AC-4078-9293-2FCD9AC09A34}"/>
            </c:ext>
          </c:extLst>
        </c:ser>
        <c:dLbls>
          <c:showLegendKey val="0"/>
          <c:showVal val="0"/>
          <c:showCatName val="0"/>
          <c:showSerName val="0"/>
          <c:showPercent val="0"/>
          <c:showBubbleSize val="0"/>
        </c:dLbls>
        <c:marker val="1"/>
        <c:smooth val="0"/>
        <c:axId val="1410402095"/>
        <c:axId val="1410392975"/>
      </c:lineChart>
      <c:catAx>
        <c:axId val="141040209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392975"/>
        <c:crosses val="autoZero"/>
        <c:auto val="1"/>
        <c:lblAlgn val="ctr"/>
        <c:lblOffset val="100"/>
        <c:noMultiLvlLbl val="0"/>
      </c:catAx>
      <c:valAx>
        <c:axId val="141039297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0402095"/>
        <c:crosses val="autoZero"/>
        <c:crossBetween val="between"/>
      </c:valAx>
      <c:spPr>
        <a:noFill/>
        <a:ln w="25400">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8C259-C0E7-4E6D-924C-FBC534CE0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27</Pages>
  <Words>5224</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Kabir Rao</cp:lastModifiedBy>
  <cp:revision>6</cp:revision>
  <dcterms:created xsi:type="dcterms:W3CDTF">2026-03-10T21:49:00Z</dcterms:created>
  <dcterms:modified xsi:type="dcterms:W3CDTF">2026-03-12T19:49:00Z</dcterms:modified>
</cp:coreProperties>
</file>