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300"/>
        <w:jc w:val="center"/>
      </w:pPr>
      <w:r>
        <w:rPr>
          <w:rFonts w:ascii="Times New Roman" w:cs="Times New Roman" w:eastAsia="Times New Roman" w:hAnsi="Times New Roman"/>
          <w:b/>
          <w:bCs/>
          <w:sz w:val="32"/>
          <w:szCs w:val="32"/>
        </w:rPr>
        <w:t xml:space="preserve">HridyaVayu: An AI-Powered Smart Asthma Care System</w:t>
      </w:r>
    </w:p>
    <w:p>
      <w:pPr>
        <w:spacing w:after="80"/>
        <w:jc w:val="center"/>
      </w:pPr>
      <w:r>
        <w:rPr>
          <w:rFonts w:ascii="Times New Roman" w:cs="Times New Roman" w:eastAsia="Times New Roman" w:hAnsi="Times New Roman"/>
          <w:b/>
          <w:bCs/>
          <w:sz w:val="26"/>
          <w:szCs w:val="26"/>
        </w:rPr>
        <w:t xml:space="preserve">CAPSTONE PROJECT PHASE – 1</w:t>
      </w:r>
    </w:p>
    <w:p>
      <w:pPr>
        <w:spacing w:after="300"/>
        <w:jc w:val="center"/>
      </w:pPr>
      <w:r>
        <w:rPr>
          <w:rFonts w:ascii="Times New Roman" w:cs="Times New Roman" w:eastAsia="Times New Roman" w:hAnsi="Times New Roman"/>
          <w:b/>
          <w:bCs/>
          <w:i/>
          <w:iCs/>
          <w:sz w:val="24"/>
          <w:szCs w:val="24"/>
        </w:rPr>
        <w:t xml:space="preserve">Phase – I Report</w:t>
      </w:r>
    </w:p>
    <w:p>
      <w:pPr>
        <w:spacing w:after="160"/>
        <w:jc w:val="center"/>
      </w:pPr>
      <w:r>
        <w:rPr>
          <w:rFonts w:ascii="Times New Roman" w:cs="Times New Roman" w:eastAsia="Times New Roman" w:hAnsi="Times New Roman"/>
          <w:b/>
          <w:bCs/>
          <w:i/>
          <w:iCs/>
          <w:sz w:val="24"/>
          <w:szCs w:val="24"/>
        </w:rPr>
        <w:t xml:space="preserve">Submitted by</w:t>
      </w:r>
    </w:p>
    <w:p>
      <w:pPr>
        <w:spacing w:after="40"/>
        <w:jc w:val="center"/>
      </w:pPr>
      <w:r>
        <w:rPr>
          <w:rFonts w:ascii="Times New Roman" w:cs="Times New Roman" w:eastAsia="Times New Roman" w:hAnsi="Times New Roman"/>
          <w:b/>
          <w:bCs/>
          <w:sz w:val="24"/>
          <w:szCs w:val="24"/>
        </w:rPr>
        <w:t xml:space="preserve">Pulkit Agrawal (23BCE10735)</w:t>
      </w:r>
    </w:p>
    <w:p>
      <w:pPr>
        <w:spacing w:after="40"/>
        <w:jc w:val="center"/>
      </w:pPr>
      <w:r>
        <w:rPr>
          <w:rFonts w:ascii="Times New Roman" w:cs="Times New Roman" w:eastAsia="Times New Roman" w:hAnsi="Times New Roman"/>
          <w:b/>
          <w:bCs/>
          <w:sz w:val="24"/>
          <w:szCs w:val="24"/>
        </w:rPr>
        <w:t xml:space="preserve">Kabir Roy (23BCE10815)</w:t>
      </w:r>
    </w:p>
    <w:p>
      <w:pPr>
        <w:spacing w:after="40"/>
        <w:jc w:val="center"/>
      </w:pPr>
      <w:r>
        <w:rPr>
          <w:rFonts w:ascii="Times New Roman" w:cs="Times New Roman" w:eastAsia="Times New Roman" w:hAnsi="Times New Roman"/>
          <w:b/>
          <w:bCs/>
          <w:sz w:val="24"/>
          <w:szCs w:val="24"/>
        </w:rPr>
        <w:t xml:space="preserve">Parshv Keyur Modi (23BCE10807)</w:t>
      </w:r>
    </w:p>
    <w:p>
      <w:pPr>
        <w:spacing w:after="40"/>
        <w:jc w:val="center"/>
      </w:pPr>
      <w:r>
        <w:rPr>
          <w:rFonts w:ascii="Times New Roman" w:cs="Times New Roman" w:eastAsia="Times New Roman" w:hAnsi="Times New Roman"/>
          <w:b/>
          <w:bCs/>
          <w:sz w:val="24"/>
          <w:szCs w:val="24"/>
        </w:rPr>
        <w:t xml:space="preserve">Snehal Baranwal (23BCE10479)</w:t>
      </w:r>
    </w:p>
    <w:p>
      <w:pPr>
        <w:spacing w:after="40"/>
        <w:jc w:val="center"/>
      </w:pPr>
      <w:r>
        <w:rPr>
          <w:rFonts w:ascii="Times New Roman" w:cs="Times New Roman" w:eastAsia="Times New Roman" w:hAnsi="Times New Roman"/>
          <w:b/>
          <w:bCs/>
          <w:sz w:val="24"/>
          <w:szCs w:val="24"/>
        </w:rPr>
        <w:t xml:space="preserve">Snehil Priyam (23BCE11200)</w:t>
      </w:r>
    </w:p>
    <w:p>
      <w:pPr>
        <w:spacing w:after="300"/>
      </w:pPr>
    </w:p>
    <w:p>
      <w:pPr>
        <w:spacing w:after="40"/>
        <w:jc w:val="center"/>
      </w:pPr>
      <w:r>
        <w:rPr>
          <w:rFonts w:ascii="Times New Roman" w:cs="Times New Roman" w:eastAsia="Times New Roman" w:hAnsi="Times New Roman"/>
          <w:i/>
          <w:iCs/>
          <w:sz w:val="24"/>
          <w:szCs w:val="24"/>
        </w:rPr>
        <w:t xml:space="preserve">in partial fulfillment of the requirements for the degree of</w:t>
      </w:r>
    </w:p>
    <w:p>
      <w:pPr>
        <w:spacing w:after="300"/>
        <w:jc w:val="center"/>
      </w:pPr>
      <w:r>
        <w:rPr>
          <w:rFonts w:ascii="Times New Roman" w:cs="Times New Roman" w:eastAsia="Times New Roman" w:hAnsi="Times New Roman"/>
          <w:b/>
          <w:bCs/>
          <w:i/>
          <w:iCs/>
          <w:sz w:val="26"/>
          <w:szCs w:val="26"/>
        </w:rPr>
        <w:t xml:space="preserve">Bachelor of Engineering and Technology</w:t>
      </w:r>
    </w:p>
    <w:p>
      <w:pPr>
        <w:spacing w:after="300"/>
        <w:jc w:val="center"/>
      </w:pPr>
      <w:r>
        <w:drawing>
          <wp:inline distT="0" distB="0" distL="0" distR="0">
            <wp:extent cx="228600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904875"/>
                    </a:xfrm>
                    <a:prstGeom prst="rect">
                      <a:avLst/>
                    </a:prstGeom>
                  </pic:spPr>
                </pic:pic>
              </a:graphicData>
            </a:graphic>
          </wp:inline>
        </w:drawing>
      </w:r>
    </w:p>
    <w:p>
      <w:pPr>
        <w:spacing w:after="40"/>
        <w:jc w:val="center"/>
      </w:pPr>
      <w:r>
        <w:rPr>
          <w:rFonts w:ascii="Times New Roman" w:cs="Times New Roman" w:eastAsia="Times New Roman" w:hAnsi="Times New Roman"/>
          <w:b/>
          <w:bCs/>
          <w:sz w:val="26"/>
          <w:szCs w:val="26"/>
        </w:rPr>
        <w:t xml:space="preserve">VIT Bhopal University</w:t>
      </w:r>
    </w:p>
    <w:p>
      <w:pPr>
        <w:spacing w:after="40"/>
        <w:jc w:val="center"/>
      </w:pPr>
      <w:r>
        <w:rPr>
          <w:rFonts w:ascii="Times New Roman" w:cs="Times New Roman" w:eastAsia="Times New Roman" w:hAnsi="Times New Roman"/>
          <w:b/>
          <w:bCs/>
          <w:sz w:val="26"/>
          <w:szCs w:val="26"/>
        </w:rPr>
        <w:t xml:space="preserve">Bhopal</w:t>
      </w:r>
    </w:p>
    <w:p>
      <w:pPr>
        <w:spacing w:after="300"/>
        <w:jc w:val="center"/>
      </w:pPr>
      <w:r>
        <w:rPr>
          <w:rFonts w:ascii="Times New Roman" w:cs="Times New Roman" w:eastAsia="Times New Roman" w:hAnsi="Times New Roman"/>
          <w:b/>
          <w:bCs/>
          <w:sz w:val="26"/>
          <w:szCs w:val="26"/>
        </w:rPr>
        <w:t xml:space="preserve">Madhya Pradesh</w:t>
      </w:r>
    </w:p>
    <w:p>
      <w:pPr>
        <w:spacing w:after="0"/>
        <w:jc w:val="center"/>
      </w:pPr>
      <w:r>
        <w:rPr>
          <w:rFonts w:ascii="Times New Roman" w:cs="Times New Roman" w:eastAsia="Times New Roman" w:hAnsi="Times New Roman"/>
          <w:b/>
          <w:bCs/>
          <w:sz w:val="24"/>
          <w:szCs w:val="24"/>
        </w:rPr>
        <w:t xml:space="preserve">September 2026</w:t>
      </w:r>
    </w:p>
    <w:p>
      <w:pPr>
        <w:sectPr>
          <w:pgSz w:w="12240" w:h="15840" w:orient="portrait"/>
          <w:pgMar w:top="1440" w:right="1440" w:bottom="1440" w:left="1440" w:header="708" w:footer="708" w:gutter="0"/>
          <w:pgNumType/>
          <w:docGrid w:linePitch="360"/>
        </w:sectPr>
      </w:pPr>
    </w:p>
    <w:p>
      <w:pPr>
        <w:spacing w:after="200"/>
        <w:jc w:val="center"/>
      </w:pPr>
      <w:r>
        <w:drawing>
          <wp:inline distT="0" distB="0" distL="0" distR="0">
            <wp:extent cx="1905000"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752475"/>
                    </a:xfrm>
                    <a:prstGeom prst="rect">
                      <a:avLst/>
                    </a:prstGeom>
                  </pic:spPr>
                </pic:pic>
              </a:graphicData>
            </a:graphic>
          </wp:inline>
        </w:drawing>
      </w:r>
    </w:p>
    <w:p>
      <w:pPr>
        <w:spacing w:after="300"/>
        <w:jc w:val="center"/>
      </w:pPr>
      <w:r>
        <w:rPr>
          <w:rFonts w:ascii="Times New Roman" w:cs="Times New Roman" w:eastAsia="Times New Roman" w:hAnsi="Times New Roman"/>
          <w:b/>
          <w:bCs/>
          <w:sz w:val="28"/>
          <w:szCs w:val="28"/>
        </w:rPr>
        <w:t xml:space="preserve">BONAFIDE CERTIFICATE</w:t>
      </w:r>
    </w:p>
    <w:p>
      <w:pPr>
        <w:spacing w:after="160" w:line="300"/>
        <w:ind w:firstLine="576"/>
        <w:jc w:val="both"/>
      </w:pPr>
      <w:r>
        <w:rPr>
          <w:rFonts w:ascii="Times New Roman" w:cs="Times New Roman" w:eastAsia="Times New Roman" w:hAnsi="Times New Roman"/>
          <w:b w:val="false"/>
          <w:bCs w:val="false"/>
          <w:i w:val="false"/>
          <w:iCs w:val="false"/>
          <w:sz w:val="24"/>
          <w:szCs w:val="24"/>
        </w:rPr>
        <w:t xml:space="preserve">Certified that this project report titled </w:t>
      </w:r>
      <w:r>
        <w:rPr>
          <w:rFonts w:ascii="Times New Roman" w:cs="Times New Roman" w:eastAsia="Times New Roman" w:hAnsi="Times New Roman"/>
          <w:b/>
          <w:bCs/>
          <w:i w:val="false"/>
          <w:iCs w:val="false"/>
          <w:sz w:val="24"/>
          <w:szCs w:val="24"/>
        </w:rPr>
        <w:t xml:space="preserve">“HridyaVayu: An AI-Powered Smart Asthma Care System”</w:t>
      </w:r>
      <w:r>
        <w:rPr>
          <w:rFonts w:ascii="Times New Roman" w:cs="Times New Roman" w:eastAsia="Times New Roman" w:hAnsi="Times New Roman"/>
          <w:b w:val="false"/>
          <w:bCs w:val="false"/>
          <w:i w:val="false"/>
          <w:iCs w:val="false"/>
          <w:sz w:val="24"/>
          <w:szCs w:val="24"/>
        </w:rPr>
        <w:t xml:space="preserve"> is the bonafide work of </w:t>
      </w:r>
      <w:r>
        <w:rPr>
          <w:rFonts w:ascii="Times New Roman" w:cs="Times New Roman" w:eastAsia="Times New Roman" w:hAnsi="Times New Roman"/>
          <w:b/>
          <w:bCs/>
          <w:i w:val="false"/>
          <w:iCs w:val="false"/>
          <w:sz w:val="24"/>
          <w:szCs w:val="24"/>
        </w:rPr>
        <w:t xml:space="preserve">“23BCE10815 Kabir Roy, 23BCE10735 Pulkit Agrawal, 23BCE10807 Parshv Keyur Modi, 23BCE10479 Snehal Baranwal, 23BCE11200 Snehil Priyam”</w:t>
      </w:r>
      <w:r>
        <w:rPr>
          <w:rFonts w:ascii="Times New Roman" w:cs="Times New Roman" w:eastAsia="Times New Roman" w:hAnsi="Times New Roman"/>
          <w:b w:val="false"/>
          <w:bCs w:val="false"/>
          <w:i w:val="false"/>
          <w:iCs w:val="false"/>
          <w:sz w:val="24"/>
          <w:szCs w:val="24"/>
        </w:rPr>
        <w:t xml:space="preserve"> who carried out the project work under my supervision.</w:t>
      </w:r>
    </w:p>
    <w:p>
      <w:pPr>
        <w:spacing w:after="160" w:line="300"/>
        <w:ind w:firstLine="576"/>
        <w:jc w:val="both"/>
      </w:pPr>
      <w:r>
        <w:rPr>
          <w:rFonts w:ascii="Times New Roman" w:cs="Times New Roman" w:eastAsia="Times New Roman" w:hAnsi="Times New Roman"/>
          <w:sz w:val="24"/>
          <w:szCs w:val="24"/>
        </w:rPr>
        <w:t xml:space="preserve">This project report (DSN4091 – Capstone Project Phase-I) is submitted for the Project Viva-Voce examination held on ……………….</w:t>
      </w:r>
    </w:p>
    <w:p>
      <w:pPr>
        <w:spacing w:after="800"/>
      </w:pPr>
    </w:p>
    <w:p>
      <w:pPr>
        <w:jc w:val="right"/>
      </w:pPr>
      <w:r>
        <w:rPr>
          <w:rFonts w:ascii="Times New Roman" w:cs="Times New Roman" w:eastAsia="Times New Roman" w:hAnsi="Times New Roman"/>
          <w:b/>
          <w:bCs/>
          <w:sz w:val="24"/>
          <w:szCs w:val="24"/>
        </w:rPr>
        <w:t xml:space="preserve">Supervisor</w:t>
      </w:r>
    </w:p>
    <w:p>
      <w:pPr>
        <w:sectPr>
          <w:pgSz w:w="12240" w:h="15840" w:orient="portrait"/>
          <w:pgMar w:top="1440" w:right="1440" w:bottom="1440" w:left="1440" w:header="708" w:footer="708" w:gutter="0"/>
          <w:pgNumType/>
          <w:docGrid w:linePitch="360"/>
        </w:sectPr>
      </w:pPr>
    </w:p>
    <w:p>
      <w:pPr>
        <w:spacing w:after="300"/>
        <w:jc w:val="center"/>
      </w:pPr>
      <w:r>
        <w:rPr>
          <w:rFonts w:ascii="Times New Roman" w:cs="Times New Roman" w:eastAsia="Times New Roman" w:hAnsi="Times New Roman"/>
          <w:b/>
          <w:bCs/>
          <w:sz w:val="28"/>
          <w:szCs w:val="28"/>
        </w:rPr>
        <w:t xml:space="preserve">LIST OF ABBREVIATIONS</w:t>
      </w:r>
    </w:p>
    <w:p>
      <w:pPr>
        <w:tabs>
          <w:tab w:val="left" w:pos="2304"/>
        </w:tabs>
        <w:spacing w:after="100"/>
      </w:pPr>
      <w:r>
        <w:rPr>
          <w:rFonts w:ascii="Times New Roman" w:cs="Times New Roman" w:eastAsia="Times New Roman" w:hAnsi="Times New Roman"/>
          <w:b/>
          <w:bCs/>
          <w:sz w:val="24"/>
          <w:szCs w:val="24"/>
        </w:rPr>
        <w:t xml:space="preserve">AI</w:t>
      </w:r>
      <w:r>
        <w:rPr>
          <w:rFonts w:ascii="Times New Roman" w:cs="Times New Roman" w:eastAsia="Times New Roman" w:hAnsi="Times New Roman"/>
          <w:sz w:val="24"/>
          <w:szCs w:val="24"/>
        </w:rPr>
        <w:t xml:space="preserve">	- Artificial Intelligence</w:t>
      </w:r>
    </w:p>
    <w:p>
      <w:pPr>
        <w:tabs>
          <w:tab w:val="left" w:pos="2304"/>
        </w:tabs>
        <w:spacing w:after="100"/>
      </w:pPr>
      <w:r>
        <w:rPr>
          <w:rFonts w:ascii="Times New Roman" w:cs="Times New Roman" w:eastAsia="Times New Roman" w:hAnsi="Times New Roman"/>
          <w:b/>
          <w:bCs/>
          <w:sz w:val="24"/>
          <w:szCs w:val="24"/>
        </w:rPr>
        <w:t xml:space="preserve">API</w:t>
      </w:r>
      <w:r>
        <w:rPr>
          <w:rFonts w:ascii="Times New Roman" w:cs="Times New Roman" w:eastAsia="Times New Roman" w:hAnsi="Times New Roman"/>
          <w:sz w:val="24"/>
          <w:szCs w:val="24"/>
        </w:rPr>
        <w:t xml:space="preserve">	- Application Programming Interface</w:t>
      </w:r>
    </w:p>
    <w:p>
      <w:pPr>
        <w:tabs>
          <w:tab w:val="left" w:pos="2304"/>
        </w:tabs>
        <w:spacing w:after="100"/>
      </w:pPr>
      <w:r>
        <w:rPr>
          <w:rFonts w:ascii="Times New Roman" w:cs="Times New Roman" w:eastAsia="Times New Roman" w:hAnsi="Times New Roman"/>
          <w:b/>
          <w:bCs/>
          <w:sz w:val="24"/>
          <w:szCs w:val="24"/>
        </w:rPr>
        <w:t xml:space="preserve">AQI</w:t>
      </w:r>
      <w:r>
        <w:rPr>
          <w:rFonts w:ascii="Times New Roman" w:cs="Times New Roman" w:eastAsia="Times New Roman" w:hAnsi="Times New Roman"/>
          <w:sz w:val="24"/>
          <w:szCs w:val="24"/>
        </w:rPr>
        <w:t xml:space="preserve">	- Air Quality Index</w:t>
      </w:r>
    </w:p>
    <w:p>
      <w:pPr>
        <w:tabs>
          <w:tab w:val="left" w:pos="2304"/>
        </w:tabs>
        <w:spacing w:after="100"/>
      </w:pPr>
      <w:r>
        <w:rPr>
          <w:rFonts w:ascii="Times New Roman" w:cs="Times New Roman" w:eastAsia="Times New Roman" w:hAnsi="Times New Roman"/>
          <w:b/>
          <w:bCs/>
          <w:sz w:val="24"/>
          <w:szCs w:val="24"/>
        </w:rPr>
        <w:t xml:space="preserve">CORS</w:t>
      </w:r>
      <w:r>
        <w:rPr>
          <w:rFonts w:ascii="Times New Roman" w:cs="Times New Roman" w:eastAsia="Times New Roman" w:hAnsi="Times New Roman"/>
          <w:sz w:val="24"/>
          <w:szCs w:val="24"/>
        </w:rPr>
        <w:t xml:space="preserve">	- Cross-Origin Resource Sharing</w:t>
      </w:r>
    </w:p>
    <w:p>
      <w:pPr>
        <w:tabs>
          <w:tab w:val="left" w:pos="2304"/>
        </w:tabs>
        <w:spacing w:after="100"/>
      </w:pPr>
      <w:r>
        <w:rPr>
          <w:rFonts w:ascii="Times New Roman" w:cs="Times New Roman" w:eastAsia="Times New Roman" w:hAnsi="Times New Roman"/>
          <w:b/>
          <w:bCs/>
          <w:sz w:val="24"/>
          <w:szCs w:val="24"/>
        </w:rPr>
        <w:t xml:space="preserve">CSS</w:t>
      </w:r>
      <w:r>
        <w:rPr>
          <w:rFonts w:ascii="Times New Roman" w:cs="Times New Roman" w:eastAsia="Times New Roman" w:hAnsi="Times New Roman"/>
          <w:sz w:val="24"/>
          <w:szCs w:val="24"/>
        </w:rPr>
        <w:t xml:space="preserve">	- Cascading Style Sheets</w:t>
      </w:r>
    </w:p>
    <w:p>
      <w:pPr>
        <w:tabs>
          <w:tab w:val="left" w:pos="2304"/>
        </w:tabs>
        <w:spacing w:after="100"/>
      </w:pPr>
      <w:r>
        <w:rPr>
          <w:rFonts w:ascii="Times New Roman" w:cs="Times New Roman" w:eastAsia="Times New Roman" w:hAnsi="Times New Roman"/>
          <w:b/>
          <w:bCs/>
          <w:sz w:val="24"/>
          <w:szCs w:val="24"/>
        </w:rPr>
        <w:t xml:space="preserve">DFD</w:t>
      </w:r>
      <w:r>
        <w:rPr>
          <w:rFonts w:ascii="Times New Roman" w:cs="Times New Roman" w:eastAsia="Times New Roman" w:hAnsi="Times New Roman"/>
          <w:sz w:val="24"/>
          <w:szCs w:val="24"/>
        </w:rPr>
        <w:t xml:space="preserve">	- Data Flow Diagram</w:t>
      </w:r>
    </w:p>
    <w:p>
      <w:pPr>
        <w:tabs>
          <w:tab w:val="left" w:pos="2304"/>
        </w:tabs>
        <w:spacing w:after="100"/>
      </w:pPr>
      <w:r>
        <w:rPr>
          <w:rFonts w:ascii="Times New Roman" w:cs="Times New Roman" w:eastAsia="Times New Roman" w:hAnsi="Times New Roman"/>
          <w:b/>
          <w:bCs/>
          <w:sz w:val="24"/>
          <w:szCs w:val="24"/>
        </w:rPr>
        <w:t xml:space="preserve">DOM</w:t>
      </w:r>
      <w:r>
        <w:rPr>
          <w:rFonts w:ascii="Times New Roman" w:cs="Times New Roman" w:eastAsia="Times New Roman" w:hAnsi="Times New Roman"/>
          <w:sz w:val="24"/>
          <w:szCs w:val="24"/>
        </w:rPr>
        <w:t xml:space="preserve">	- Document Object Model</w:t>
      </w:r>
    </w:p>
    <w:p>
      <w:pPr>
        <w:tabs>
          <w:tab w:val="left" w:pos="2304"/>
        </w:tabs>
        <w:spacing w:after="100"/>
      </w:pPr>
      <w:r>
        <w:rPr>
          <w:rFonts w:ascii="Times New Roman" w:cs="Times New Roman" w:eastAsia="Times New Roman" w:hAnsi="Times New Roman"/>
          <w:b/>
          <w:bCs/>
          <w:sz w:val="24"/>
          <w:szCs w:val="24"/>
        </w:rPr>
        <w:t xml:space="preserve">ER</w:t>
      </w:r>
      <w:r>
        <w:rPr>
          <w:rFonts w:ascii="Times New Roman" w:cs="Times New Roman" w:eastAsia="Times New Roman" w:hAnsi="Times New Roman"/>
          <w:sz w:val="24"/>
          <w:szCs w:val="24"/>
        </w:rPr>
        <w:t xml:space="preserve">	- Entity Relationship</w:t>
      </w:r>
    </w:p>
    <w:p>
      <w:pPr>
        <w:tabs>
          <w:tab w:val="left" w:pos="2304"/>
        </w:tabs>
        <w:spacing w:after="100"/>
      </w:pPr>
      <w:r>
        <w:rPr>
          <w:rFonts w:ascii="Times New Roman" w:cs="Times New Roman" w:eastAsia="Times New Roman" w:hAnsi="Times New Roman"/>
          <w:b/>
          <w:bCs/>
          <w:sz w:val="24"/>
          <w:szCs w:val="24"/>
        </w:rPr>
        <w:t xml:space="preserve">GPS</w:t>
      </w:r>
      <w:r>
        <w:rPr>
          <w:rFonts w:ascii="Times New Roman" w:cs="Times New Roman" w:eastAsia="Times New Roman" w:hAnsi="Times New Roman"/>
          <w:sz w:val="24"/>
          <w:szCs w:val="24"/>
        </w:rPr>
        <w:t xml:space="preserve">	- Global Positioning System</w:t>
      </w:r>
    </w:p>
    <w:p>
      <w:pPr>
        <w:tabs>
          <w:tab w:val="left" w:pos="2304"/>
        </w:tabs>
        <w:spacing w:after="100"/>
      </w:pPr>
      <w:r>
        <w:rPr>
          <w:rFonts w:ascii="Times New Roman" w:cs="Times New Roman" w:eastAsia="Times New Roman" w:hAnsi="Times New Roman"/>
          <w:b/>
          <w:bCs/>
          <w:sz w:val="24"/>
          <w:szCs w:val="24"/>
        </w:rPr>
        <w:t xml:space="preserve">HTML</w:t>
      </w:r>
      <w:r>
        <w:rPr>
          <w:rFonts w:ascii="Times New Roman" w:cs="Times New Roman" w:eastAsia="Times New Roman" w:hAnsi="Times New Roman"/>
          <w:sz w:val="24"/>
          <w:szCs w:val="24"/>
        </w:rPr>
        <w:t xml:space="preserve">	- HyperText Markup Language</w:t>
      </w:r>
    </w:p>
    <w:p>
      <w:pPr>
        <w:tabs>
          <w:tab w:val="left" w:pos="2304"/>
        </w:tabs>
        <w:spacing w:after="100"/>
      </w:pPr>
      <w:r>
        <w:rPr>
          <w:rFonts w:ascii="Times New Roman" w:cs="Times New Roman" w:eastAsia="Times New Roman" w:hAnsi="Times New Roman"/>
          <w:b/>
          <w:bCs/>
          <w:sz w:val="24"/>
          <w:szCs w:val="24"/>
        </w:rPr>
        <w:t xml:space="preserve">HTTP / HTTPS</w:t>
      </w:r>
      <w:r>
        <w:rPr>
          <w:rFonts w:ascii="Times New Roman" w:cs="Times New Roman" w:eastAsia="Times New Roman" w:hAnsi="Times New Roman"/>
          <w:sz w:val="24"/>
          <w:szCs w:val="24"/>
        </w:rPr>
        <w:t xml:space="preserve">	- HyperText Transfer Protocol / HyperText Transfer Protocol Secure</w:t>
      </w:r>
    </w:p>
    <w:p>
      <w:pPr>
        <w:tabs>
          <w:tab w:val="left" w:pos="2304"/>
        </w:tabs>
        <w:spacing w:after="100"/>
      </w:pPr>
      <w:r>
        <w:rPr>
          <w:rFonts w:ascii="Times New Roman" w:cs="Times New Roman" w:eastAsia="Times New Roman" w:hAnsi="Times New Roman"/>
          <w:b/>
          <w:bCs/>
          <w:sz w:val="24"/>
          <w:szCs w:val="24"/>
        </w:rPr>
        <w:t xml:space="preserve">IDE</w:t>
      </w:r>
      <w:r>
        <w:rPr>
          <w:rFonts w:ascii="Times New Roman" w:cs="Times New Roman" w:eastAsia="Times New Roman" w:hAnsi="Times New Roman"/>
          <w:sz w:val="24"/>
          <w:szCs w:val="24"/>
        </w:rPr>
        <w:t xml:space="preserve">	- Integrated Development Environment</w:t>
      </w:r>
    </w:p>
    <w:p>
      <w:pPr>
        <w:tabs>
          <w:tab w:val="left" w:pos="2304"/>
        </w:tabs>
        <w:spacing w:after="100"/>
      </w:pPr>
      <w:r>
        <w:rPr>
          <w:rFonts w:ascii="Times New Roman" w:cs="Times New Roman" w:eastAsia="Times New Roman" w:hAnsi="Times New Roman"/>
          <w:b/>
          <w:bCs/>
          <w:sz w:val="24"/>
          <w:szCs w:val="24"/>
        </w:rPr>
        <w:t xml:space="preserve">JSON</w:t>
      </w:r>
      <w:r>
        <w:rPr>
          <w:rFonts w:ascii="Times New Roman" w:cs="Times New Roman" w:eastAsia="Times New Roman" w:hAnsi="Times New Roman"/>
          <w:sz w:val="24"/>
          <w:szCs w:val="24"/>
        </w:rPr>
        <w:t xml:space="preserve">	- JavaScript Object Notation</w:t>
      </w:r>
    </w:p>
    <w:p>
      <w:pPr>
        <w:tabs>
          <w:tab w:val="left" w:pos="2304"/>
        </w:tabs>
        <w:spacing w:after="100"/>
      </w:pPr>
      <w:r>
        <w:rPr>
          <w:rFonts w:ascii="Times New Roman" w:cs="Times New Roman" w:eastAsia="Times New Roman" w:hAnsi="Times New Roman"/>
          <w:b/>
          <w:bCs/>
          <w:sz w:val="24"/>
          <w:szCs w:val="24"/>
        </w:rPr>
        <w:t xml:space="preserve">ML</w:t>
      </w:r>
      <w:r>
        <w:rPr>
          <w:rFonts w:ascii="Times New Roman" w:cs="Times New Roman" w:eastAsia="Times New Roman" w:hAnsi="Times New Roman"/>
          <w:sz w:val="24"/>
          <w:szCs w:val="24"/>
        </w:rPr>
        <w:t xml:space="preserve">	- Machine Learning</w:t>
      </w:r>
    </w:p>
    <w:p>
      <w:pPr>
        <w:tabs>
          <w:tab w:val="left" w:pos="2304"/>
        </w:tabs>
        <w:spacing w:after="100"/>
      </w:pPr>
      <w:r>
        <w:rPr>
          <w:rFonts w:ascii="Times New Roman" w:cs="Times New Roman" w:eastAsia="Times New Roman" w:hAnsi="Times New Roman"/>
          <w:b/>
          <w:bCs/>
          <w:sz w:val="24"/>
          <w:szCs w:val="24"/>
        </w:rPr>
        <w:t xml:space="preserve">PM2.5</w:t>
      </w:r>
      <w:r>
        <w:rPr>
          <w:rFonts w:ascii="Times New Roman" w:cs="Times New Roman" w:eastAsia="Times New Roman" w:hAnsi="Times New Roman"/>
          <w:sz w:val="24"/>
          <w:szCs w:val="24"/>
        </w:rPr>
        <w:t xml:space="preserve">	- Particulate Matter ≤ 2.5 μm</w:t>
      </w:r>
    </w:p>
    <w:p>
      <w:pPr>
        <w:tabs>
          <w:tab w:val="left" w:pos="2304"/>
        </w:tabs>
        <w:spacing w:after="100"/>
      </w:pPr>
      <w:r>
        <w:rPr>
          <w:rFonts w:ascii="Times New Roman" w:cs="Times New Roman" w:eastAsia="Times New Roman" w:hAnsi="Times New Roman"/>
          <w:b/>
          <w:bCs/>
          <w:sz w:val="24"/>
          <w:szCs w:val="24"/>
        </w:rPr>
        <w:t xml:space="preserve">RDBMS</w:t>
      </w:r>
      <w:r>
        <w:rPr>
          <w:rFonts w:ascii="Times New Roman" w:cs="Times New Roman" w:eastAsia="Times New Roman" w:hAnsi="Times New Roman"/>
          <w:sz w:val="24"/>
          <w:szCs w:val="24"/>
        </w:rPr>
        <w:t xml:space="preserve">	- Relational Database Management System</w:t>
      </w:r>
    </w:p>
    <w:p>
      <w:pPr>
        <w:tabs>
          <w:tab w:val="left" w:pos="2304"/>
        </w:tabs>
        <w:spacing w:after="100"/>
      </w:pPr>
      <w:r>
        <w:rPr>
          <w:rFonts w:ascii="Times New Roman" w:cs="Times New Roman" w:eastAsia="Times New Roman" w:hAnsi="Times New Roman"/>
          <w:b/>
          <w:bCs/>
          <w:sz w:val="24"/>
          <w:szCs w:val="24"/>
        </w:rPr>
        <w:t xml:space="preserve">REST</w:t>
      </w:r>
      <w:r>
        <w:rPr>
          <w:rFonts w:ascii="Times New Roman" w:cs="Times New Roman" w:eastAsia="Times New Roman" w:hAnsi="Times New Roman"/>
          <w:sz w:val="24"/>
          <w:szCs w:val="24"/>
        </w:rPr>
        <w:t xml:space="preserve">	- Representational State Transfer</w:t>
      </w:r>
    </w:p>
    <w:p>
      <w:pPr>
        <w:tabs>
          <w:tab w:val="left" w:pos="2304"/>
        </w:tabs>
        <w:spacing w:after="100"/>
      </w:pPr>
      <w:r>
        <w:rPr>
          <w:rFonts w:ascii="Times New Roman" w:cs="Times New Roman" w:eastAsia="Times New Roman" w:hAnsi="Times New Roman"/>
          <w:b/>
          <w:bCs/>
          <w:sz w:val="24"/>
          <w:szCs w:val="24"/>
        </w:rPr>
        <w:t xml:space="preserve">UI / UX</w:t>
      </w:r>
      <w:r>
        <w:rPr>
          <w:rFonts w:ascii="Times New Roman" w:cs="Times New Roman" w:eastAsia="Times New Roman" w:hAnsi="Times New Roman"/>
          <w:sz w:val="24"/>
          <w:szCs w:val="24"/>
        </w:rPr>
        <w:t xml:space="preserve">	- User Interface / User Experience</w:t>
      </w:r>
    </w:p>
    <w:p>
      <w:pPr>
        <w:tabs>
          <w:tab w:val="left" w:pos="2304"/>
        </w:tabs>
        <w:spacing w:after="100"/>
      </w:pPr>
      <w:r>
        <w:rPr>
          <w:rFonts w:ascii="Times New Roman" w:cs="Times New Roman" w:eastAsia="Times New Roman" w:hAnsi="Times New Roman"/>
          <w:b/>
          <w:bCs/>
          <w:sz w:val="24"/>
          <w:szCs w:val="24"/>
        </w:rPr>
        <w:t xml:space="preserve">UML</w:t>
      </w:r>
      <w:r>
        <w:rPr>
          <w:rFonts w:ascii="Times New Roman" w:cs="Times New Roman" w:eastAsia="Times New Roman" w:hAnsi="Times New Roman"/>
          <w:sz w:val="24"/>
          <w:szCs w:val="24"/>
        </w:rPr>
        <w:t xml:space="preserve">	- Unified Modeling Language</w:t>
      </w:r>
    </w:p>
    <w:p>
      <w:r>
        <w:br w:type="page"/>
      </w:r>
    </w:p>
    <w:p>
      <w:pPr>
        <w:spacing w:after="300"/>
        <w:jc w:val="center"/>
      </w:pPr>
      <w:r>
        <w:rPr>
          <w:rFonts w:ascii="Times New Roman" w:cs="Times New Roman" w:eastAsia="Times New Roman" w:hAnsi="Times New Roman"/>
          <w:b/>
          <w:bCs/>
          <w:sz w:val="28"/>
          <w:szCs w:val="28"/>
        </w:rPr>
        <w:t xml:space="preserve">LIST OF FIGURES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pct" w:w="20%"/>
            <w:shd w:fill="E8E8E8" w:val="clear"/>
            <w:tcMar>
              <w:top w:type="dxa" w:w="80"/>
              <w:left w:type="dxa" w:w="100"/>
              <w:bottom w:type="dxa" w:w="80"/>
              <w:right w:type="dxa" w:w="100"/>
            </w:tcMar>
            <w:vAlign w:val="center"/>
            <w:shd w:fill="E8E8E8"/>
            <w:tcMar>
              <w:top w:w="100" w:type="dxa"/>
              <w:bottom w:w="100" w:type="dxa"/>
              <w:left w:w="140" w:type="dxa"/>
              <w:right w:w="140" w:type="dxa"/>
            </w:tcMar>
          </w:tcPr>
          <w:p>
            <w:pPr>
              <w:spacing w:after="0"/>
            </w:pPr>
            <w:r>
              <w:rPr>
                <w:rFonts w:ascii="Times New Roman" w:cs="Times New Roman" w:eastAsia="Times New Roman" w:hAnsi="Times New Roman"/>
                <w:b/>
                <w:bCs/>
                <w:color w:val="000000"/>
                <w:sz w:val="20"/>
                <w:szCs w:val="22"/>
              </w:rPr>
              <w:t xml:space="preserve">Figure No.</w:t>
            </w:r>
          </w:p>
        </w:tc>
        <w:tc>
          <w:tcPr>
            <w:tcW w:type="pct" w:w="60%"/>
            <w:shd w:fill="E8E8E8" w:val="clear"/>
            <w:tcMar>
              <w:top w:type="dxa" w:w="80"/>
              <w:left w:type="dxa" w:w="100"/>
              <w:bottom w:type="dxa" w:w="80"/>
              <w:right w:type="dxa" w:w="100"/>
            </w:tcMar>
            <w:vAlign w:val="center"/>
            <w:shd w:fill="E8E8E8"/>
            <w:tcMar>
              <w:top w:w="100" w:type="dxa"/>
              <w:bottom w:w="100" w:type="dxa"/>
              <w:left w:w="140" w:type="dxa"/>
              <w:right w:w="140" w:type="dxa"/>
            </w:tcMar>
          </w:tcPr>
          <w:p>
            <w:pPr>
              <w:spacing w:after="0"/>
            </w:pPr>
            <w:r>
              <w:rPr>
                <w:rFonts w:ascii="Times New Roman" w:cs="Times New Roman" w:eastAsia="Times New Roman" w:hAnsi="Times New Roman"/>
                <w:b/>
                <w:bCs/>
                <w:color w:val="000000"/>
                <w:sz w:val="20"/>
                <w:szCs w:val="22"/>
              </w:rPr>
              <w:t xml:space="preserve">Title</w:t>
            </w:r>
          </w:p>
        </w:tc>
        <w:tc>
          <w:tcPr>
            <w:tcW w:type="pct" w:w="20%"/>
            <w:shd w:fill="E8E8E8" w:val="clear"/>
            <w:tcMar>
              <w:top w:type="dxa" w:w="80"/>
              <w:left w:type="dxa" w:w="100"/>
              <w:bottom w:type="dxa" w:w="80"/>
              <w:right w:type="dxa" w:w="100"/>
            </w:tcMar>
            <w:vAlign w:val="center"/>
            <w:shd w:fill="E8E8E8"/>
            <w:tcMar>
              <w:top w:w="100" w:type="dxa"/>
              <w:bottom w:w="100" w:type="dxa"/>
              <w:left w:w="140" w:type="dxa"/>
              <w:right w:w="140" w:type="dxa"/>
            </w:tcMar>
          </w:tcPr>
          <w:p>
            <w:pPr>
              <w:spacing w:after="0"/>
            </w:pPr>
            <w:r>
              <w:rPr>
                <w:rFonts w:ascii="Times New Roman" w:cs="Times New Roman" w:eastAsia="Times New Roman" w:hAnsi="Times New Roman"/>
                <w:b/>
                <w:bCs/>
                <w:color w:val="000000"/>
                <w:sz w:val="20"/>
                <w:szCs w:val="22"/>
              </w:rPr>
              <w:t xml:space="preserve">Page No.</w:t>
            </w:r>
          </w:p>
        </w:tc>
      </w:tr>
      <w:tr>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Fig 4.1</w:t>
            </w:r>
          </w:p>
        </w:tc>
        <w:tc>
          <w:tcPr>
            <w:tcW w:type="dxa" w:w="100"/>
            <w:shd w:fill="FFFFFF"/>
            <w:tcMar>
              <w:top w:w="80" w:type="dxa"/>
              <w:bottom w:w="80" w:type="dxa"/>
              <w:left w:w="140" w:type="dxa"/>
              <w:right w:w="140" w:type="dxa"/>
            </w:tcMar>
          </w:tcPr>
          <w:p>
            <w:pPr>
              <w:spacing w:after="0"/>
              <w:jc w:val="left"/>
            </w:pPr>
            <w:r>
              <w:rPr>
                <w:rFonts w:ascii="Times New Roman" w:hAnsi="Times New Roman"/>
                <w:b w:val="0"/>
                <w:color w:val="000000"/>
                <w:sz w:val="20"/>
              </w:rPr>
              <w:t>Frontend Data Flow Diagram</w:t>
            </w:r>
          </w:p>
        </w:tc>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8</w:t>
            </w:r>
          </w:p>
        </w:tc>
      </w:tr>
      <w:tr>
        <w:tc>
          <w:tcPr>
            <w:tcW w:type="dxa" w:w="100"/>
            <w:shd w:fill="E8E8E8"/>
            <w:tcMar>
              <w:top w:w="80" w:type="dxa"/>
              <w:bottom w:w="80" w:type="dxa"/>
              <w:left w:w="140" w:type="dxa"/>
              <w:right w:w="140" w:type="dxa"/>
            </w:tcMar>
          </w:tcPr>
          <w:p>
            <w:pPr>
              <w:spacing w:after="0"/>
              <w:jc w:val="center"/>
            </w:pPr>
            <w:r>
              <w:rPr>
                <w:rFonts w:ascii="Times New Roman" w:hAnsi="Times New Roman"/>
                <w:b w:val="0"/>
                <w:color w:val="000000"/>
                <w:sz w:val="20"/>
              </w:rPr>
              <w:t>Fig 4.2</w:t>
            </w:r>
          </w:p>
        </w:tc>
        <w:tc>
          <w:tcPr>
            <w:tcW w:type="dxa" w:w="100"/>
            <w:shd w:fill="E8E8E8"/>
            <w:tcMar>
              <w:top w:w="80" w:type="dxa"/>
              <w:bottom w:w="80" w:type="dxa"/>
              <w:left w:w="140" w:type="dxa"/>
              <w:right w:w="140" w:type="dxa"/>
            </w:tcMar>
          </w:tcPr>
          <w:p>
            <w:pPr>
              <w:spacing w:after="0"/>
              <w:jc w:val="left"/>
            </w:pPr>
            <w:r>
              <w:rPr>
                <w:rFonts w:ascii="Times New Roman" w:hAnsi="Times New Roman"/>
                <w:b w:val="0"/>
                <w:color w:val="000000"/>
                <w:sz w:val="20"/>
              </w:rPr>
              <w:t>Backend Data Flow Diagram</w:t>
            </w:r>
          </w:p>
        </w:tc>
        <w:tc>
          <w:tcPr>
            <w:tcW w:type="dxa" w:w="100"/>
            <w:shd w:fill="E8E8E8"/>
            <w:tcMar>
              <w:top w:w="80" w:type="dxa"/>
              <w:bottom w:w="80" w:type="dxa"/>
              <w:left w:w="140" w:type="dxa"/>
              <w:right w:w="140" w:type="dxa"/>
            </w:tcMar>
          </w:tcPr>
          <w:p>
            <w:pPr>
              <w:spacing w:after="0"/>
              <w:jc w:val="center"/>
            </w:pPr>
            <w:r>
              <w:rPr>
                <w:rFonts w:ascii="Times New Roman" w:hAnsi="Times New Roman"/>
                <w:b w:val="0"/>
                <w:color w:val="000000"/>
                <w:sz w:val="20"/>
              </w:rPr>
              <w:t>9</w:t>
            </w:r>
          </w:p>
        </w:tc>
      </w:tr>
      <w:tr>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Fig 4.3</w:t>
            </w:r>
          </w:p>
        </w:tc>
        <w:tc>
          <w:tcPr>
            <w:tcW w:type="dxa" w:w="100"/>
            <w:shd w:fill="FFFFFF"/>
            <w:tcMar>
              <w:top w:w="80" w:type="dxa"/>
              <w:bottom w:w="80" w:type="dxa"/>
              <w:left w:w="140" w:type="dxa"/>
              <w:right w:w="140" w:type="dxa"/>
            </w:tcMar>
          </w:tcPr>
          <w:p>
            <w:pPr>
              <w:spacing w:after="0"/>
              <w:jc w:val="left"/>
            </w:pPr>
            <w:r>
              <w:rPr>
                <w:rFonts w:ascii="Times New Roman" w:hAnsi="Times New Roman"/>
                <w:b w:val="0"/>
                <w:color w:val="000000"/>
                <w:sz w:val="20"/>
              </w:rPr>
              <w:t>Data Flow Diagram of the AI Model</w:t>
            </w:r>
          </w:p>
        </w:tc>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9</w:t>
            </w:r>
          </w:p>
        </w:tc>
      </w:tr>
      <w:tr>
        <w:tc>
          <w:tcPr>
            <w:tcW w:type="dxa" w:w="100"/>
            <w:shd w:fill="E8E8E8"/>
            <w:tcMar>
              <w:top w:w="80" w:type="dxa"/>
              <w:bottom w:w="80" w:type="dxa"/>
              <w:left w:w="140" w:type="dxa"/>
              <w:right w:w="140" w:type="dxa"/>
            </w:tcMar>
          </w:tcPr>
          <w:p>
            <w:pPr>
              <w:spacing w:after="0"/>
              <w:jc w:val="center"/>
            </w:pPr>
            <w:r>
              <w:rPr>
                <w:rFonts w:ascii="Times New Roman" w:hAnsi="Times New Roman"/>
                <w:b w:val="0"/>
                <w:color w:val="000000"/>
                <w:sz w:val="20"/>
              </w:rPr>
              <w:t>Fig 4.4</w:t>
            </w:r>
          </w:p>
        </w:tc>
        <w:tc>
          <w:tcPr>
            <w:tcW w:type="dxa" w:w="100"/>
            <w:shd w:fill="E8E8E8"/>
            <w:tcMar>
              <w:top w:w="80" w:type="dxa"/>
              <w:bottom w:w="80" w:type="dxa"/>
              <w:left w:w="140" w:type="dxa"/>
              <w:right w:w="140" w:type="dxa"/>
            </w:tcMar>
          </w:tcPr>
          <w:p>
            <w:pPr>
              <w:spacing w:after="0"/>
              <w:jc w:val="left"/>
            </w:pPr>
            <w:r>
              <w:rPr>
                <w:rFonts w:ascii="Times New Roman" w:hAnsi="Times New Roman"/>
                <w:b w:val="0"/>
                <w:color w:val="000000"/>
                <w:sz w:val="20"/>
              </w:rPr>
              <w:t>Architectural Diagram</w:t>
            </w:r>
          </w:p>
        </w:tc>
        <w:tc>
          <w:tcPr>
            <w:tcW w:type="dxa" w:w="100"/>
            <w:shd w:fill="E8E8E8"/>
            <w:tcMar>
              <w:top w:w="80" w:type="dxa"/>
              <w:bottom w:w="80" w:type="dxa"/>
              <w:left w:w="140" w:type="dxa"/>
              <w:right w:w="140" w:type="dxa"/>
            </w:tcMar>
          </w:tcPr>
          <w:p>
            <w:pPr>
              <w:spacing w:after="0"/>
              <w:jc w:val="center"/>
            </w:pPr>
            <w:r>
              <w:rPr>
                <w:rFonts w:ascii="Times New Roman" w:hAnsi="Times New Roman"/>
                <w:b w:val="0"/>
                <w:color w:val="000000"/>
                <w:sz w:val="20"/>
              </w:rPr>
              <w:t>10</w:t>
            </w:r>
          </w:p>
        </w:tc>
      </w:tr>
      <w:tr>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Fig 4.5</w:t>
            </w:r>
          </w:p>
        </w:tc>
        <w:tc>
          <w:tcPr>
            <w:tcW w:type="dxa" w:w="100"/>
            <w:shd w:fill="FFFFFF"/>
            <w:tcMar>
              <w:top w:w="80" w:type="dxa"/>
              <w:bottom w:w="80" w:type="dxa"/>
              <w:left w:w="140" w:type="dxa"/>
              <w:right w:w="140" w:type="dxa"/>
            </w:tcMar>
          </w:tcPr>
          <w:p>
            <w:pPr>
              <w:spacing w:after="0"/>
              <w:jc w:val="left"/>
            </w:pPr>
            <w:r>
              <w:rPr>
                <w:rFonts w:ascii="Times New Roman" w:hAnsi="Times New Roman"/>
                <w:b w:val="0"/>
                <w:color w:val="000000"/>
                <w:sz w:val="20"/>
              </w:rPr>
              <w:t>Current Model Multimodal Feature Correlation Heatmap</w:t>
            </w:r>
          </w:p>
        </w:tc>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11</w:t>
            </w:r>
          </w:p>
        </w:tc>
      </w:tr>
      <w:tr>
        <w:tc>
          <w:tcPr>
            <w:tcW w:type="dxa" w:w="100"/>
            <w:shd w:fill="E8E8E8"/>
            <w:tcMar>
              <w:top w:w="80" w:type="dxa"/>
              <w:bottom w:w="80" w:type="dxa"/>
              <w:left w:w="140" w:type="dxa"/>
              <w:right w:w="140" w:type="dxa"/>
            </w:tcMar>
          </w:tcPr>
          <w:p>
            <w:pPr>
              <w:spacing w:after="0"/>
              <w:jc w:val="center"/>
            </w:pPr>
            <w:r>
              <w:rPr>
                <w:rFonts w:ascii="Times New Roman" w:hAnsi="Times New Roman"/>
                <w:b w:val="0"/>
                <w:color w:val="000000"/>
                <w:sz w:val="20"/>
              </w:rPr>
              <w:t>Fig 4.6</w:t>
            </w:r>
          </w:p>
        </w:tc>
        <w:tc>
          <w:tcPr>
            <w:tcW w:type="dxa" w:w="100"/>
            <w:shd w:fill="E8E8E8"/>
            <w:tcMar>
              <w:top w:w="80" w:type="dxa"/>
              <w:bottom w:w="80" w:type="dxa"/>
              <w:left w:w="140" w:type="dxa"/>
              <w:right w:w="140" w:type="dxa"/>
            </w:tcMar>
          </w:tcPr>
          <w:p>
            <w:pPr>
              <w:spacing w:after="0"/>
              <w:jc w:val="left"/>
            </w:pPr>
            <w:r>
              <w:rPr>
                <w:rFonts w:ascii="Times New Roman" w:hAnsi="Times New Roman"/>
                <w:b w:val="0"/>
                <w:color w:val="000000"/>
                <w:sz w:val="20"/>
              </w:rPr>
              <w:t>Explainable AI SHAP Feature Importance &amp; Attribution</w:t>
            </w:r>
          </w:p>
        </w:tc>
        <w:tc>
          <w:tcPr>
            <w:tcW w:type="dxa" w:w="100"/>
            <w:shd w:fill="E8E8E8"/>
            <w:tcMar>
              <w:top w:w="80" w:type="dxa"/>
              <w:bottom w:w="80" w:type="dxa"/>
              <w:left w:w="140" w:type="dxa"/>
              <w:right w:w="140" w:type="dxa"/>
            </w:tcMar>
          </w:tcPr>
          <w:p>
            <w:pPr>
              <w:spacing w:after="0"/>
              <w:jc w:val="center"/>
            </w:pPr>
            <w:r>
              <w:rPr>
                <w:rFonts w:ascii="Times New Roman" w:hAnsi="Times New Roman"/>
                <w:b w:val="0"/>
                <w:color w:val="000000"/>
                <w:sz w:val="20"/>
              </w:rPr>
              <w:t>12</w:t>
            </w:r>
          </w:p>
        </w:tc>
      </w:tr>
      <w:tr>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Fig 4.7</w:t>
            </w:r>
          </w:p>
        </w:tc>
        <w:tc>
          <w:tcPr>
            <w:tcW w:type="dxa" w:w="100"/>
            <w:shd w:fill="FFFFFF"/>
            <w:tcMar>
              <w:top w:w="80" w:type="dxa"/>
              <w:bottom w:w="80" w:type="dxa"/>
              <w:left w:w="140" w:type="dxa"/>
              <w:right w:w="140" w:type="dxa"/>
            </w:tcMar>
          </w:tcPr>
          <w:p>
            <w:pPr>
              <w:spacing w:after="0"/>
              <w:jc w:val="left"/>
            </w:pPr>
            <w:r>
              <w:rPr>
                <w:rFonts w:ascii="Times New Roman" w:hAnsi="Times New Roman"/>
                <w:b w:val="0"/>
                <w:color w:val="000000"/>
                <w:sz w:val="20"/>
              </w:rPr>
              <w:t>Collaborative ML Ensemble Architecture &amp; Safety Rails</w:t>
            </w:r>
          </w:p>
        </w:tc>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13</w:t>
            </w:r>
          </w:p>
        </w:tc>
      </w:tr>
      <w:tr>
        <w:tc>
          <w:tcPr>
            <w:tcW w:type="dxa" w:w="100"/>
            <w:shd w:fill="E8E8E8"/>
            <w:tcMar>
              <w:top w:w="80" w:type="dxa"/>
              <w:bottom w:w="80" w:type="dxa"/>
              <w:left w:w="140" w:type="dxa"/>
              <w:right w:w="140" w:type="dxa"/>
            </w:tcMar>
          </w:tcPr>
          <w:p>
            <w:pPr>
              <w:spacing w:after="0"/>
              <w:jc w:val="center"/>
            </w:pPr>
            <w:r>
              <w:rPr>
                <w:rFonts w:ascii="Times New Roman" w:hAnsi="Times New Roman"/>
                <w:b w:val="0"/>
                <w:color w:val="000000"/>
                <w:sz w:val="20"/>
              </w:rPr>
              <w:t>Fig 5.1</w:t>
            </w:r>
          </w:p>
        </w:tc>
        <w:tc>
          <w:tcPr>
            <w:tcW w:type="dxa" w:w="100"/>
            <w:shd w:fill="E8E8E8"/>
            <w:tcMar>
              <w:top w:w="80" w:type="dxa"/>
              <w:bottom w:w="80" w:type="dxa"/>
              <w:left w:w="140" w:type="dxa"/>
              <w:right w:w="140" w:type="dxa"/>
            </w:tcMar>
          </w:tcPr>
          <w:p>
            <w:pPr>
              <w:spacing w:after="0"/>
              <w:jc w:val="left"/>
            </w:pPr>
            <w:r>
              <w:rPr>
                <w:rFonts w:ascii="Times New Roman" w:hAnsi="Times New Roman"/>
                <w:b w:val="0"/>
                <w:color w:val="000000"/>
                <w:sz w:val="20"/>
              </w:rPr>
              <w:t>HridyaVayu Clinical Landing Page &amp; Preemptive Mission</w:t>
            </w:r>
          </w:p>
        </w:tc>
        <w:tc>
          <w:tcPr>
            <w:tcW w:type="dxa" w:w="100"/>
            <w:shd w:fill="E8E8E8"/>
            <w:tcMar>
              <w:top w:w="80" w:type="dxa"/>
              <w:bottom w:w="80" w:type="dxa"/>
              <w:left w:w="140" w:type="dxa"/>
              <w:right w:w="140" w:type="dxa"/>
            </w:tcMar>
          </w:tcPr>
          <w:p>
            <w:pPr>
              <w:spacing w:after="0"/>
              <w:jc w:val="center"/>
            </w:pPr>
            <w:r>
              <w:rPr>
                <w:rFonts w:ascii="Times New Roman" w:hAnsi="Times New Roman"/>
                <w:b w:val="0"/>
                <w:color w:val="000000"/>
                <w:sz w:val="20"/>
              </w:rPr>
              <w:t>15</w:t>
            </w:r>
          </w:p>
        </w:tc>
      </w:tr>
      <w:tr>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Fig 5.2</w:t>
            </w:r>
          </w:p>
        </w:tc>
        <w:tc>
          <w:tcPr>
            <w:tcW w:type="dxa" w:w="100"/>
            <w:shd w:fill="FFFFFF"/>
            <w:tcMar>
              <w:top w:w="80" w:type="dxa"/>
              <w:bottom w:w="80" w:type="dxa"/>
              <w:left w:w="140" w:type="dxa"/>
              <w:right w:w="140" w:type="dxa"/>
            </w:tcMar>
          </w:tcPr>
          <w:p>
            <w:pPr>
              <w:spacing w:after="0"/>
              <w:jc w:val="left"/>
            </w:pPr>
            <w:r>
              <w:rPr>
                <w:rFonts w:ascii="Times New Roman" w:hAnsi="Times New Roman"/>
                <w:b w:val="0"/>
                <w:color w:val="000000"/>
                <w:sz w:val="20"/>
              </w:rPr>
              <w:t>Patient Portal Step 1: Clinical GINA Screening Interface</w:t>
            </w:r>
          </w:p>
        </w:tc>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16</w:t>
            </w:r>
          </w:p>
        </w:tc>
      </w:tr>
      <w:tr>
        <w:tc>
          <w:tcPr>
            <w:tcW w:type="dxa" w:w="100"/>
            <w:shd w:fill="E8E8E8"/>
            <w:tcMar>
              <w:top w:w="80" w:type="dxa"/>
              <w:bottom w:w="80" w:type="dxa"/>
              <w:left w:w="140" w:type="dxa"/>
              <w:right w:w="140" w:type="dxa"/>
            </w:tcMar>
          </w:tcPr>
          <w:p>
            <w:pPr>
              <w:spacing w:after="0"/>
              <w:jc w:val="center"/>
            </w:pPr>
            <w:r>
              <w:rPr>
                <w:rFonts w:ascii="Times New Roman" w:hAnsi="Times New Roman"/>
                <w:b w:val="0"/>
                <w:color w:val="000000"/>
                <w:sz w:val="20"/>
              </w:rPr>
              <w:t>Fig 5.3</w:t>
            </w:r>
          </w:p>
        </w:tc>
        <w:tc>
          <w:tcPr>
            <w:tcW w:type="dxa" w:w="100"/>
            <w:shd w:fill="E8E8E8"/>
            <w:tcMar>
              <w:top w:w="80" w:type="dxa"/>
              <w:bottom w:w="80" w:type="dxa"/>
              <w:left w:w="140" w:type="dxa"/>
              <w:right w:w="140" w:type="dxa"/>
            </w:tcMar>
          </w:tcPr>
          <w:p>
            <w:pPr>
              <w:spacing w:after="0"/>
              <w:jc w:val="left"/>
            </w:pPr>
            <w:r>
              <w:rPr>
                <w:rFonts w:ascii="Times New Roman" w:hAnsi="Times New Roman"/>
                <w:b w:val="0"/>
                <w:color w:val="000000"/>
                <w:sz w:val="20"/>
              </w:rPr>
              <w:t>Patient Portal Step 2: Atmospheric Telemetry Ingestion</w:t>
            </w:r>
          </w:p>
        </w:tc>
        <w:tc>
          <w:tcPr>
            <w:tcW w:type="dxa" w:w="100"/>
            <w:shd w:fill="E8E8E8"/>
            <w:tcMar>
              <w:top w:w="80" w:type="dxa"/>
              <w:bottom w:w="80" w:type="dxa"/>
              <w:left w:w="140" w:type="dxa"/>
              <w:right w:w="140" w:type="dxa"/>
            </w:tcMar>
          </w:tcPr>
          <w:p>
            <w:pPr>
              <w:spacing w:after="0"/>
              <w:jc w:val="center"/>
            </w:pPr>
            <w:r>
              <w:rPr>
                <w:rFonts w:ascii="Times New Roman" w:hAnsi="Times New Roman"/>
                <w:b w:val="0"/>
                <w:color w:val="000000"/>
                <w:sz w:val="20"/>
              </w:rPr>
              <w:t>16</w:t>
            </w:r>
          </w:p>
        </w:tc>
      </w:tr>
      <w:tr>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Fig 5.4</w:t>
            </w:r>
          </w:p>
        </w:tc>
        <w:tc>
          <w:tcPr>
            <w:tcW w:type="dxa" w:w="100"/>
            <w:shd w:fill="FFFFFF"/>
            <w:tcMar>
              <w:top w:w="80" w:type="dxa"/>
              <w:bottom w:w="80" w:type="dxa"/>
              <w:left w:w="140" w:type="dxa"/>
              <w:right w:w="140" w:type="dxa"/>
            </w:tcMar>
          </w:tcPr>
          <w:p>
            <w:pPr>
              <w:spacing w:after="0"/>
              <w:jc w:val="left"/>
            </w:pPr>
            <w:r>
              <w:rPr>
                <w:rFonts w:ascii="Times New Roman" w:hAnsi="Times New Roman"/>
                <w:b w:val="0"/>
                <w:color w:val="000000"/>
                <w:sz w:val="20"/>
              </w:rPr>
              <w:t>Patient Portal Step 3: Risk Stratification &amp; Clinical Protocol</w:t>
            </w:r>
          </w:p>
        </w:tc>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17</w:t>
            </w:r>
          </w:p>
        </w:tc>
      </w:tr>
      <w:tr>
        <w:tc>
          <w:tcPr>
            <w:tcW w:type="dxa" w:w="100"/>
            <w:shd w:fill="E8E8E8"/>
            <w:tcMar>
              <w:top w:w="80" w:type="dxa"/>
              <w:bottom w:w="80" w:type="dxa"/>
              <w:left w:w="140" w:type="dxa"/>
              <w:right w:w="140" w:type="dxa"/>
            </w:tcMar>
          </w:tcPr>
          <w:p>
            <w:pPr>
              <w:spacing w:after="0"/>
              <w:jc w:val="center"/>
            </w:pPr>
            <w:r>
              <w:rPr>
                <w:rFonts w:ascii="Times New Roman" w:hAnsi="Times New Roman"/>
                <w:b w:val="0"/>
                <w:color w:val="000000"/>
                <w:sz w:val="20"/>
              </w:rPr>
              <w:t>Fig 5.5</w:t>
            </w:r>
          </w:p>
        </w:tc>
        <w:tc>
          <w:tcPr>
            <w:tcW w:type="dxa" w:w="100"/>
            <w:shd w:fill="E8E8E8"/>
            <w:tcMar>
              <w:top w:w="80" w:type="dxa"/>
              <w:bottom w:w="80" w:type="dxa"/>
              <w:left w:w="140" w:type="dxa"/>
              <w:right w:w="140" w:type="dxa"/>
            </w:tcMar>
          </w:tcPr>
          <w:p>
            <w:pPr>
              <w:spacing w:after="0"/>
              <w:jc w:val="left"/>
            </w:pPr>
            <w:r>
              <w:rPr>
                <w:rFonts w:ascii="Times New Roman" w:hAnsi="Times New Roman"/>
                <w:b w:val="0"/>
                <w:color w:val="000000"/>
                <w:sz w:val="20"/>
              </w:rPr>
              <w:t>Epidemiological Analysis: India Asthma Burden vs. PM2.5 Peaks</w:t>
            </w:r>
          </w:p>
        </w:tc>
        <w:tc>
          <w:tcPr>
            <w:tcW w:type="dxa" w:w="100"/>
            <w:shd w:fill="E8E8E8"/>
            <w:tcMar>
              <w:top w:w="80" w:type="dxa"/>
              <w:bottom w:w="80" w:type="dxa"/>
              <w:left w:w="140" w:type="dxa"/>
              <w:right w:w="140" w:type="dxa"/>
            </w:tcMar>
          </w:tcPr>
          <w:p>
            <w:pPr>
              <w:spacing w:after="0"/>
              <w:jc w:val="center"/>
            </w:pPr>
            <w:r>
              <w:rPr>
                <w:rFonts w:ascii="Times New Roman" w:hAnsi="Times New Roman"/>
                <w:b w:val="0"/>
                <w:color w:val="000000"/>
                <w:sz w:val="20"/>
              </w:rPr>
              <w:t>18</w:t>
            </w:r>
          </w:p>
        </w:tc>
      </w:tr>
      <w:tr>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Fig 5.6</w:t>
            </w:r>
          </w:p>
        </w:tc>
        <w:tc>
          <w:tcPr>
            <w:tcW w:type="dxa" w:w="100"/>
            <w:shd w:fill="FFFFFF"/>
            <w:tcMar>
              <w:top w:w="80" w:type="dxa"/>
              <w:bottom w:w="80" w:type="dxa"/>
              <w:left w:w="140" w:type="dxa"/>
              <w:right w:w="140" w:type="dxa"/>
            </w:tcMar>
          </w:tcPr>
          <w:p>
            <w:pPr>
              <w:spacing w:after="0"/>
              <w:jc w:val="left"/>
            </w:pPr>
            <w:r>
              <w:rPr>
                <w:rFonts w:ascii="Times New Roman" w:hAnsi="Times New Roman"/>
                <w:b w:val="0"/>
                <w:color w:val="000000"/>
                <w:sz w:val="20"/>
              </w:rPr>
              <w:t>Physician Console &amp; Population Telemetry Feed</w:t>
            </w:r>
          </w:p>
        </w:tc>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19</w:t>
            </w:r>
          </w:p>
        </w:tc>
      </w:tr>
    </w:tbl>
    <w:p>
      <w:r>
        <w:br w:type="page"/>
      </w:r>
    </w:p>
    <w:p>
      <w:pPr>
        <w:spacing w:after="300"/>
        <w:jc w:val="center"/>
      </w:pPr>
      <w:r>
        <w:rPr>
          <w:rFonts w:ascii="Times New Roman" w:cs="Times New Roman" w:eastAsia="Times New Roman" w:hAnsi="Times New Roman"/>
          <w:b/>
          <w:bCs/>
          <w:sz w:val="28"/>
          <w:szCs w:val="28"/>
        </w:rPr>
        <w:t xml:space="preserve">LIST OF TABLES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pct" w:w="20%"/>
            <w:shd w:fill="E8E8E8" w:val="clear"/>
            <w:tcMar>
              <w:top w:type="dxa" w:w="80"/>
              <w:left w:type="dxa" w:w="100"/>
              <w:bottom w:type="dxa" w:w="80"/>
              <w:right w:type="dxa" w:w="100"/>
            </w:tcMar>
            <w:vAlign w:val="center"/>
            <w:shd w:fill="E8E8E8"/>
            <w:tcMar>
              <w:top w:w="100" w:type="dxa"/>
              <w:bottom w:w="100" w:type="dxa"/>
              <w:left w:w="140" w:type="dxa"/>
              <w:right w:w="140" w:type="dxa"/>
            </w:tcMar>
          </w:tcPr>
          <w:p>
            <w:pPr>
              <w:spacing w:after="0"/>
            </w:pPr>
            <w:r>
              <w:rPr>
                <w:rFonts w:ascii="Times New Roman" w:cs="Times New Roman" w:eastAsia="Times New Roman" w:hAnsi="Times New Roman"/>
                <w:b/>
                <w:bCs/>
                <w:color w:val="000000"/>
                <w:sz w:val="20"/>
                <w:szCs w:val="22"/>
              </w:rPr>
              <w:t xml:space="preserve">Table No.</w:t>
            </w:r>
          </w:p>
        </w:tc>
        <w:tc>
          <w:tcPr>
            <w:tcW w:type="pct" w:w="60%"/>
            <w:shd w:fill="E8E8E8" w:val="clear"/>
            <w:tcMar>
              <w:top w:type="dxa" w:w="80"/>
              <w:left w:type="dxa" w:w="100"/>
              <w:bottom w:type="dxa" w:w="80"/>
              <w:right w:type="dxa" w:w="100"/>
            </w:tcMar>
            <w:vAlign w:val="center"/>
            <w:shd w:fill="E8E8E8"/>
            <w:tcMar>
              <w:top w:w="100" w:type="dxa"/>
              <w:bottom w:w="100" w:type="dxa"/>
              <w:left w:w="140" w:type="dxa"/>
              <w:right w:w="140" w:type="dxa"/>
            </w:tcMar>
          </w:tcPr>
          <w:p>
            <w:pPr>
              <w:spacing w:after="0"/>
            </w:pPr>
            <w:r>
              <w:rPr>
                <w:rFonts w:ascii="Times New Roman" w:cs="Times New Roman" w:eastAsia="Times New Roman" w:hAnsi="Times New Roman"/>
                <w:b/>
                <w:bCs/>
                <w:color w:val="000000"/>
                <w:sz w:val="20"/>
                <w:szCs w:val="22"/>
              </w:rPr>
              <w:t xml:space="preserve">Title</w:t>
            </w:r>
          </w:p>
        </w:tc>
        <w:tc>
          <w:tcPr>
            <w:tcW w:type="pct" w:w="20%"/>
            <w:shd w:fill="E8E8E8" w:val="clear"/>
            <w:tcMar>
              <w:top w:type="dxa" w:w="80"/>
              <w:left w:type="dxa" w:w="100"/>
              <w:bottom w:type="dxa" w:w="80"/>
              <w:right w:type="dxa" w:w="100"/>
            </w:tcMar>
            <w:vAlign w:val="center"/>
            <w:shd w:fill="E8E8E8"/>
            <w:tcMar>
              <w:top w:w="100" w:type="dxa"/>
              <w:bottom w:w="100" w:type="dxa"/>
              <w:left w:w="140" w:type="dxa"/>
              <w:right w:w="140" w:type="dxa"/>
            </w:tcMar>
          </w:tcPr>
          <w:p>
            <w:pPr>
              <w:spacing w:after="0"/>
            </w:pPr>
            <w:r>
              <w:rPr>
                <w:rFonts w:ascii="Times New Roman" w:cs="Times New Roman" w:eastAsia="Times New Roman" w:hAnsi="Times New Roman"/>
                <w:b/>
                <w:bCs/>
                <w:color w:val="000000"/>
                <w:sz w:val="20"/>
                <w:szCs w:val="22"/>
              </w:rPr>
              <w:t xml:space="preserve">Page No.</w:t>
            </w:r>
          </w:p>
        </w:tc>
      </w:tr>
      <w:tr>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Table 3.1</w:t>
            </w:r>
          </w:p>
        </w:tc>
        <w:tc>
          <w:tcPr>
            <w:tcW w:type="dxa" w:w="100"/>
            <w:shd w:fill="FFFFFF"/>
            <w:tcMar>
              <w:top w:w="80" w:type="dxa"/>
              <w:bottom w:w="80" w:type="dxa"/>
              <w:left w:w="140" w:type="dxa"/>
              <w:right w:w="140" w:type="dxa"/>
            </w:tcMar>
          </w:tcPr>
          <w:p>
            <w:pPr>
              <w:spacing w:after="0"/>
              <w:jc w:val="left"/>
            </w:pPr>
            <w:r>
              <w:rPr>
                <w:rFonts w:ascii="Times New Roman" w:hAnsi="Times New Roman"/>
                <w:b w:val="0"/>
                <w:color w:val="000000"/>
                <w:sz w:val="20"/>
              </w:rPr>
              <w:t>Hardware Requirements and Specifications</w:t>
            </w:r>
          </w:p>
        </w:tc>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7</w:t>
            </w:r>
          </w:p>
        </w:tc>
      </w:tr>
      <w:tr>
        <w:tc>
          <w:tcPr>
            <w:tcW w:type="dxa" w:w="100"/>
            <w:shd w:fill="E8E8E8"/>
            <w:tcMar>
              <w:top w:w="80" w:type="dxa"/>
              <w:bottom w:w="80" w:type="dxa"/>
              <w:left w:w="140" w:type="dxa"/>
              <w:right w:w="140" w:type="dxa"/>
            </w:tcMar>
          </w:tcPr>
          <w:p>
            <w:pPr>
              <w:spacing w:after="0"/>
              <w:jc w:val="center"/>
            </w:pPr>
            <w:r>
              <w:rPr>
                <w:rFonts w:ascii="Times New Roman" w:hAnsi="Times New Roman"/>
                <w:b w:val="0"/>
                <w:color w:val="000000"/>
                <w:sz w:val="20"/>
              </w:rPr>
              <w:t>Table 3.2</w:t>
            </w:r>
          </w:p>
        </w:tc>
        <w:tc>
          <w:tcPr>
            <w:tcW w:type="dxa" w:w="100"/>
            <w:shd w:fill="E8E8E8"/>
            <w:tcMar>
              <w:top w:w="80" w:type="dxa"/>
              <w:bottom w:w="80" w:type="dxa"/>
              <w:left w:w="140" w:type="dxa"/>
              <w:right w:w="140" w:type="dxa"/>
            </w:tcMar>
          </w:tcPr>
          <w:p>
            <w:pPr>
              <w:spacing w:after="0"/>
              <w:jc w:val="left"/>
            </w:pPr>
            <w:r>
              <w:rPr>
                <w:rFonts w:ascii="Times New Roman" w:hAnsi="Times New Roman"/>
                <w:b w:val="0"/>
                <w:color w:val="000000"/>
                <w:sz w:val="20"/>
              </w:rPr>
              <w:t>Software Requirements and Specifications</w:t>
            </w:r>
          </w:p>
        </w:tc>
        <w:tc>
          <w:tcPr>
            <w:tcW w:type="dxa" w:w="100"/>
            <w:shd w:fill="E8E8E8"/>
            <w:tcMar>
              <w:top w:w="80" w:type="dxa"/>
              <w:bottom w:w="80" w:type="dxa"/>
              <w:left w:w="140" w:type="dxa"/>
              <w:right w:w="140" w:type="dxa"/>
            </w:tcMar>
          </w:tcPr>
          <w:p>
            <w:pPr>
              <w:spacing w:after="0"/>
              <w:jc w:val="center"/>
            </w:pPr>
            <w:r>
              <w:rPr>
                <w:rFonts w:ascii="Times New Roman" w:hAnsi="Times New Roman"/>
                <w:b w:val="0"/>
                <w:color w:val="000000"/>
                <w:sz w:val="20"/>
              </w:rPr>
              <w:t>7</w:t>
            </w:r>
          </w:p>
        </w:tc>
      </w:tr>
      <w:tr>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Table 4.1</w:t>
            </w:r>
          </w:p>
        </w:tc>
        <w:tc>
          <w:tcPr>
            <w:tcW w:type="dxa" w:w="100"/>
            <w:shd w:fill="FFFFFF"/>
            <w:tcMar>
              <w:top w:w="80" w:type="dxa"/>
              <w:bottom w:w="80" w:type="dxa"/>
              <w:left w:w="140" w:type="dxa"/>
              <w:right w:w="140" w:type="dxa"/>
            </w:tcMar>
          </w:tcPr>
          <w:p>
            <w:pPr>
              <w:spacing w:after="0"/>
              <w:jc w:val="left"/>
            </w:pPr>
            <w:r>
              <w:rPr>
                <w:rFonts w:ascii="Times New Roman" w:hAnsi="Times New Roman"/>
                <w:b w:val="0"/>
                <w:color w:val="000000"/>
                <w:sz w:val="20"/>
              </w:rPr>
              <w:t>Review 1 Current Model Performance Benchmark</w:t>
            </w:r>
          </w:p>
        </w:tc>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10</w:t>
            </w:r>
          </w:p>
        </w:tc>
      </w:tr>
      <w:tr>
        <w:tc>
          <w:tcPr>
            <w:tcW w:type="dxa" w:w="100"/>
            <w:shd w:fill="E8E8E8"/>
            <w:tcMar>
              <w:top w:w="80" w:type="dxa"/>
              <w:bottom w:w="80" w:type="dxa"/>
              <w:left w:w="140" w:type="dxa"/>
              <w:right w:w="140" w:type="dxa"/>
            </w:tcMar>
          </w:tcPr>
          <w:p>
            <w:pPr>
              <w:spacing w:after="0"/>
              <w:jc w:val="center"/>
            </w:pPr>
            <w:r>
              <w:rPr>
                <w:rFonts w:ascii="Times New Roman" w:hAnsi="Times New Roman"/>
                <w:b w:val="0"/>
                <w:color w:val="000000"/>
                <w:sz w:val="20"/>
              </w:rPr>
              <w:t>Table 4.2</w:t>
            </w:r>
          </w:p>
        </w:tc>
        <w:tc>
          <w:tcPr>
            <w:tcW w:type="dxa" w:w="100"/>
            <w:shd w:fill="E8E8E8"/>
            <w:tcMar>
              <w:top w:w="80" w:type="dxa"/>
              <w:bottom w:w="80" w:type="dxa"/>
              <w:left w:w="140" w:type="dxa"/>
              <w:right w:w="140" w:type="dxa"/>
            </w:tcMar>
          </w:tcPr>
          <w:p>
            <w:pPr>
              <w:spacing w:after="0"/>
              <w:jc w:val="left"/>
            </w:pPr>
            <w:r>
              <w:rPr>
                <w:rFonts w:ascii="Times New Roman" w:hAnsi="Times New Roman"/>
                <w:b w:val="0"/>
                <w:color w:val="000000"/>
                <w:sz w:val="20"/>
              </w:rPr>
              <w:t>Current Model Confusion Matrix Breakdown on Held-Out Test Cohort</w:t>
            </w:r>
          </w:p>
        </w:tc>
        <w:tc>
          <w:tcPr>
            <w:tcW w:type="dxa" w:w="100"/>
            <w:shd w:fill="E8E8E8"/>
            <w:tcMar>
              <w:top w:w="80" w:type="dxa"/>
              <w:bottom w:w="80" w:type="dxa"/>
              <w:left w:w="140" w:type="dxa"/>
              <w:right w:w="140" w:type="dxa"/>
            </w:tcMar>
          </w:tcPr>
          <w:p>
            <w:pPr>
              <w:spacing w:after="0"/>
              <w:jc w:val="center"/>
            </w:pPr>
            <w:r>
              <w:rPr>
                <w:rFonts w:ascii="Times New Roman" w:hAnsi="Times New Roman"/>
                <w:b w:val="0"/>
                <w:color w:val="000000"/>
                <w:sz w:val="20"/>
              </w:rPr>
              <w:t>11</w:t>
            </w:r>
          </w:p>
        </w:tc>
      </w:tr>
      <w:tr>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Table 4.3</w:t>
            </w:r>
          </w:p>
        </w:tc>
        <w:tc>
          <w:tcPr>
            <w:tcW w:type="dxa" w:w="100"/>
            <w:shd w:fill="FFFFFF"/>
            <w:tcMar>
              <w:top w:w="80" w:type="dxa"/>
              <w:bottom w:w="80" w:type="dxa"/>
              <w:left w:w="140" w:type="dxa"/>
              <w:right w:w="140" w:type="dxa"/>
            </w:tcMar>
          </w:tcPr>
          <w:p>
            <w:pPr>
              <w:spacing w:after="0"/>
              <w:jc w:val="left"/>
            </w:pPr>
            <w:r>
              <w:rPr>
                <w:rFonts w:ascii="Times New Roman" w:hAnsi="Times New Roman"/>
                <w:b w:val="0"/>
                <w:color w:val="000000"/>
                <w:sz w:val="20"/>
              </w:rPr>
              <w:t>Feature Modality Ablation Study Across Tiers</w:t>
            </w:r>
          </w:p>
        </w:tc>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12</w:t>
            </w:r>
          </w:p>
        </w:tc>
      </w:tr>
      <w:tr>
        <w:tc>
          <w:tcPr>
            <w:tcW w:type="dxa" w:w="100"/>
            <w:shd w:fill="E8E8E8"/>
            <w:tcMar>
              <w:top w:w="80" w:type="dxa"/>
              <w:bottom w:w="80" w:type="dxa"/>
              <w:left w:w="140" w:type="dxa"/>
              <w:right w:w="140" w:type="dxa"/>
            </w:tcMar>
          </w:tcPr>
          <w:p>
            <w:pPr>
              <w:spacing w:after="0"/>
              <w:jc w:val="center"/>
            </w:pPr>
            <w:r>
              <w:rPr>
                <w:rFonts w:ascii="Times New Roman" w:hAnsi="Times New Roman"/>
                <w:b w:val="0"/>
                <w:color w:val="000000"/>
                <w:sz w:val="20"/>
              </w:rPr>
              <w:t>Table 4.4</w:t>
            </w:r>
          </w:p>
        </w:tc>
        <w:tc>
          <w:tcPr>
            <w:tcW w:type="dxa" w:w="100"/>
            <w:shd w:fill="E8E8E8"/>
            <w:tcMar>
              <w:top w:w="80" w:type="dxa"/>
              <w:bottom w:w="80" w:type="dxa"/>
              <w:left w:w="140" w:type="dxa"/>
              <w:right w:w="140" w:type="dxa"/>
            </w:tcMar>
          </w:tcPr>
          <w:p>
            <w:pPr>
              <w:spacing w:after="0"/>
              <w:jc w:val="left"/>
            </w:pPr>
            <w:r>
              <w:rPr>
                <w:rFonts w:ascii="Times New Roman" w:hAnsi="Times New Roman"/>
                <w:b w:val="0"/>
                <w:color w:val="000000"/>
                <w:sz w:val="20"/>
              </w:rPr>
              <w:t>External Clinical Generalizability of Current Model</w:t>
            </w:r>
          </w:p>
        </w:tc>
        <w:tc>
          <w:tcPr>
            <w:tcW w:type="dxa" w:w="100"/>
            <w:shd w:fill="E8E8E8"/>
            <w:tcMar>
              <w:top w:w="80" w:type="dxa"/>
              <w:bottom w:w="80" w:type="dxa"/>
              <w:left w:w="140" w:type="dxa"/>
              <w:right w:w="140" w:type="dxa"/>
            </w:tcMar>
          </w:tcPr>
          <w:p>
            <w:pPr>
              <w:spacing w:after="0"/>
              <w:jc w:val="center"/>
            </w:pPr>
            <w:r>
              <w:rPr>
                <w:rFonts w:ascii="Times New Roman" w:hAnsi="Times New Roman"/>
                <w:b w:val="0"/>
                <w:color w:val="000000"/>
                <w:sz w:val="20"/>
              </w:rPr>
              <w:t>13</w:t>
            </w:r>
          </w:p>
        </w:tc>
      </w:tr>
    </w:tbl>
    <w:p>
      <w:r>
        <w:br w:type="page"/>
      </w:r>
    </w:p>
    <w:p>
      <w:pPr>
        <w:spacing w:after="300"/>
        <w:jc w:val="center"/>
      </w:pPr>
      <w:r>
        <w:rPr>
          <w:rFonts w:ascii="Times New Roman" w:cs="Times New Roman" w:eastAsia="Times New Roman" w:hAnsi="Times New Roman"/>
          <w:b/>
          <w:bCs/>
          <w:sz w:val="28"/>
          <w:szCs w:val="28"/>
        </w:rPr>
        <w:t xml:space="preserve">TABLE OF CONTENTS</w:t>
      </w:r>
    </w:p>
    <w:p>
      <w:pPr>
        <w:tabs>
          <w:tab w:val="right" w:pos="9072" w:leader="dot"/>
        </w:tabs>
        <w:spacing w:after="100"/>
      </w:pPr>
      <w:r>
        <w:rPr>
          <w:rFonts w:ascii="Times New Roman" w:cs="Times New Roman" w:eastAsia="Times New Roman" w:hAnsi="Times New Roman"/>
          <w:b/>
          <w:bCs/>
          <w:sz w:val="24"/>
          <w:szCs w:val="24"/>
        </w:rPr>
        <w:t xml:space="preserve">CHAPTER 1: INTRODUCTION</w:t>
      </w:r>
      <w:r>
        <w:rPr>
          <w:rFonts w:ascii="Times New Roman" w:cs="Times New Roman" w:eastAsia="Times New Roman" w:hAnsi="Times New Roman"/>
          <w:b/>
          <w:bCs/>
          <w:sz w:val="24"/>
          <w:szCs w:val="24"/>
        </w:rPr>
        <w:t xml:space="preserve">	1</w:t>
      </w:r>
    </w:p>
    <w:p>
      <w:pPr>
        <w:tabs>
          <w:tab w:val="right" w:pos="9072" w:leader="dot"/>
        </w:tabs>
        <w:spacing w:after="60"/>
        <w:ind w:left="576"/>
      </w:pPr>
      <w:r>
        <w:rPr>
          <w:rFonts w:ascii="Times New Roman" w:cs="Times New Roman" w:eastAsia="Times New Roman" w:hAnsi="Times New Roman"/>
          <w:b w:val="false"/>
          <w:bCs w:val="false"/>
          <w:sz w:val="22"/>
          <w:szCs w:val="22"/>
        </w:rPr>
        <w:t xml:space="preserve">1.1 Overview</w:t>
      </w:r>
      <w:r>
        <w:rPr>
          <w:rFonts w:ascii="Times New Roman" w:cs="Times New Roman" w:eastAsia="Times New Roman" w:hAnsi="Times New Roman"/>
          <w:b w:val="false"/>
          <w:bCs w:val="false"/>
          <w:sz w:val="22"/>
          <w:szCs w:val="22"/>
        </w:rPr>
        <w:t xml:space="preserve">	</w:t>
      </w:r>
    </w:p>
    <w:p>
      <w:pPr>
        <w:tabs>
          <w:tab w:val="right" w:pos="9072" w:leader="dot"/>
        </w:tabs>
        <w:spacing w:after="60"/>
        <w:ind w:left="576"/>
      </w:pPr>
      <w:r>
        <w:rPr>
          <w:rFonts w:ascii="Times New Roman" w:cs="Times New Roman" w:eastAsia="Times New Roman" w:hAnsi="Times New Roman"/>
          <w:b w:val="false"/>
          <w:bCs w:val="false"/>
          <w:sz w:val="22"/>
          <w:szCs w:val="22"/>
        </w:rPr>
        <w:t xml:space="preserve">1.2 Motivation</w:t>
      </w:r>
      <w:r>
        <w:rPr>
          <w:rFonts w:ascii="Times New Roman" w:cs="Times New Roman" w:eastAsia="Times New Roman" w:hAnsi="Times New Roman"/>
          <w:b w:val="false"/>
          <w:bCs w:val="false"/>
          <w:sz w:val="22"/>
          <w:szCs w:val="22"/>
        </w:rPr>
        <w:t xml:space="preserve">	</w:t>
      </w:r>
    </w:p>
    <w:p>
      <w:pPr>
        <w:tabs>
          <w:tab w:val="right" w:pos="9072" w:leader="dot"/>
        </w:tabs>
        <w:spacing w:after="160"/>
        <w:ind w:left="576"/>
      </w:pPr>
      <w:r>
        <w:rPr>
          <w:rFonts w:ascii="Times New Roman" w:cs="Times New Roman" w:eastAsia="Times New Roman" w:hAnsi="Times New Roman"/>
          <w:b w:val="false"/>
          <w:bCs w:val="false"/>
          <w:sz w:val="22"/>
          <w:szCs w:val="22"/>
        </w:rPr>
        <w:t xml:space="preserve">1.3 Objective</w:t>
      </w:r>
      <w:r>
        <w:rPr>
          <w:rFonts w:ascii="Times New Roman" w:cs="Times New Roman" w:eastAsia="Times New Roman" w:hAnsi="Times New Roman"/>
          <w:b w:val="false"/>
          <w:bCs w:val="false"/>
          <w:sz w:val="22"/>
          <w:szCs w:val="22"/>
        </w:rPr>
        <w:t xml:space="preserve">	</w:t>
      </w:r>
    </w:p>
    <w:p>
      <w:pPr>
        <w:tabs>
          <w:tab w:val="right" w:pos="9072" w:leader="dot"/>
        </w:tabs>
        <w:spacing w:after="100"/>
      </w:pPr>
      <w:r>
        <w:rPr>
          <w:rFonts w:ascii="Times New Roman" w:cs="Times New Roman" w:eastAsia="Times New Roman" w:hAnsi="Times New Roman"/>
          <w:b/>
          <w:bCs/>
          <w:sz w:val="24"/>
          <w:szCs w:val="24"/>
        </w:rPr>
        <w:t xml:space="preserve">CHAPTER 2: EXISTING WORK / LITERATURE REVIEW</w:t>
      </w:r>
      <w:r>
        <w:rPr>
          <w:rFonts w:ascii="Times New Roman" w:cs="Times New Roman" w:eastAsia="Times New Roman" w:hAnsi="Times New Roman"/>
          <w:b/>
          <w:bCs/>
          <w:sz w:val="24"/>
          <w:szCs w:val="24"/>
        </w:rPr>
        <w:t xml:space="preserve">	2</w:t>
      </w:r>
    </w:p>
    <w:p>
      <w:pPr>
        <w:tabs>
          <w:tab w:val="right" w:pos="9072" w:leader="dot"/>
        </w:tabs>
        <w:spacing w:after="60"/>
        <w:ind w:left="576"/>
      </w:pPr>
      <w:r>
        <w:rPr>
          <w:rFonts w:ascii="Times New Roman" w:cs="Times New Roman" w:eastAsia="Times New Roman" w:hAnsi="Times New Roman"/>
          <w:b w:val="false"/>
          <w:bCs w:val="false"/>
          <w:sz w:val="22"/>
          <w:szCs w:val="22"/>
        </w:rPr>
        <w:t xml:space="preserve">2.1 Wearable Sensor-Based Systems</w:t>
      </w:r>
      <w:r>
        <w:rPr>
          <w:rFonts w:ascii="Times New Roman" w:cs="Times New Roman" w:eastAsia="Times New Roman" w:hAnsi="Times New Roman"/>
          <w:b w:val="false"/>
          <w:bCs w:val="false"/>
          <w:sz w:val="22"/>
          <w:szCs w:val="22"/>
        </w:rPr>
        <w:t xml:space="preserve">	</w:t>
      </w:r>
    </w:p>
    <w:p>
      <w:pPr>
        <w:tabs>
          <w:tab w:val="right" w:pos="9072" w:leader="dot"/>
        </w:tabs>
        <w:spacing w:after="60"/>
        <w:ind w:left="576"/>
      </w:pPr>
      <w:r>
        <w:rPr>
          <w:rFonts w:ascii="Times New Roman" w:cs="Times New Roman" w:eastAsia="Times New Roman" w:hAnsi="Times New Roman"/>
          <w:b w:val="false"/>
          <w:bCs w:val="false"/>
          <w:sz w:val="22"/>
          <w:szCs w:val="22"/>
        </w:rPr>
        <w:t xml:space="preserve">2.2 Mobile Health (mHealth) Logging Applications</w:t>
      </w:r>
      <w:r>
        <w:rPr>
          <w:rFonts w:ascii="Times New Roman" w:cs="Times New Roman" w:eastAsia="Times New Roman" w:hAnsi="Times New Roman"/>
          <w:b w:val="false"/>
          <w:bCs w:val="false"/>
          <w:sz w:val="22"/>
          <w:szCs w:val="22"/>
        </w:rPr>
        <w:t xml:space="preserve">	</w:t>
      </w:r>
    </w:p>
    <w:p>
      <w:pPr>
        <w:tabs>
          <w:tab w:val="right" w:pos="9072" w:leader="dot"/>
        </w:tabs>
        <w:spacing w:after="60"/>
        <w:ind w:left="576"/>
      </w:pPr>
      <w:r>
        <w:rPr>
          <w:rFonts w:ascii="Times New Roman" w:cs="Times New Roman" w:eastAsia="Times New Roman" w:hAnsi="Times New Roman"/>
          <w:b w:val="false"/>
          <w:bCs w:val="false"/>
          <w:sz w:val="22"/>
          <w:szCs w:val="22"/>
        </w:rPr>
        <w:t xml:space="preserve">2.3 Machine Learning Predictive Frameworks</w:t>
      </w:r>
      <w:r>
        <w:rPr>
          <w:rFonts w:ascii="Times New Roman" w:cs="Times New Roman" w:eastAsia="Times New Roman" w:hAnsi="Times New Roman"/>
          <w:b w:val="false"/>
          <w:bCs w:val="false"/>
          <w:sz w:val="22"/>
          <w:szCs w:val="22"/>
        </w:rPr>
        <w:t xml:space="preserve">	</w:t>
      </w:r>
    </w:p>
    <w:p>
      <w:pPr>
        <w:tabs>
          <w:tab w:val="right" w:pos="9072" w:leader="dot"/>
        </w:tabs>
        <w:spacing w:after="160"/>
        <w:ind w:left="576"/>
      </w:pPr>
      <w:r>
        <w:rPr>
          <w:rFonts w:ascii="Times New Roman" w:cs="Times New Roman" w:eastAsia="Times New Roman" w:hAnsi="Times New Roman"/>
          <w:b w:val="false"/>
          <w:bCs w:val="false"/>
          <w:sz w:val="22"/>
          <w:szCs w:val="22"/>
        </w:rPr>
        <w:t xml:space="preserve">2.4 Summary</w:t>
      </w:r>
      <w:r>
        <w:rPr>
          <w:rFonts w:ascii="Times New Roman" w:cs="Times New Roman" w:eastAsia="Times New Roman" w:hAnsi="Times New Roman"/>
          <w:b w:val="false"/>
          <w:bCs w:val="false"/>
          <w:sz w:val="22"/>
          <w:szCs w:val="22"/>
        </w:rPr>
        <w:t xml:space="preserve">	</w:t>
      </w:r>
    </w:p>
    <w:p>
      <w:pPr>
        <w:tabs>
          <w:tab w:val="right" w:pos="9072" w:leader="dot"/>
        </w:tabs>
        <w:spacing w:after="100"/>
      </w:pPr>
      <w:r>
        <w:rPr>
          <w:rFonts w:ascii="Times New Roman" w:cs="Times New Roman" w:eastAsia="Times New Roman" w:hAnsi="Times New Roman"/>
          <w:b/>
          <w:bCs/>
          <w:sz w:val="24"/>
          <w:szCs w:val="24"/>
        </w:rPr>
        <w:t xml:space="preserve">CHAPTER 3: FRONT END, BACKEND AND SYSTEM REQUIREMENTS</w:t>
      </w:r>
      <w:r>
        <w:rPr>
          <w:rFonts w:ascii="Times New Roman" w:cs="Times New Roman" w:eastAsia="Times New Roman" w:hAnsi="Times New Roman"/>
          <w:b/>
          <w:bCs/>
          <w:sz w:val="24"/>
          <w:szCs w:val="24"/>
        </w:rPr>
        <w:t xml:space="preserve">	5</w:t>
      </w:r>
    </w:p>
    <w:p>
      <w:pPr>
        <w:tabs>
          <w:tab w:val="right" w:pos="9072" w:leader="dot"/>
        </w:tabs>
        <w:spacing w:after="60"/>
        <w:ind w:left="576"/>
      </w:pPr>
      <w:r>
        <w:rPr>
          <w:rFonts w:ascii="Times New Roman" w:cs="Times New Roman" w:eastAsia="Times New Roman" w:hAnsi="Times New Roman"/>
          <w:b w:val="false"/>
          <w:bCs w:val="false"/>
          <w:sz w:val="22"/>
          <w:szCs w:val="22"/>
        </w:rPr>
        <w:t xml:space="preserve">3.1 Frontend Requirements</w:t>
      </w:r>
      <w:r>
        <w:rPr>
          <w:rFonts w:ascii="Times New Roman" w:cs="Times New Roman" w:eastAsia="Times New Roman" w:hAnsi="Times New Roman"/>
          <w:b w:val="false"/>
          <w:bCs w:val="false"/>
          <w:sz w:val="22"/>
          <w:szCs w:val="22"/>
        </w:rPr>
        <w:t xml:space="preserve">	</w:t>
      </w:r>
    </w:p>
    <w:p>
      <w:pPr>
        <w:tabs>
          <w:tab w:val="right" w:pos="9072" w:leader="dot"/>
        </w:tabs>
        <w:spacing w:after="60"/>
        <w:ind w:left="576"/>
      </w:pPr>
      <w:r>
        <w:rPr>
          <w:rFonts w:ascii="Times New Roman" w:cs="Times New Roman" w:eastAsia="Times New Roman" w:hAnsi="Times New Roman"/>
          <w:b w:val="false"/>
          <w:bCs w:val="false"/>
          <w:sz w:val="22"/>
          <w:szCs w:val="22"/>
        </w:rPr>
        <w:t xml:space="preserve">3.2 Backend Requirements</w:t>
      </w:r>
      <w:r>
        <w:rPr>
          <w:rFonts w:ascii="Times New Roman" w:cs="Times New Roman" w:eastAsia="Times New Roman" w:hAnsi="Times New Roman"/>
          <w:b w:val="false"/>
          <w:bCs w:val="false"/>
          <w:sz w:val="22"/>
          <w:szCs w:val="22"/>
        </w:rPr>
        <w:t xml:space="preserve">	</w:t>
      </w:r>
    </w:p>
    <w:p>
      <w:pPr>
        <w:tabs>
          <w:tab w:val="right" w:pos="9072" w:leader="dot"/>
        </w:tabs>
        <w:spacing w:after="60"/>
        <w:ind w:left="576"/>
      </w:pPr>
      <w:r>
        <w:rPr>
          <w:rFonts w:ascii="Times New Roman" w:cs="Times New Roman" w:eastAsia="Times New Roman" w:hAnsi="Times New Roman"/>
          <w:b w:val="false"/>
          <w:bCs w:val="false"/>
          <w:sz w:val="22"/>
          <w:szCs w:val="22"/>
        </w:rPr>
        <w:t xml:space="preserve">3.3 Machine Learning Inference Stack (Decision Tree &amp; XGBoost)</w:t>
      </w:r>
      <w:r>
        <w:rPr>
          <w:rFonts w:ascii="Times New Roman" w:cs="Times New Roman" w:eastAsia="Times New Roman" w:hAnsi="Times New Roman"/>
          <w:b w:val="false"/>
          <w:bCs w:val="false"/>
          <w:sz w:val="22"/>
          <w:szCs w:val="22"/>
        </w:rPr>
        <w:t xml:space="preserve">	</w:t>
      </w:r>
    </w:p>
    <w:p>
      <w:pPr>
        <w:tabs>
          <w:tab w:val="right" w:pos="9072" w:leader="dot"/>
        </w:tabs>
        <w:spacing w:after="60"/>
        <w:ind w:left="576"/>
      </w:pPr>
      <w:r>
        <w:rPr>
          <w:rFonts w:ascii="Times New Roman" w:cs="Times New Roman" w:eastAsia="Times New Roman" w:hAnsi="Times New Roman"/>
          <w:b w:val="false"/>
          <w:bCs w:val="false"/>
          <w:sz w:val="22"/>
          <w:szCs w:val="22"/>
        </w:rPr>
        <w:t xml:space="preserve">3.4 Hardware and Software System Specifications</w:t>
      </w:r>
      <w:r>
        <w:rPr>
          <w:rFonts w:ascii="Times New Roman" w:cs="Times New Roman" w:eastAsia="Times New Roman" w:hAnsi="Times New Roman"/>
          <w:b w:val="false"/>
          <w:bCs w:val="false"/>
          <w:sz w:val="22"/>
          <w:szCs w:val="22"/>
        </w:rPr>
        <w:t xml:space="preserve">	</w:t>
      </w:r>
    </w:p>
    <w:p>
      <w:pPr>
        <w:tabs>
          <w:tab w:val="right" w:pos="9072" w:leader="dot"/>
        </w:tabs>
        <w:spacing w:after="60"/>
        <w:ind w:left="576"/>
      </w:pPr>
      <w:r>
        <w:rPr>
          <w:rFonts w:ascii="Times New Roman" w:cs="Times New Roman" w:eastAsia="Times New Roman" w:hAnsi="Times New Roman"/>
          <w:b w:val="false"/>
          <w:bCs w:val="false"/>
          <w:sz w:val="22"/>
          <w:szCs w:val="22"/>
        </w:rPr>
        <w:t xml:space="preserve">3.5 Specific Project Requirements</w:t>
      </w:r>
      <w:r>
        <w:rPr>
          <w:rFonts w:ascii="Times New Roman" w:cs="Times New Roman" w:eastAsia="Times New Roman" w:hAnsi="Times New Roman"/>
          <w:b w:val="false"/>
          <w:bCs w:val="false"/>
          <w:sz w:val="22"/>
          <w:szCs w:val="22"/>
        </w:rPr>
        <w:t xml:space="preserve">	</w:t>
      </w:r>
    </w:p>
    <w:p>
      <w:pPr>
        <w:tabs>
          <w:tab w:val="right" w:pos="9072" w:leader="dot"/>
        </w:tabs>
        <w:spacing w:after="160"/>
        <w:ind w:left="576"/>
      </w:pPr>
      <w:r>
        <w:rPr>
          <w:rFonts w:ascii="Times New Roman" w:cs="Times New Roman" w:eastAsia="Times New Roman" w:hAnsi="Times New Roman"/>
          <w:b w:val="false"/>
          <w:bCs w:val="false"/>
          <w:sz w:val="22"/>
          <w:szCs w:val="22"/>
        </w:rPr>
        <w:t xml:space="preserve">3.6 Specific Domain Requirements</w:t>
      </w:r>
      <w:r>
        <w:rPr>
          <w:rFonts w:ascii="Times New Roman" w:cs="Times New Roman" w:eastAsia="Times New Roman" w:hAnsi="Times New Roman"/>
          <w:b w:val="false"/>
          <w:bCs w:val="false"/>
          <w:sz w:val="22"/>
          <w:szCs w:val="22"/>
        </w:rPr>
        <w:t xml:space="preserve">	</w:t>
      </w:r>
    </w:p>
    <w:p>
      <w:pPr>
        <w:tabs>
          <w:tab w:val="right" w:pos="9072" w:leader="dot"/>
        </w:tabs>
        <w:spacing w:after="100"/>
      </w:pPr>
      <w:r>
        <w:rPr>
          <w:rFonts w:ascii="Times New Roman" w:cs="Times New Roman" w:eastAsia="Times New Roman" w:hAnsi="Times New Roman"/>
          <w:b/>
          <w:bCs/>
          <w:sz w:val="24"/>
          <w:szCs w:val="24"/>
        </w:rPr>
        <w:t xml:space="preserve">CHAPTER 4: METHODOLOGY</w:t>
      </w:r>
      <w:r>
        <w:rPr>
          <w:rFonts w:ascii="Times New Roman" w:cs="Times New Roman" w:eastAsia="Times New Roman" w:hAnsi="Times New Roman"/>
          <w:b/>
          <w:bCs/>
          <w:sz w:val="24"/>
          <w:szCs w:val="24"/>
        </w:rPr>
        <w:t xml:space="preserve">	9</w:t>
      </w:r>
    </w:p>
    <w:p>
      <w:pPr>
        <w:tabs>
          <w:tab w:val="right" w:pos="9072" w:leader="dot"/>
        </w:tabs>
        <w:spacing w:after="60"/>
        <w:ind w:left="576"/>
      </w:pPr>
      <w:r>
        <w:rPr>
          <w:rFonts w:ascii="Times New Roman" w:cs="Times New Roman" w:eastAsia="Times New Roman" w:hAnsi="Times New Roman"/>
          <w:b w:val="false"/>
          <w:bCs w:val="false"/>
          <w:sz w:val="22"/>
          <w:szCs w:val="22"/>
        </w:rPr>
        <w:t xml:space="preserve">4.1 System Design / Architecture</w:t>
      </w:r>
      <w:r>
        <w:rPr>
          <w:rFonts w:ascii="Times New Roman" w:cs="Times New Roman" w:eastAsia="Times New Roman" w:hAnsi="Times New Roman"/>
          <w:b w:val="false"/>
          <w:bCs w:val="false"/>
          <w:sz w:val="22"/>
          <w:szCs w:val="22"/>
        </w:rPr>
        <w:t xml:space="preserve">	</w:t>
      </w:r>
    </w:p>
    <w:p>
      <w:pPr>
        <w:tabs>
          <w:tab w:val="right" w:pos="9072" w:leader="dot"/>
        </w:tabs>
        <w:spacing w:after="60"/>
        <w:ind w:left="576"/>
      </w:pPr>
      <w:r>
        <w:rPr>
          <w:rFonts w:ascii="Times New Roman" w:cs="Times New Roman" w:eastAsia="Times New Roman" w:hAnsi="Times New Roman"/>
          <w:b w:val="false"/>
          <w:bCs w:val="false"/>
          <w:sz w:val="22"/>
          <w:szCs w:val="22"/>
        </w:rPr>
        <w:t xml:space="preserve">4.2 Working Principle</w:t>
      </w:r>
      <w:r>
        <w:rPr>
          <w:rFonts w:ascii="Times New Roman" w:cs="Times New Roman" w:eastAsia="Times New Roman" w:hAnsi="Times New Roman"/>
          <w:b w:val="false"/>
          <w:bCs w:val="false"/>
          <w:sz w:val="22"/>
          <w:szCs w:val="22"/>
        </w:rPr>
        <w:t xml:space="preserve">	</w:t>
      </w:r>
    </w:p>
    <w:p>
      <w:pPr>
        <w:tabs>
          <w:tab w:val="right" w:pos="9072" w:leader="dot"/>
        </w:tabs>
        <w:spacing w:after="60"/>
        <w:ind w:left="576"/>
      </w:pPr>
      <w:r>
        <w:rPr>
          <w:rFonts w:ascii="Times New Roman" w:cs="Times New Roman" w:eastAsia="Times New Roman" w:hAnsi="Times New Roman"/>
          <w:b w:val="false"/>
          <w:bCs w:val="false"/>
          <w:sz w:val="22"/>
          <w:szCs w:val="22"/>
        </w:rPr>
        <w:t xml:space="preserve">4.3 Results and Discussion</w:t>
      </w:r>
      <w:r>
        <w:rPr>
          <w:rFonts w:ascii="Times New Roman" w:cs="Times New Roman" w:eastAsia="Times New Roman" w:hAnsi="Times New Roman"/>
          <w:b w:val="false"/>
          <w:bCs w:val="false"/>
          <w:sz w:val="22"/>
          <w:szCs w:val="22"/>
        </w:rPr>
        <w:t xml:space="preserve">	</w:t>
      </w:r>
    </w:p>
    <w:p>
      <w:pPr>
        <w:tabs>
          <w:tab w:val="right" w:pos="9072" w:leader="dot"/>
        </w:tabs>
        <w:spacing w:after="160"/>
        <w:ind w:left="576"/>
      </w:pPr>
      <w:r>
        <w:rPr>
          <w:rFonts w:ascii="Times New Roman" w:cs="Times New Roman" w:eastAsia="Times New Roman" w:hAnsi="Times New Roman"/>
          <w:b w:val="false"/>
          <w:bCs w:val="false"/>
          <w:sz w:val="22"/>
          <w:szCs w:val="22"/>
        </w:rPr>
        <w:t xml:space="preserve">4.4 Individual Contribution by Team Members</w:t>
      </w:r>
      <w:r>
        <w:rPr>
          <w:rFonts w:ascii="Times New Roman" w:cs="Times New Roman" w:eastAsia="Times New Roman" w:hAnsi="Times New Roman"/>
          <w:b w:val="false"/>
          <w:bCs w:val="false"/>
          <w:sz w:val="22"/>
          <w:szCs w:val="22"/>
        </w:rPr>
        <w:t xml:space="preserve">	</w:t>
      </w:r>
    </w:p>
    <w:p>
      <w:pPr>
        <w:tabs>
          <w:tab w:val="right" w:pos="9072" w:leader="dot"/>
        </w:tabs>
        <w:spacing w:after="160"/>
      </w:pPr>
      <w:r>
        <w:rPr>
          <w:rFonts w:ascii="Times New Roman" w:cs="Times New Roman" w:eastAsia="Times New Roman" w:hAnsi="Times New Roman"/>
          <w:b/>
          <w:bCs/>
          <w:sz w:val="24"/>
          <w:szCs w:val="24"/>
        </w:rPr>
        <w:t xml:space="preserve">CHAPTER 5: CONCLUSION</w:t>
      </w:r>
      <w:r>
        <w:rPr>
          <w:rFonts w:ascii="Times New Roman" w:cs="Times New Roman" w:eastAsia="Times New Roman" w:hAnsi="Times New Roman"/>
          <w:b/>
          <w:bCs/>
          <w:sz w:val="24"/>
          <w:szCs w:val="24"/>
        </w:rPr>
        <w:t xml:space="preserve">	13</w:t>
      </w:r>
    </w:p>
    <w:p>
      <w:pPr>
        <w:tabs>
          <w:tab w:val="right" w:pos="9072" w:leader="dot"/>
        </w:tabs>
        <w:spacing w:after="100"/>
      </w:pPr>
      <w:r>
        <w:rPr>
          <w:rFonts w:ascii="Times New Roman" w:cs="Times New Roman" w:eastAsia="Times New Roman" w:hAnsi="Times New Roman"/>
          <w:b/>
          <w:bCs/>
          <w:sz w:val="24"/>
          <w:szCs w:val="24"/>
        </w:rPr>
        <w:t xml:space="preserve">REFERENCES AND PUBLICATIONS</w:t>
      </w:r>
      <w:r>
        <w:rPr>
          <w:rFonts w:ascii="Times New Roman" w:cs="Times New Roman" w:eastAsia="Times New Roman" w:hAnsi="Times New Roman"/>
          <w:b/>
          <w:bCs/>
          <w:sz w:val="24"/>
          <w:szCs w:val="24"/>
        </w:rPr>
        <w:t xml:space="preserve">	14</w:t>
      </w:r>
    </w:p>
    <w:p>
      <w:pPr>
        <w:sectPr>
          <w:footerReference w:type="default" r:id="rId7"/>
          <w:pgSz w:w="12240" w:h="15840" w:orient="portrait"/>
          <w:pgMar w:top="1440" w:right="1440" w:bottom="1440" w:left="1440" w:header="708" w:footer="708" w:gutter="0"/>
          <w:pgNumType/>
          <w:docGrid w:linePitch="360"/>
        </w:sectPr>
      </w:pPr>
    </w:p>
    <w:p>
      <w:pPr>
        <w:pStyle w:val="Heading1"/>
        <w:spacing w:after="0" w:before="200"/>
      </w:pPr>
      <w:r>
        <w:rPr>
          <w:rFonts w:ascii="Times New Roman" w:cs="Times New Roman" w:eastAsia="Times New Roman" w:hAnsi="Times New Roman"/>
          <w:b/>
          <w:bCs/>
          <w:sz w:val="32"/>
          <w:szCs w:val="32"/>
        </w:rPr>
        <w:t xml:space="preserve">CHAPTER 1</w:t>
      </w:r>
    </w:p>
    <w:p>
      <w:pPr>
        <w:pStyle w:val="Heading1"/>
        <w:pBdr>
          <w:bottom w:val="single" w:color="808080" w:sz="6" w:space="4"/>
        </w:pBdr>
        <w:spacing w:after="200"/>
      </w:pPr>
      <w:r>
        <w:rPr>
          <w:rFonts w:ascii="Times New Roman" w:cs="Times New Roman" w:eastAsia="Times New Roman" w:hAnsi="Times New Roman"/>
          <w:b/>
          <w:bCs/>
          <w:sz w:val="32"/>
          <w:szCs w:val="32"/>
        </w:rPr>
        <w:t xml:space="preserve">INTRODUCTION</w:t>
      </w:r>
    </w:p>
    <w:p>
      <w:pPr>
        <w:pStyle w:val="Heading2"/>
        <w:spacing w:after="120" w:before="240"/>
      </w:pPr>
      <w:r>
        <w:rPr>
          <w:rFonts w:ascii="Times New Roman" w:cs="Times New Roman" w:eastAsia="Times New Roman" w:hAnsi="Times New Roman"/>
          <w:b/>
          <w:bCs/>
          <w:sz w:val="26"/>
          <w:szCs w:val="26"/>
        </w:rPr>
        <w:t xml:space="preserve">1.1 Overview</w:t>
      </w:r>
    </w:p>
    <w:p>
      <w:pPr>
        <w:spacing w:after="160" w:line="300"/>
        <w:ind w:firstLine="576"/>
        <w:jc w:val="both"/>
      </w:pPr>
      <w:r>
        <w:rPr>
          <w:rFonts w:ascii="Times New Roman" w:cs="Times New Roman" w:eastAsia="Times New Roman" w:hAnsi="Times New Roman"/>
          <w:sz w:val="24"/>
          <w:szCs w:val="24"/>
        </w:rPr>
        <w:t xml:space="preserve">Asthma is a persistent chronic respiratory condition characterized by airway hyperresponsiveness, inflammation, and obstruction. Common exacerbation triggers include airborne particulates (PM2.5), toxic gases (SO₂, NO₂, CO₂), and fluctuating weather conditions (temperature, humidity). In expanding urban centers, elevated pollution levels heighten the risk of severe acute attacks.</w:t>
      </w:r>
    </w:p>
    <w:p>
      <w:pPr>
        <w:spacing w:after="160" w:line="300"/>
        <w:ind w:firstLine="576"/>
        <w:jc w:val="both"/>
      </w:pPr>
      <w:r>
        <w:rPr>
          <w:rFonts w:ascii="Times New Roman" w:cs="Times New Roman" w:eastAsia="Times New Roman" w:hAnsi="Times New Roman"/>
          <w:sz w:val="24"/>
          <w:szCs w:val="24"/>
        </w:rPr>
        <w:t xml:space="preserve">HridyaVayu is an integrated health management solution that transitions asthma care from reactive management to real-time predictive prevention. By capturing environmental data corresponding to the user's live coordinates and pairing it with individualized symptom responses via structured questionnaires, the platform evaluates risk through a machine learning model to provide timely alerts.</w:t>
      </w:r>
    </w:p>
    <w:p>
      <w:pPr>
        <w:pBdr>
          <w:bottom w:val="single" w:color="BFBFBF" w:sz="4" w:space="2"/>
        </w:pBdr>
        <w:spacing w:after="200" w:before="100"/>
      </w:pPr>
    </w:p>
    <w:p>
      <w:pPr>
        <w:pStyle w:val="Heading2"/>
        <w:spacing w:after="120" w:before="240"/>
      </w:pPr>
      <w:r>
        <w:rPr>
          <w:rFonts w:ascii="Times New Roman" w:cs="Times New Roman" w:eastAsia="Times New Roman" w:hAnsi="Times New Roman"/>
          <w:b/>
          <w:bCs/>
          <w:sz w:val="26"/>
          <w:szCs w:val="26"/>
        </w:rPr>
        <w:t xml:space="preserve">1.2 Motivation</w:t>
      </w:r>
    </w:p>
    <w:p>
      <w:pPr>
        <w:spacing w:after="160" w:line="300"/>
        <w:ind w:firstLine="576"/>
        <w:jc w:val="both"/>
      </w:pPr>
      <w:r>
        <w:rPr>
          <w:rFonts w:ascii="Times New Roman" w:cs="Times New Roman" w:eastAsia="Times New Roman" w:hAnsi="Times New Roman"/>
          <w:sz w:val="24"/>
          <w:szCs w:val="24"/>
        </w:rPr>
        <w:t xml:space="preserve">Standard clinical asthma management relies on rescue inhalers and patient vigilance after the onset of symptoms. However, patients often encounter invisible environmental hazards without warning. The lack of personalized, context-aware digital systems capable of estimating impending risk creates a significant safety gap. HridyaVayu bridges this divide by combining live weather/AQI APIs, web technologies, and neural network inference to offer predictive health insights.</w:t>
      </w:r>
    </w:p>
    <w:p>
      <w:pPr>
        <w:pBdr>
          <w:bottom w:val="single" w:color="BFBFBF" w:sz="4" w:space="2"/>
        </w:pBdr>
        <w:spacing w:after="200" w:before="100"/>
      </w:pPr>
    </w:p>
    <w:p>
      <w:pPr>
        <w:pStyle w:val="Heading2"/>
        <w:spacing w:after="120" w:before="240"/>
      </w:pPr>
      <w:r>
        <w:rPr>
          <w:rFonts w:ascii="Times New Roman" w:cs="Times New Roman" w:eastAsia="Times New Roman" w:hAnsi="Times New Roman"/>
          <w:b/>
          <w:bCs/>
          <w:sz w:val="26"/>
          <w:szCs w:val="26"/>
        </w:rPr>
        <w:t xml:space="preserve">1.3 Objective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Develop a responsive web dashboard for patient profile and health metric management.</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Collect real-time environmental parameters (AQI, PM2.5, SO₂, NO₂, CO₂, temperature, humidity) using geolocation-targeted APIs.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Capture individual clinical triggers through a structured symptom questionnaire.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Deploy a trained machine learning model to output continuous risk scores (0.0 to 1.0), triggering warnings when risk ≥ 0.6.</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Deliver actionable notifications and symptom history through an intuitive user dashboard.</w:t>
      </w:r>
    </w:p>
    <w:p>
      <w:r>
        <w:br w:type="page"/>
      </w:r>
    </w:p>
    <w:p>
      <w:pPr>
        <w:pStyle w:val="Heading1"/>
        <w:spacing w:after="0" w:before="200"/>
      </w:pPr>
      <w:r>
        <w:rPr>
          <w:rFonts w:ascii="Times New Roman" w:cs="Times New Roman" w:eastAsia="Times New Roman" w:hAnsi="Times New Roman"/>
          <w:b/>
          <w:bCs/>
          <w:sz w:val="32"/>
          <w:szCs w:val="32"/>
        </w:rPr>
        <w:t xml:space="preserve">CHAPTER 2</w:t>
      </w:r>
    </w:p>
    <w:p>
      <w:pPr>
        <w:pStyle w:val="Heading1"/>
        <w:pBdr>
          <w:bottom w:val="single" w:color="808080" w:sz="6" w:space="4"/>
        </w:pBdr>
        <w:spacing w:after="200"/>
      </w:pPr>
      <w:r>
        <w:rPr>
          <w:rFonts w:ascii="Times New Roman" w:cs="Times New Roman" w:eastAsia="Times New Roman" w:hAnsi="Times New Roman"/>
          <w:b/>
          <w:bCs/>
          <w:sz w:val="32"/>
          <w:szCs w:val="32"/>
        </w:rPr>
        <w:t xml:space="preserve">EXISTING WORK / LITERATURE REVIEW</w:t>
      </w:r>
    </w:p>
    <w:p>
      <w:pPr>
        <w:spacing w:after="160" w:line="300"/>
        <w:ind w:firstLine="576"/>
        <w:jc w:val="both"/>
      </w:pPr>
      <w:r>
        <w:rPr>
          <w:rFonts w:ascii="Times New Roman" w:cs="Times New Roman" w:eastAsia="Times New Roman" w:hAnsi="Times New Roman"/>
          <w:sz w:val="24"/>
          <w:szCs w:val="24"/>
        </w:rPr>
        <w:t xml:space="preserve">Asthma is a chronic respiratory condition that impacts millions worldwide, requiring constant vigilance, trigger awareness, and prompt clinical intervention. Over recent years, various technological paradigms have been introduced to assist in disease tracking and risk assessment. Existing digital health interventions primarily fall into three distinct categories: wearable sensor systems, mobile health (mHealth) tracking applications, and machine learning predictive frameworks.</w:t>
      </w:r>
    </w:p>
    <w:p>
      <w:pPr>
        <w:pStyle w:val="Heading2"/>
        <w:spacing w:after="120" w:before="240"/>
      </w:pPr>
      <w:r>
        <w:rPr>
          <w:rFonts w:ascii="Times New Roman" w:cs="Times New Roman" w:eastAsia="Times New Roman" w:hAnsi="Times New Roman"/>
          <w:b/>
          <w:bCs/>
          <w:sz w:val="26"/>
          <w:szCs w:val="26"/>
        </w:rPr>
        <w:t xml:space="preserve">2.1 Wearable Sensor-Based Systems</w:t>
      </w:r>
    </w:p>
    <w:p>
      <w:pPr>
        <w:spacing w:after="160" w:line="300"/>
        <w:ind w:firstLine="576"/>
        <w:jc w:val="both"/>
      </w:pPr>
      <w:r>
        <w:rPr>
          <w:rFonts w:ascii="Times New Roman" w:cs="Times New Roman" w:eastAsia="Times New Roman" w:hAnsi="Times New Roman"/>
          <w:sz w:val="24"/>
          <w:szCs w:val="24"/>
        </w:rPr>
        <w:t xml:space="preserve">Wearable technologies utilize body-worn sensors, smart textiles, or Bluetooth-enabled add-on devices attached to rescue and maintenance inhalers. These systems track physiological indicators such as respiratory rate, acoustic wheezing patterns, oxygen saturation (SpO₂), and heart rate variability.</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Key Strengths: Continuous, automated tracking of objective physiological indicators and real-time biometric anomaly detection.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Critical Limitations: High per-unit hardware design and manufacturing costs; heavy reliance on patient compliance for daily device wear and routine charging; absence of real-time environmental context and ambient air pollutant integration.</w:t>
      </w:r>
    </w:p>
    <w:p>
      <w:pPr>
        <w:pBdr>
          <w:bottom w:val="single" w:color="BFBFBF" w:sz="4" w:space="2"/>
        </w:pBdr>
        <w:spacing w:after="200" w:before="100"/>
      </w:pPr>
    </w:p>
    <w:p>
      <w:pPr>
        <w:pStyle w:val="Heading2"/>
        <w:spacing w:after="120" w:before="240"/>
      </w:pPr>
      <w:r>
        <w:rPr>
          <w:rFonts w:ascii="Times New Roman" w:cs="Times New Roman" w:eastAsia="Times New Roman" w:hAnsi="Times New Roman"/>
          <w:b/>
          <w:bCs/>
          <w:sz w:val="26"/>
          <w:szCs w:val="26"/>
        </w:rPr>
        <w:t xml:space="preserve">2.2 Mobile Health (mHealth) Logging Applications</w:t>
      </w:r>
    </w:p>
    <w:p>
      <w:pPr>
        <w:spacing w:after="160" w:line="300"/>
        <w:ind w:firstLine="576"/>
        <w:jc w:val="both"/>
      </w:pPr>
      <w:r>
        <w:rPr>
          <w:rFonts w:ascii="Times New Roman" w:cs="Times New Roman" w:eastAsia="Times New Roman" w:hAnsi="Times New Roman"/>
          <w:sz w:val="24"/>
          <w:szCs w:val="24"/>
        </w:rPr>
        <w:t xml:space="preserve">Mobile applications (such as AsthmaMD and Propeller Health) provide digital logs for patients to manually record asthma symptoms, peak expiratory flow (PEF) readings, medication usage, and perceived environmental triggers. Many of these tools leverage smartphone GPS to map user-reported attack locations.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Key Strengths: High accessibility via consumer smartphones, direct user-centric design, and historical longitudinal logging of medication adherence.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Critical Limitations: Heavy dependency on consistent manual user input, which often leads to irregular data entry; lack of automated predictive machine learning algorithms to forecast attacks prior to symptom onset; inadequate integration with hyper-local, real-time atmospheric pollutant feeds.</w:t>
      </w:r>
    </w:p>
    <w:p>
      <w:pPr>
        <w:pBdr>
          <w:bottom w:val="single" w:color="BFBFBF" w:sz="4" w:space="2"/>
        </w:pBdr>
        <w:spacing w:after="200" w:before="100"/>
      </w:pPr>
    </w:p>
    <w:p>
      <w:pPr>
        <w:pStyle w:val="Heading2"/>
        <w:spacing w:after="120" w:before="240"/>
      </w:pPr>
      <w:r>
        <w:rPr>
          <w:rFonts w:ascii="Times New Roman" w:cs="Times New Roman" w:eastAsia="Times New Roman" w:hAnsi="Times New Roman"/>
          <w:b/>
          <w:bCs/>
          <w:sz w:val="26"/>
          <w:szCs w:val="26"/>
        </w:rPr>
        <w:t xml:space="preserve">2.3 Machine Learning Predictive Frameworks</w:t>
      </w:r>
    </w:p>
    <w:p>
      <w:pPr>
        <w:spacing w:after="160" w:line="300"/>
        <w:ind w:firstLine="576"/>
        <w:jc w:val="both"/>
      </w:pPr>
      <w:r>
        <w:rPr>
          <w:rFonts w:ascii="Times New Roman" w:cs="Times New Roman" w:eastAsia="Times New Roman" w:hAnsi="Times New Roman"/>
          <w:sz w:val="24"/>
          <w:szCs w:val="24"/>
        </w:rPr>
        <w:t xml:space="preserve">In modern predictive healthcare, machine learning algorithms are utilized to map environmental exposures and clinical history to quantitative risk scores. In this investigation, modeling approaches are categorized into baseline linear estimation and advanced non-linear ensemble methods.</w:t>
      </w:r>
    </w:p>
    <w:p>
      <w:pPr>
        <w:pStyle w:val="Heading3"/>
        <w:spacing w:after="100" w:before="160"/>
      </w:pPr>
      <w:r>
        <w:rPr>
          <w:rFonts w:ascii="Times New Roman" w:cs="Times New Roman" w:eastAsia="Times New Roman" w:hAnsi="Times New Roman"/>
          <w:b/>
          <w:bCs/>
          <w:sz w:val="24"/>
          <w:szCs w:val="24"/>
        </w:rPr>
        <w:t xml:space="preserve">2.3.1 Baseline Model: Multiple Linear Regression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Principle &amp; Strengths: Multiple Linear Regression serves as the fundamental empirical baseline. It assumes a linear relationship between input predictors (such as AQI and survey scores) and the target asthma risk value. It provides high computational simplicity, fast training times, and directly interpretable linear feature coefficients.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Limitations in Existing Literature: Linear models struggle to capture non-linear interactions, polynomial thresholds, and complex multi-pollutant compounding effects commonly present in real-world atmospheric and clinical data.</w:t>
      </w:r>
    </w:p>
    <w:p>
      <w:pPr>
        <w:pStyle w:val="Heading3"/>
        <w:spacing w:after="100" w:before="160"/>
      </w:pPr>
      <w:r>
        <w:rPr>
          <w:rFonts w:ascii="Times New Roman" w:cs="Times New Roman" w:eastAsia="Times New Roman" w:hAnsi="Times New Roman"/>
          <w:b/>
          <w:bCs/>
          <w:sz w:val="24"/>
          <w:szCs w:val="24"/>
        </w:rPr>
        <w:t xml:space="preserve">2.3.2 Random Forest Regressor / Classifier</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Principle &amp; Strengths: Operates as a bagging ensemble of multiple decorrelated decision trees built on bootstrap data samples. By aggregating predictions across individual estimators, Random Forest reduces variance, resists overfitting on noisy environmental signals, and provides feature importance rankings to identify leading triggers like particulate matter and humidity.</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Limitations in Existing Literature: While effective on structured medical datasets, Random Forest implementations frequently remain offline and are rarely hooked directly to live microclimate data feeds or dynamic web notification interfaces.</w:t>
      </w:r>
    </w:p>
    <w:p>
      <w:pPr>
        <w:pStyle w:val="Heading3"/>
        <w:spacing w:after="100" w:before="160"/>
      </w:pPr>
      <w:r>
        <w:rPr>
          <w:rFonts w:ascii="Times New Roman" w:cs="Times New Roman" w:eastAsia="Times New Roman" w:hAnsi="Times New Roman"/>
          <w:b/>
          <w:bCs/>
          <w:sz w:val="24"/>
          <w:szCs w:val="24"/>
        </w:rPr>
        <w:t xml:space="preserve">2.3.3 XGBoost (Extreme Gradient Boosting)</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Principle &amp; Strengths: An advanced gradient-boosted ensemble framework that sequentially builds trees to minimize prediction residuals through regularized objective functions. It provides superior handling of non-linear interactions between atmospheric metrics (PM2.5, SO₂, NO₂, humidity) and clinical responses, ensuring high accuracy and fast inference times.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Limitations in Existing Literature: XGBoost implementations in respiratory health typically function as offline analytical benchmarks rather than integrated, real-time web services connected to live API data pipelines.</w:t>
      </w:r>
    </w:p>
    <w:p>
      <w:pPr>
        <w:pBdr>
          <w:bottom w:val="single" w:color="BFBFBF" w:sz="4" w:space="2"/>
        </w:pBdr>
        <w:spacing w:after="200" w:before="100"/>
      </w:pPr>
    </w:p>
    <w:p>
      <w:pPr>
        <w:pStyle w:val="Heading2"/>
        <w:spacing w:after="120" w:before="240"/>
      </w:pPr>
      <w:r>
        <w:rPr>
          <w:rFonts w:ascii="Times New Roman" w:cs="Times New Roman" w:eastAsia="Times New Roman" w:hAnsi="Times New Roman"/>
          <w:b/>
          <w:bCs/>
          <w:sz w:val="26"/>
          <w:szCs w:val="26"/>
        </w:rPr>
        <w:t xml:space="preserve">2.4 Summary</w:t>
      </w:r>
    </w:p>
    <w:p>
      <w:pPr>
        <w:spacing w:after="160" w:line="300"/>
        <w:ind w:firstLine="576"/>
        <w:jc w:val="both"/>
      </w:pPr>
      <w:r>
        <w:rPr>
          <w:rFonts w:ascii="Times New Roman" w:cs="Times New Roman" w:eastAsia="Times New Roman" w:hAnsi="Times New Roman"/>
          <w:sz w:val="24"/>
          <w:szCs w:val="24"/>
        </w:rPr>
        <w:t xml:space="preserve">Current technological approaches either focus on continuous physiological tracking while neglecting external environmental triggers, or provide symptom tracking without automated predictive analytics. HridyaVayu addresses these limitations by establishing a closed-loop system that combines live API-driven environmental intelligence with structured clinical symptom profiling, utilizing Random Forest and XGBoost models to generate proactive, real-time risk alerts.</w:t>
      </w:r>
    </w:p>
    <w:p>
      <w:r>
        <w:br w:type="page"/>
      </w:r>
    </w:p>
    <w:p>
      <w:pPr>
        <w:pStyle w:val="Heading1"/>
        <w:spacing w:after="0" w:before="200"/>
      </w:pPr>
      <w:r>
        <w:rPr>
          <w:rFonts w:ascii="Times New Roman" w:cs="Times New Roman" w:eastAsia="Times New Roman" w:hAnsi="Times New Roman"/>
          <w:b/>
          <w:bCs/>
          <w:sz w:val="32"/>
          <w:szCs w:val="32"/>
        </w:rPr>
        <w:t xml:space="preserve">CHAPTER 3</w:t>
      </w:r>
    </w:p>
    <w:p>
      <w:pPr>
        <w:pStyle w:val="Heading1"/>
        <w:pBdr>
          <w:bottom w:val="single" w:color="808080" w:sz="6" w:space="4"/>
        </w:pBdr>
        <w:spacing w:after="200"/>
      </w:pPr>
      <w:r>
        <w:rPr>
          <w:rFonts w:ascii="Times New Roman" w:cs="Times New Roman" w:eastAsia="Times New Roman" w:hAnsi="Times New Roman"/>
          <w:b/>
          <w:bCs/>
          <w:sz w:val="32"/>
          <w:szCs w:val="32"/>
        </w:rPr>
        <w:t xml:space="preserve">FRONT END, BACKEND AND SYSTEM REQUIREMENTS</w:t>
      </w:r>
    </w:p>
    <w:p>
      <w:pPr>
        <w:spacing w:after="160" w:line="300"/>
        <w:ind w:firstLine="576"/>
        <w:jc w:val="both"/>
      </w:pPr>
      <w:r>
        <w:rPr>
          <w:rFonts w:ascii="Times New Roman" w:cs="Times New Roman" w:eastAsia="Times New Roman" w:hAnsi="Times New Roman"/>
          <w:sz w:val="24"/>
          <w:szCs w:val="24"/>
        </w:rPr>
        <w:t xml:space="preserve">This chapter outlines the functional and technical specifications required to develop, deploy, and evaluate the HridyaVayu system. The platform is built using a modular three-tier architecture that separates the user interface, backend application logic, and machine learning inference services.</w:t>
      </w:r>
    </w:p>
    <w:p>
      <w:pPr>
        <w:pStyle w:val="Heading2"/>
        <w:spacing w:after="120" w:before="240"/>
      </w:pPr>
      <w:r>
        <w:rPr>
          <w:rFonts w:ascii="Times New Roman" w:cs="Times New Roman" w:eastAsia="Times New Roman" w:hAnsi="Times New Roman"/>
          <w:b/>
          <w:bCs/>
          <w:sz w:val="26"/>
          <w:szCs w:val="26"/>
        </w:rPr>
        <w:t xml:space="preserve">3.1 Frontend Requirements</w:t>
      </w:r>
    </w:p>
    <w:p>
      <w:pPr>
        <w:spacing w:after="160" w:line="300"/>
        <w:ind w:firstLine="576"/>
        <w:jc w:val="both"/>
      </w:pPr>
      <w:r>
        <w:rPr>
          <w:rFonts w:ascii="Times New Roman" w:cs="Times New Roman" w:eastAsia="Times New Roman" w:hAnsi="Times New Roman"/>
          <w:sz w:val="24"/>
          <w:szCs w:val="24"/>
        </w:rPr>
        <w:t xml:space="preserve">The presentation layer of HridyaVayu is implemented as a single-page application (SPA) focused on usability, responsiveness, and clean visualization of health metrics.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UI Framework &amp; Core Libraries: Developed using React.js (functional components and React Hooks) with standard HTML5 and CSS3 for structured, mobile-first responsive design.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Asynchronous Communication: Employs Axios as the HTTP client to send asynchronous REST API requests and receive JSON payloads from the Flask backend.</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Core Frontend Modules:</w:t>
      </w:r>
    </w:p>
    <w:p>
      <w:pPr>
        <w:pStyle w:val="ListParagraph"/>
        <w:numPr>
          <w:ilvl w:val="1"/>
          <w:numId w:val="2"/>
        </w:numPr>
        <w:spacing w:after="100" w:line="300"/>
        <w:jc w:val="both"/>
      </w:pPr>
      <w:r>
        <w:rPr>
          <w:rFonts w:ascii="Times New Roman" w:cs="Times New Roman" w:eastAsia="Times New Roman" w:hAnsi="Times New Roman"/>
          <w:sz w:val="24"/>
          <w:szCs w:val="24"/>
        </w:rPr>
        <w:t xml:space="preserve">User Profile &amp; Registration View – captures demographic parameters (age, gender), personal medical history, and emergency contact details.</w:t>
      </w:r>
    </w:p>
    <w:p>
      <w:pPr>
        <w:pStyle w:val="ListParagraph"/>
        <w:numPr>
          <w:ilvl w:val="1"/>
          <w:numId w:val="2"/>
        </w:numPr>
        <w:spacing w:after="100" w:line="300"/>
        <w:jc w:val="both"/>
      </w:pPr>
      <w:r>
        <w:rPr>
          <w:rFonts w:ascii="Times New Roman" w:cs="Times New Roman" w:eastAsia="Times New Roman" w:hAnsi="Times New Roman"/>
          <w:sz w:val="24"/>
          <w:szCs w:val="24"/>
        </w:rPr>
        <w:t xml:space="preserve">Interactive Symptom Survey Interface – a structured questionnaire layout that gathers real-time clinical indicators (cough frequency, wheezing severity, activity limits).</w:t>
      </w:r>
    </w:p>
    <w:p>
      <w:pPr>
        <w:pStyle w:val="ListParagraph"/>
        <w:numPr>
          <w:ilvl w:val="1"/>
          <w:numId w:val="2"/>
        </w:numPr>
        <w:spacing w:after="100" w:line="300"/>
        <w:jc w:val="both"/>
      </w:pPr>
      <w:r>
        <w:rPr>
          <w:rFonts w:ascii="Times New Roman" w:cs="Times New Roman" w:eastAsia="Times New Roman" w:hAnsi="Times New Roman"/>
          <w:sz w:val="24"/>
          <w:szCs w:val="24"/>
        </w:rPr>
        <w:t xml:space="preserve">Executive Dashboard – centralized monitor displaying live environmental telemetry (AQI, PM2.5, temperature, humidity), device status, and AI risk prediction controls.</w:t>
      </w:r>
    </w:p>
    <w:p>
      <w:pPr>
        <w:pStyle w:val="ListParagraph"/>
        <w:numPr>
          <w:ilvl w:val="1"/>
          <w:numId w:val="2"/>
        </w:numPr>
        <w:spacing w:after="100" w:line="300"/>
        <w:jc w:val="both"/>
      </w:pPr>
      <w:r>
        <w:rPr>
          <w:rFonts w:ascii="Times New Roman" w:cs="Times New Roman" w:eastAsia="Times New Roman" w:hAnsi="Times New Roman"/>
          <w:sz w:val="24"/>
          <w:szCs w:val="24"/>
        </w:rPr>
        <w:t xml:space="preserve">Alert &amp; Notification Viewer – real-time visual modals and persistent alert banners that activate whenever the computed risk score meets or exceeds the critical threshold (≥ 0.6).</w:t>
      </w:r>
    </w:p>
    <w:p>
      <w:pPr>
        <w:pBdr>
          <w:bottom w:val="single" w:color="BFBFBF" w:sz="4" w:space="2"/>
        </w:pBdr>
        <w:spacing w:after="200" w:before="100"/>
      </w:pPr>
    </w:p>
    <w:p>
      <w:pPr>
        <w:pStyle w:val="Heading2"/>
        <w:spacing w:after="120" w:before="240"/>
      </w:pPr>
      <w:r>
        <w:rPr>
          <w:rFonts w:ascii="Times New Roman" w:cs="Times New Roman" w:eastAsia="Times New Roman" w:hAnsi="Times New Roman"/>
          <w:b/>
          <w:bCs/>
          <w:sz w:val="26"/>
          <w:szCs w:val="26"/>
        </w:rPr>
        <w:t xml:space="preserve">3.2 Backend Requirements</w:t>
      </w:r>
    </w:p>
    <w:p>
      <w:pPr>
        <w:spacing w:after="160" w:line="300"/>
        <w:ind w:firstLine="576"/>
        <w:jc w:val="both"/>
      </w:pPr>
      <w:r>
        <w:rPr>
          <w:rFonts w:ascii="Times New Roman" w:cs="Times New Roman" w:eastAsia="Times New Roman" w:hAnsi="Times New Roman"/>
          <w:sz w:val="24"/>
          <w:szCs w:val="24"/>
        </w:rPr>
        <w:t xml:space="preserve">The application and data management layer is powered by a lightweight RESTful API gateway responsible for request routing, telemetry aggregation, and database interactions.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Server Runtime &amp; Framework: Developed in Python 3.8+ using the Flask microframework.</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Cross-Origin &amp; Middleware Management: Configured with flask_cors to securely manage Cross-Origin Resource Sharing between the React frontend and Flask services.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External Service Integration: Utilizes the Python requests library to query live atmospheric feeds from the IQAir API and OpenWeatherMap API based on client coordinates.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Database &amp; Persistence Layer: Utilizes an SQLite3 relational database engine with indexed user identifiers for low-latency queries.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Relational Database Entities:</w:t>
      </w:r>
    </w:p>
    <w:p>
      <w:pPr>
        <w:pStyle w:val="ListParagraph"/>
        <w:numPr>
          <w:ilvl w:val="1"/>
          <w:numId w:val="2"/>
        </w:numPr>
        <w:spacing w:after="100" w:line="300"/>
        <w:jc w:val="both"/>
      </w:pPr>
      <w:r>
        <w:rPr>
          <w:rFonts w:ascii="Times New Roman" w:cs="Times New Roman" w:eastAsia="Times New Roman" w:hAnsi="Times New Roman"/>
          <w:sz w:val="24"/>
          <w:szCs w:val="24"/>
        </w:rPr>
        <w:t xml:space="preserve">user – stores demographic data and primary emergency contact information.</w:t>
      </w:r>
    </w:p>
    <w:p>
      <w:pPr>
        <w:pStyle w:val="ListParagraph"/>
        <w:numPr>
          <w:ilvl w:val="1"/>
          <w:numId w:val="2"/>
        </w:numPr>
        <w:spacing w:after="100" w:line="300"/>
        <w:jc w:val="both"/>
      </w:pPr>
      <w:r>
        <w:rPr>
          <w:rFonts w:ascii="Times New Roman" w:cs="Times New Roman" w:eastAsia="Times New Roman" w:hAnsi="Times New Roman"/>
          <w:sz w:val="24"/>
          <w:szCs w:val="24"/>
        </w:rPr>
        <w:t xml:space="preserve">environmentaldata – stores timestamped logs of AQI, PM2.5, SO₂, NO₂, CO₂, ambient temperature, and humidity.</w:t>
      </w:r>
    </w:p>
    <w:p>
      <w:pPr>
        <w:pStyle w:val="ListParagraph"/>
        <w:numPr>
          <w:ilvl w:val="1"/>
          <w:numId w:val="2"/>
        </w:numPr>
        <w:spacing w:after="100" w:line="300"/>
        <w:jc w:val="both"/>
      </w:pPr>
      <w:r>
        <w:rPr>
          <w:rFonts w:ascii="Times New Roman" w:cs="Times New Roman" w:eastAsia="Times New Roman" w:hAnsi="Times New Roman"/>
          <w:sz w:val="24"/>
          <w:szCs w:val="24"/>
        </w:rPr>
        <w:t xml:space="preserve">quizresponse – stores individual survey questions and validated responses.</w:t>
      </w:r>
    </w:p>
    <w:p>
      <w:pPr>
        <w:pStyle w:val="ListParagraph"/>
        <w:numPr>
          <w:ilvl w:val="1"/>
          <w:numId w:val="2"/>
        </w:numPr>
        <w:spacing w:after="100" w:line="300"/>
        <w:jc w:val="both"/>
      </w:pPr>
      <w:r>
        <w:rPr>
          <w:rFonts w:ascii="Times New Roman" w:cs="Times New Roman" w:eastAsia="Times New Roman" w:hAnsi="Times New Roman"/>
          <w:sz w:val="24"/>
          <w:szCs w:val="24"/>
        </w:rPr>
        <w:t xml:space="preserve">alert – stores system-generated risk messages, predicted scores, and alert timestamps.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Core API Routes:</w:t>
      </w:r>
    </w:p>
    <w:p>
      <w:pPr>
        <w:pStyle w:val="ListParagraph"/>
        <w:numPr>
          <w:ilvl w:val="1"/>
          <w:numId w:val="2"/>
        </w:numPr>
        <w:spacing w:after="100" w:line="300"/>
        <w:jc w:val="both"/>
      </w:pPr>
      <w:r>
        <w:rPr>
          <w:rFonts w:ascii="Times New Roman" w:cs="Times New Roman" w:eastAsia="Times New Roman" w:hAnsi="Times New Roman"/>
          <w:sz w:val="24"/>
          <w:szCs w:val="24"/>
        </w:rPr>
        <w:t xml:space="preserve">POST /save-profile – validates and writes patient details to the user table.</w:t>
      </w:r>
    </w:p>
    <w:p>
      <w:pPr>
        <w:pStyle w:val="ListParagraph"/>
        <w:numPr>
          <w:ilvl w:val="1"/>
          <w:numId w:val="2"/>
        </w:numPr>
        <w:spacing w:after="100" w:line="300"/>
        <w:jc w:val="both"/>
      </w:pPr>
      <w:r>
        <w:rPr>
          <w:rFonts w:ascii="Times New Roman" w:cs="Times New Roman" w:eastAsia="Times New Roman" w:hAnsi="Times New Roman"/>
          <w:sz w:val="24"/>
          <w:szCs w:val="24"/>
        </w:rPr>
        <w:t xml:space="preserve">POST /submit-quiz – processes and stores symptom survey records.</w:t>
      </w:r>
    </w:p>
    <w:p>
      <w:pPr>
        <w:pStyle w:val="ListParagraph"/>
        <w:numPr>
          <w:ilvl w:val="1"/>
          <w:numId w:val="2"/>
        </w:numPr>
        <w:spacing w:after="100" w:line="300"/>
        <w:jc w:val="both"/>
      </w:pPr>
      <w:r>
        <w:rPr>
          <w:rFonts w:ascii="Times New Roman" w:cs="Times New Roman" w:eastAsia="Times New Roman" w:hAnsi="Times New Roman"/>
          <w:sz w:val="24"/>
          <w:szCs w:val="24"/>
        </w:rPr>
        <w:t xml:space="preserve">POST /upload-environmental-data – triggers geolocation-based API calls and logs normalized environmental data.</w:t>
      </w:r>
    </w:p>
    <w:p>
      <w:pPr>
        <w:pStyle w:val="ListParagraph"/>
        <w:numPr>
          <w:ilvl w:val="1"/>
          <w:numId w:val="2"/>
        </w:numPr>
        <w:spacing w:after="100" w:line="300"/>
        <w:jc w:val="both"/>
      </w:pPr>
      <w:r>
        <w:rPr>
          <w:rFonts w:ascii="Times New Roman" w:cs="Times New Roman" w:eastAsia="Times New Roman" w:hAnsi="Times New Roman"/>
          <w:sz w:val="24"/>
          <w:szCs w:val="24"/>
        </w:rPr>
        <w:t xml:space="preserve">POST /send-data-to-ai – fuses environmental and clinical vectors, invokes the machine learning model, and evaluates risk thresholds.</w:t>
      </w:r>
    </w:p>
    <w:p>
      <w:pPr>
        <w:pStyle w:val="Heading2"/>
        <w:spacing w:after="120" w:before="240"/>
      </w:pPr>
      <w:r>
        <w:rPr>
          <w:rFonts w:ascii="Times New Roman" w:cs="Times New Roman" w:eastAsia="Times New Roman" w:hAnsi="Times New Roman"/>
          <w:b/>
          <w:bCs/>
          <w:sz w:val="26"/>
          <w:szCs w:val="26"/>
        </w:rPr>
        <w:t xml:space="preserve">3.3 Machine Learning Inference Stack (Decision Tree &amp; XGBoost)</w:t>
      </w:r>
    </w:p>
    <w:p>
      <w:pPr>
        <w:spacing w:after="160" w:line="300"/>
        <w:ind w:firstLine="576"/>
        <w:jc w:val="both"/>
      </w:pPr>
      <w:r>
        <w:rPr>
          <w:rFonts w:ascii="Times New Roman" w:cs="Times New Roman" w:eastAsia="Times New Roman" w:hAnsi="Times New Roman"/>
          <w:sz w:val="24"/>
          <w:szCs w:val="24"/>
        </w:rPr>
        <w:t xml:space="preserve">The intelligence layer handles feature normalization, feature engineering, and real-time model execution.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Modeling Libraries: Scikit-learn for Decision Tree modeling, data preprocessing, and evaluation metrics, alongside the XGBoost library for gradient-boosted tree execution.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Data Processing &amp; Feature Engineering: NumPy and Pandas for matrix operations, feature extraction (including the AQI/PM2.5 ratio), and data manipulation.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Preprocessing Pipelines: Uses StandardScaler and LabelEncoder to normalize heterogeneous inputs (continuous environmental readings and discrete survey scores).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Model Serialization: Exported using pickle / joblib for low-latency loading directly within the Flask API runtime.</w:t>
      </w:r>
    </w:p>
    <w:p>
      <w:pPr>
        <w:pStyle w:val="Heading2"/>
        <w:spacing w:after="120" w:before="240"/>
      </w:pPr>
      <w:r>
        <w:rPr>
          <w:rFonts w:ascii="Times New Roman" w:cs="Times New Roman" w:eastAsia="Times New Roman" w:hAnsi="Times New Roman"/>
          <w:b/>
          <w:bCs/>
          <w:sz w:val="26"/>
          <w:szCs w:val="26"/>
        </w:rPr>
        <w:t xml:space="preserve">3.4 Hardware and Software System Specifications</w:t>
      </w:r>
    </w:p>
    <w:p>
      <w:pPr>
        <w:pStyle w:val="Heading3"/>
        <w:spacing w:after="100" w:before="160"/>
      </w:pPr>
      <w:r>
        <w:rPr>
          <w:rFonts w:ascii="Times New Roman" w:cs="Times New Roman" w:eastAsia="Times New Roman" w:hAnsi="Times New Roman"/>
          <w:b/>
          <w:bCs/>
          <w:sz w:val="24"/>
          <w:szCs w:val="24"/>
        </w:rPr>
        <w:t xml:space="preserve">3.4.1 Hardware Requirements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pct" w:w="22%"/>
            <w:shd w:fill="E8E8E8"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Component</w:t>
            </w:r>
          </w:p>
        </w:tc>
        <w:tc>
          <w:tcPr>
            <w:tcW w:type="pct" w:w="34%"/>
            <w:shd w:fill="E8E8E8"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Specification</w:t>
            </w:r>
          </w:p>
        </w:tc>
        <w:tc>
          <w:tcPr>
            <w:tcW w:type="pct" w:w="44%"/>
            <w:shd w:fill="E8E8E8"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Examples</w:t>
            </w:r>
          </w:p>
        </w:tc>
      </w:tr>
      <w:tr>
        <w:tc>
          <w:tcPr>
            <w:tcW w:type="pct" w:w="22%"/>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Processor</w:t>
            </w:r>
          </w:p>
        </w:tc>
        <w:tc>
          <w:tcPr>
            <w:tcW w:type="pct" w:w="34%"/>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Minimum 2.4 GHz</w:t>
            </w:r>
          </w:p>
        </w:tc>
        <w:tc>
          <w:tcPr>
            <w:tcW w:type="pct" w:w="44%"/>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Intel Core i5/i7, AMD Ryzen 5/7</w:t>
            </w:r>
          </w:p>
        </w:tc>
      </w:tr>
      <w:tr>
        <w:tc>
          <w:tcPr>
            <w:tcW w:type="pct" w:w="22%"/>
            <w:shd w:fill="E8E8E8" w:val="clear"/>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RAM</w:t>
            </w:r>
          </w:p>
        </w:tc>
        <w:tc>
          <w:tcPr>
            <w:tcW w:type="pct" w:w="34%"/>
            <w:shd w:fill="E8E8E8" w:val="clear"/>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Minimum 8 GB</w:t>
            </w:r>
          </w:p>
        </w:tc>
        <w:tc>
          <w:tcPr>
            <w:tcW w:type="pct" w:w="44%"/>
            <w:shd w:fill="E8E8E8" w:val="clear"/>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DDR4 8GB (Corsair, Crucial, Kingston)</w:t>
            </w:r>
          </w:p>
        </w:tc>
      </w:tr>
      <w:tr>
        <w:tc>
          <w:tcPr>
            <w:tcW w:type="pct" w:w="22%"/>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Storage</w:t>
            </w:r>
          </w:p>
        </w:tc>
        <w:tc>
          <w:tcPr>
            <w:tcW w:type="pct" w:w="34%"/>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256 GB SSD or more</w:t>
            </w:r>
          </w:p>
        </w:tc>
        <w:tc>
          <w:tcPr>
            <w:tcW w:type="pct" w:w="44%"/>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Samsung 970 EVO 250GB, WD Blue SSD</w:t>
            </w:r>
          </w:p>
        </w:tc>
      </w:tr>
      <w:tr>
        <w:tc>
          <w:tcPr>
            <w:tcW w:type="pct" w:w="22%"/>
            <w:shd w:fill="E8E8E8" w:val="clear"/>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Device</w:t>
            </w:r>
          </w:p>
        </w:tc>
        <w:tc>
          <w:tcPr>
            <w:tcW w:type="pct" w:w="34%"/>
            <w:shd w:fill="E8E8E8" w:val="clear"/>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Modern laptop or smartphone with GPS capabilities</w:t>
            </w:r>
          </w:p>
        </w:tc>
        <w:tc>
          <w:tcPr>
            <w:tcW w:type="pct" w:w="44%"/>
            <w:shd w:fill="E8E8E8" w:val="clear"/>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Dell Inspiron, MacBook Air, Samsung Galaxy, iPhone</w:t>
            </w:r>
          </w:p>
        </w:tc>
      </w:tr>
      <w:tr>
        <w:tc>
          <w:tcPr>
            <w:tcW w:type="pct" w:w="22%"/>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Internet Connection</w:t>
            </w:r>
          </w:p>
        </w:tc>
        <w:tc>
          <w:tcPr>
            <w:tcW w:type="pct" w:w="34%"/>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Stable and continuous</w:t>
            </w:r>
          </w:p>
        </w:tc>
        <w:tc>
          <w:tcPr>
            <w:tcW w:type="pct" w:w="44%"/>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4G/5G mobile network, Broadband (1 Mbps or higher)</w:t>
            </w:r>
          </w:p>
        </w:tc>
      </w:tr>
    </w:tbl>
    <w:p>
      <w:pPr>
        <w:spacing w:after="240" w:before="100"/>
        <w:jc w:val="center"/>
      </w:pPr>
      <w:r>
        <w:rPr>
          <w:rFonts w:ascii="Times New Roman" w:cs="Times New Roman" w:eastAsia="Times New Roman" w:hAnsi="Times New Roman"/>
          <w:sz w:val="22"/>
          <w:szCs w:val="22"/>
        </w:rPr>
        <w:t xml:space="preserve">Table 3.1 – Hardware Requirements and Specifications</w:t>
      </w:r>
    </w:p>
    <w:p>
      <w:pPr>
        <w:pStyle w:val="Heading3"/>
        <w:spacing w:after="100" w:before="160"/>
      </w:pPr>
      <w:r>
        <w:rPr>
          <w:rFonts w:ascii="Times New Roman" w:cs="Times New Roman" w:eastAsia="Times New Roman" w:hAnsi="Times New Roman"/>
          <w:b/>
          <w:bCs/>
          <w:sz w:val="24"/>
          <w:szCs w:val="24"/>
        </w:rPr>
        <w:t xml:space="preserve">3.4.2 Software Requirements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pct" w:w="22%"/>
            <w:shd w:fill="E8E8E8"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Component</w:t>
            </w:r>
          </w:p>
        </w:tc>
        <w:tc>
          <w:tcPr>
            <w:tcW w:type="pct" w:w="34%"/>
            <w:shd w:fill="E8E8E8"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Specification</w:t>
            </w:r>
          </w:p>
        </w:tc>
        <w:tc>
          <w:tcPr>
            <w:tcW w:type="pct" w:w="44%"/>
            <w:shd w:fill="E8E8E8"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Examples</w:t>
            </w:r>
          </w:p>
        </w:tc>
      </w:tr>
      <w:tr>
        <w:tc>
          <w:tcPr>
            <w:tcW w:type="pct" w:w="22%"/>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Programming Language</w:t>
            </w:r>
          </w:p>
        </w:tc>
        <w:tc>
          <w:tcPr>
            <w:tcW w:type="pct" w:w="34%"/>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Python 3.6 or higher</w:t>
            </w:r>
          </w:p>
        </w:tc>
        <w:tc>
          <w:tcPr>
            <w:tcW w:type="pct" w:w="44%"/>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Python 3.8, Python 3.10 (Anaconda, CPython)</w:t>
            </w:r>
          </w:p>
        </w:tc>
      </w:tr>
      <w:tr>
        <w:tc>
          <w:tcPr>
            <w:tcW w:type="pct" w:w="22%"/>
            <w:shd w:fill="E8E8E8" w:val="clear"/>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Backend Framework</w:t>
            </w:r>
          </w:p>
        </w:tc>
        <w:tc>
          <w:tcPr>
            <w:tcW w:type="pct" w:w="34%"/>
            <w:shd w:fill="E8E8E8" w:val="clear"/>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Lightweight web framework for server-side logic</w:t>
            </w:r>
          </w:p>
        </w:tc>
        <w:tc>
          <w:tcPr>
            <w:tcW w:type="pct" w:w="44%"/>
            <w:shd w:fill="E8E8E8" w:val="clear"/>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Flask 2.0, Flask-RESTful</w:t>
            </w:r>
          </w:p>
        </w:tc>
      </w:tr>
      <w:tr>
        <w:tc>
          <w:tcPr>
            <w:tcW w:type="pct" w:w="22%"/>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Frontend</w:t>
            </w:r>
          </w:p>
        </w:tc>
        <w:tc>
          <w:tcPr>
            <w:tcW w:type="pct" w:w="34%"/>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Structure and styling of web interface</w:t>
            </w:r>
          </w:p>
        </w:tc>
        <w:tc>
          <w:tcPr>
            <w:tcW w:type="pct" w:w="44%"/>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HTML5, CSS3, Bootstrap</w:t>
            </w:r>
          </w:p>
        </w:tc>
      </w:tr>
      <w:tr>
        <w:tc>
          <w:tcPr>
            <w:tcW w:type="pct" w:w="22%"/>
            <w:shd w:fill="E8E8E8" w:val="clear"/>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AI/ML Libraries</w:t>
            </w:r>
          </w:p>
        </w:tc>
        <w:tc>
          <w:tcPr>
            <w:tcW w:type="pct" w:w="34%"/>
            <w:shd w:fill="E8E8E8" w:val="clear"/>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Libraries for building and training models</w:t>
            </w:r>
          </w:p>
        </w:tc>
        <w:tc>
          <w:tcPr>
            <w:tcW w:type="pct" w:w="44%"/>
            <w:shd w:fill="E8E8E8" w:val="clear"/>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Scikit-learn, NumPy, Pandas, XGBoost</w:t>
            </w:r>
          </w:p>
        </w:tc>
      </w:tr>
      <w:tr>
        <w:tc>
          <w:tcPr>
            <w:tcW w:type="pct" w:w="22%"/>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APIs Used</w:t>
            </w:r>
          </w:p>
        </w:tc>
        <w:tc>
          <w:tcPr>
            <w:tcW w:type="pct" w:w="34%"/>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External services for data retrieval</w:t>
            </w:r>
          </w:p>
        </w:tc>
        <w:tc>
          <w:tcPr>
            <w:tcW w:type="pct" w:w="44%"/>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IQAir API (Air Quality), OpenWeather API (Weather data)</w:t>
            </w:r>
          </w:p>
        </w:tc>
      </w:tr>
      <w:tr>
        <w:tc>
          <w:tcPr>
            <w:tcW w:type="pct" w:w="22%"/>
            <w:shd w:fill="E8E8E8" w:val="clear"/>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Environment</w:t>
            </w:r>
          </w:p>
        </w:tc>
        <w:tc>
          <w:tcPr>
            <w:tcW w:type="pct" w:w="34%"/>
            <w:shd w:fill="E8E8E8" w:val="clear"/>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Tools/libraries for app environment and communication</w:t>
            </w:r>
          </w:p>
        </w:tc>
        <w:tc>
          <w:tcPr>
            <w:tcW w:type="pct" w:w="44%"/>
            <w:shd w:fill="E8E8E8" w:val="clear"/>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Node.js 18.x, flask_cors for CORS, requests for HTTP requests</w:t>
            </w:r>
          </w:p>
        </w:tc>
      </w:tr>
    </w:tbl>
    <w:p>
      <w:pPr>
        <w:spacing w:after="240" w:before="100"/>
        <w:jc w:val="center"/>
      </w:pPr>
      <w:r>
        <w:rPr>
          <w:rFonts w:ascii="Times New Roman" w:cs="Times New Roman" w:eastAsia="Times New Roman" w:hAnsi="Times New Roman"/>
          <w:sz w:val="22"/>
          <w:szCs w:val="22"/>
        </w:rPr>
        <w:t xml:space="preserve">Table 3.2 – Software Requirements and Specifications</w:t>
      </w:r>
    </w:p>
    <w:p>
      <w:pPr>
        <w:pStyle w:val="Heading2"/>
        <w:spacing w:after="120" w:before="240"/>
      </w:pPr>
      <w:r>
        <w:rPr>
          <w:rFonts w:ascii="Times New Roman" w:cs="Times New Roman" w:eastAsia="Times New Roman" w:hAnsi="Times New Roman"/>
          <w:b/>
          <w:bCs/>
          <w:sz w:val="26"/>
          <w:szCs w:val="26"/>
        </w:rPr>
        <w:t xml:space="preserve">3.5 Specific Project Requirements</w:t>
      </w:r>
    </w:p>
    <w:p>
      <w:pPr>
        <w:spacing w:after="160" w:line="300"/>
        <w:ind w:firstLine="576"/>
        <w:jc w:val="both"/>
      </w:pPr>
      <w:r>
        <w:rPr>
          <w:rFonts w:ascii="Times New Roman" w:cs="Times New Roman" w:eastAsia="Times New Roman" w:hAnsi="Times New Roman"/>
          <w:sz w:val="24"/>
          <w:szCs w:val="24"/>
        </w:rPr>
        <w:t xml:space="preserve">In this section, we discuss the specific requirements for the HridyaVayu system related to data, functionality, performance, security, and the look-and-feel of the user interface.</w:t>
      </w:r>
    </w:p>
    <w:p>
      <w:pPr>
        <w:pStyle w:val="Heading3"/>
        <w:spacing w:after="100" w:before="160"/>
      </w:pPr>
      <w:r>
        <w:rPr>
          <w:rFonts w:ascii="Times New Roman" w:cs="Times New Roman" w:eastAsia="Times New Roman" w:hAnsi="Times New Roman"/>
          <w:b/>
          <w:bCs/>
          <w:sz w:val="24"/>
          <w:szCs w:val="24"/>
        </w:rPr>
        <w:t xml:space="preserve">3.5.1 Data Requirements</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Environmental Data: AQI, PM2.5, SO₂, NO₂, CO₂, temperature, and humidity based on geolocation.</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User Profile Data: Age, gender, contact details, and medical history.</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Quiz Responses: Five asthma-related questions used as model inputs.</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Risk Scores &amp; Alerts: AI-predicted score (0–1); alert if ≥ 0.6.</w:t>
      </w:r>
    </w:p>
    <w:p>
      <w:pPr>
        <w:pStyle w:val="Heading3"/>
        <w:spacing w:after="100" w:before="160"/>
      </w:pPr>
      <w:r>
        <w:rPr>
          <w:rFonts w:ascii="Times New Roman" w:cs="Times New Roman" w:eastAsia="Times New Roman" w:hAnsi="Times New Roman"/>
          <w:b/>
          <w:bCs/>
          <w:sz w:val="24"/>
          <w:szCs w:val="24"/>
        </w:rPr>
        <w:t xml:space="preserve">3.5.2 Functional Requirements</w:t>
      </w:r>
    </w:p>
    <w:p>
      <w:pPr>
        <w:pStyle w:val="ListParagraph"/>
        <w:numPr>
          <w:ilvl w:val="0"/>
          <w:numId w:val="4"/>
        </w:numPr>
        <w:spacing w:after="100" w:line="300"/>
        <w:jc w:val="both"/>
      </w:pPr>
      <w:r>
        <w:rPr>
          <w:rFonts w:ascii="Times New Roman" w:cs="Times New Roman" w:eastAsia="Times New Roman" w:hAnsi="Times New Roman"/>
          <w:sz w:val="24"/>
          <w:szCs w:val="24"/>
        </w:rPr>
        <w:t xml:space="preserve">Collect real-time environmental data via APIs.</w:t>
      </w:r>
    </w:p>
    <w:p>
      <w:pPr>
        <w:pStyle w:val="ListParagraph"/>
        <w:numPr>
          <w:ilvl w:val="0"/>
          <w:numId w:val="4"/>
        </w:numPr>
        <w:spacing w:after="100" w:line="300"/>
        <w:jc w:val="both"/>
      </w:pPr>
      <w:r>
        <w:rPr>
          <w:rFonts w:ascii="Times New Roman" w:cs="Times New Roman" w:eastAsia="Times New Roman" w:hAnsi="Times New Roman"/>
          <w:sz w:val="24"/>
          <w:szCs w:val="24"/>
        </w:rPr>
        <w:t xml:space="preserve">Accept user health information and quiz responses.</w:t>
      </w:r>
    </w:p>
    <w:p>
      <w:pPr>
        <w:pStyle w:val="ListParagraph"/>
        <w:numPr>
          <w:ilvl w:val="0"/>
          <w:numId w:val="4"/>
        </w:numPr>
        <w:spacing w:after="100" w:line="300"/>
        <w:jc w:val="both"/>
      </w:pPr>
      <w:r>
        <w:rPr>
          <w:rFonts w:ascii="Times New Roman" w:cs="Times New Roman" w:eastAsia="Times New Roman" w:hAnsi="Times New Roman"/>
          <w:sz w:val="24"/>
          <w:szCs w:val="24"/>
        </w:rPr>
        <w:t xml:space="preserve">Send data to the AI model for asthma risk prediction.</w:t>
      </w:r>
    </w:p>
    <w:p>
      <w:pPr>
        <w:pStyle w:val="ListParagraph"/>
        <w:numPr>
          <w:ilvl w:val="0"/>
          <w:numId w:val="4"/>
        </w:numPr>
        <w:spacing w:after="100" w:line="300"/>
        <w:jc w:val="both"/>
      </w:pPr>
      <w:r>
        <w:rPr>
          <w:rFonts w:ascii="Times New Roman" w:cs="Times New Roman" w:eastAsia="Times New Roman" w:hAnsi="Times New Roman"/>
          <w:sz w:val="24"/>
          <w:szCs w:val="24"/>
        </w:rPr>
        <w:t xml:space="preserve">Generate alerts for high-risk cases.</w:t>
      </w:r>
    </w:p>
    <w:p>
      <w:pPr>
        <w:pStyle w:val="ListParagraph"/>
        <w:numPr>
          <w:ilvl w:val="0"/>
          <w:numId w:val="4"/>
        </w:numPr>
        <w:spacing w:after="100" w:line="300"/>
        <w:jc w:val="both"/>
      </w:pPr>
      <w:r>
        <w:rPr>
          <w:rFonts w:ascii="Times New Roman" w:cs="Times New Roman" w:eastAsia="Times New Roman" w:hAnsi="Times New Roman"/>
          <w:sz w:val="24"/>
          <w:szCs w:val="24"/>
        </w:rPr>
        <w:t xml:space="preserve">Display personalized results and insights in the user dashboard.</w:t>
      </w:r>
    </w:p>
    <w:p>
      <w:pPr>
        <w:pStyle w:val="Heading3"/>
        <w:spacing w:after="100" w:before="160"/>
      </w:pPr>
      <w:r>
        <w:rPr>
          <w:rFonts w:ascii="Times New Roman" w:cs="Times New Roman" w:eastAsia="Times New Roman" w:hAnsi="Times New Roman"/>
          <w:b/>
          <w:bCs/>
          <w:sz w:val="24"/>
          <w:szCs w:val="24"/>
        </w:rPr>
        <w:t xml:space="preserve">3.5.3 Performance and Security Requirements</w:t>
      </w:r>
    </w:p>
    <w:p>
      <w:pPr>
        <w:pStyle w:val="ListParagraph"/>
        <w:numPr>
          <w:ilvl w:val="0"/>
          <w:numId w:val="5"/>
        </w:numPr>
        <w:spacing w:after="100" w:line="300"/>
        <w:jc w:val="both"/>
      </w:pPr>
      <w:r>
        <w:rPr>
          <w:rFonts w:ascii="Times New Roman" w:cs="Times New Roman" w:eastAsia="Times New Roman" w:hAnsi="Times New Roman"/>
          <w:sz w:val="24"/>
          <w:szCs w:val="24"/>
        </w:rPr>
        <w:t xml:space="preserve">Performance: Real-time risk prediction and alert generation; low-latency communication between frontend and backend; accurate integration of quiz and environmental data.</w:t>
      </w:r>
    </w:p>
    <w:p>
      <w:pPr>
        <w:pStyle w:val="ListParagraph"/>
        <w:numPr>
          <w:ilvl w:val="0"/>
          <w:numId w:val="5"/>
        </w:numPr>
        <w:spacing w:after="100" w:line="300"/>
        <w:jc w:val="both"/>
      </w:pPr>
      <w:r>
        <w:rPr>
          <w:rFonts w:ascii="Times New Roman" w:cs="Times New Roman" w:eastAsia="Times New Roman" w:hAnsi="Times New Roman"/>
          <w:sz w:val="24"/>
          <w:szCs w:val="24"/>
        </w:rPr>
        <w:t xml:space="preserve">Security: Secure transmission of sensitive data using HTTPS; local data storage in a structured database; no unnecessary data sharing.</w:t>
      </w:r>
    </w:p>
    <w:p>
      <w:pPr>
        <w:pStyle w:val="Heading2"/>
        <w:spacing w:after="120" w:before="240"/>
      </w:pPr>
      <w:r>
        <w:rPr>
          <w:rFonts w:ascii="Times New Roman" w:cs="Times New Roman" w:eastAsia="Times New Roman" w:hAnsi="Times New Roman"/>
          <w:b/>
          <w:bCs/>
          <w:sz w:val="26"/>
          <w:szCs w:val="26"/>
        </w:rPr>
        <w:t xml:space="preserve">3.6 Specific Domain Requirements</w:t>
      </w:r>
    </w:p>
    <w:p>
      <w:pPr>
        <w:pStyle w:val="Heading3"/>
        <w:spacing w:after="100" w:before="160"/>
      </w:pPr>
      <w:r>
        <w:rPr>
          <w:rFonts w:ascii="Times New Roman" w:cs="Times New Roman" w:eastAsia="Times New Roman" w:hAnsi="Times New Roman"/>
          <w:b/>
          <w:bCs/>
          <w:sz w:val="24"/>
          <w:szCs w:val="24"/>
        </w:rPr>
        <w:t xml:space="preserve">3.6.1 Functional Requirements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Geolocation Capture: Capture client browser GPS coordinates and query external APIs for local ambient data.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Dynamic Questionnaire Processing: Ingest and validate patient symptom responses in real time.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Automated Risk Scoring: Normalize inputs into a unified feature vector and execute model inference via Decision Tree or XGBoost algorithms.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Threshold Alert Generation: Automatically flag and record an emergency alert whenever the evaluated risk score is ≥ 0.6.</w:t>
      </w:r>
    </w:p>
    <w:p>
      <w:pPr>
        <w:pStyle w:val="Heading3"/>
        <w:spacing w:after="100" w:before="160"/>
      </w:pPr>
      <w:r>
        <w:rPr>
          <w:rFonts w:ascii="Times New Roman" w:cs="Times New Roman" w:eastAsia="Times New Roman" w:hAnsi="Times New Roman"/>
          <w:b/>
          <w:bCs/>
          <w:sz w:val="24"/>
          <w:szCs w:val="24"/>
        </w:rPr>
        <w:t xml:space="preserve">3.6.2 Non-Functional &amp; Security Requirements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Low-Latency Execution: Maintain an average API response time under 1.5 seconds for data queries and under 2.5 seconds for end-to-end model inference.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Data Security &amp; Privacy: Transmit data over encrypted HTTPS channels, restrict access to health records within localized relational tables, and enforce input validation to prevent SQL injection or cross-site scripting (XSS).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Interface Usability: Follow intuitive medical UX standards with colour-coded risk indicators (green for low risk, yellow for moderate concern, red for critical alerts) and high-contrast, readable layouts.</w:t>
      </w:r>
    </w:p>
    <w:p>
      <w:pPr>
        <w:pStyle w:val="Heading1"/>
        <w:pageBreakBefore w:val="0"/>
        <w:spacing w:after="80" w:before="320"/>
      </w:pPr>
      <w:r>
        <w:rPr>
          <w:rFonts w:ascii="Times New Roman" w:cs="Times New Roman" w:eastAsia="Times New Roman" w:hAnsi="Times New Roman"/>
          <w:b/>
          <w:bCs/>
          <w:sz w:val="32"/>
          <w:szCs w:val="32"/>
        </w:rPr>
        <w:t xml:space="preserve">CHAPTER 4</w:t>
      </w:r>
    </w:p>
    <w:p>
      <w:pPr>
        <w:pStyle w:val="Heading1"/>
        <w:pBdr>
          <w:bottom w:val="single" w:color="808080" w:sz="6" w:space="4"/>
        </w:pBdr>
        <w:spacing w:after="200"/>
      </w:pPr>
      <w:r>
        <w:rPr>
          <w:rFonts w:ascii="Times New Roman" w:cs="Times New Roman" w:eastAsia="Times New Roman" w:hAnsi="Times New Roman"/>
          <w:b/>
          <w:bCs/>
          <w:sz w:val="32"/>
          <w:szCs w:val="32"/>
        </w:rPr>
        <w:t xml:space="preserve">METHODOLOGY</w:t>
      </w:r>
    </w:p>
    <w:p>
      <w:pPr>
        <w:pStyle w:val="Heading2"/>
        <w:spacing w:after="120" w:before="240"/>
      </w:pPr>
      <w:r>
        <w:rPr>
          <w:rFonts w:ascii="Times New Roman" w:cs="Times New Roman" w:eastAsia="Times New Roman" w:hAnsi="Times New Roman"/>
          <w:b/>
          <w:bCs/>
          <w:sz w:val="26"/>
          <w:szCs w:val="26"/>
        </w:rPr>
        <w:t xml:space="preserve">4.1 System Design / Architecture</w:t>
      </w:r>
    </w:p>
    <w:p>
      <w:pPr>
        <w:pStyle w:val="Heading3"/>
        <w:spacing w:after="80" w:before="200"/>
        <w:jc w:val="center"/>
      </w:pPr>
      <w:r/>
      <w:r>
        <w:drawing>
          <wp:inline xmlns:a="http://schemas.openxmlformats.org/drawingml/2006/main" xmlns:pic="http://schemas.openxmlformats.org/drawingml/2006/picture">
            <wp:extent cx="5486400" cy="2505456"/>
            <wp:docPr id="2" name="Picture 2"/>
            <wp:cNvGraphicFramePr>
              <a:graphicFrameLocks noChangeAspect="1"/>
            </wp:cNvGraphicFramePr>
            <a:graphic>
              <a:graphicData uri="http://schemas.openxmlformats.org/drawingml/2006/picture">
                <pic:pic>
                  <pic:nvPicPr>
                    <pic:cNvPr id="0" name="dfd_frontend_clean.png"/>
                    <pic:cNvPicPr/>
                  </pic:nvPicPr>
                  <pic:blipFill>
                    <a:blip r:embed="rId14"/>
                    <a:stretch>
                      <a:fillRect/>
                    </a:stretch>
                  </pic:blipFill>
                  <pic:spPr>
                    <a:xfrm>
                      <a:off x="0" y="0"/>
                      <a:ext cx="5486400" cy="2505456"/>
                    </a:xfrm>
                    <a:prstGeom prst="rect"/>
                  </pic:spPr>
                </pic:pic>
              </a:graphicData>
            </a:graphic>
          </wp:inline>
        </w:drawing>
      </w:r>
    </w:p>
    <w:p>
      <w:pPr>
        <w:spacing w:after="240"/>
        <w:jc w:val="center"/>
      </w:pPr>
      <w:r>
        <w:rPr>
          <w:rFonts w:ascii="Times New Roman" w:cs="Times New Roman" w:eastAsia="Times New Roman" w:hAnsi="Times New Roman"/>
          <w:b w:val="false"/>
          <w:bCs w:val="false"/>
          <w:sz w:val="22"/>
          <w:szCs w:val="22"/>
        </w:rPr>
        <w:t xml:space="preserve">Figure 4.1 – Frontend Data Flow Diagram</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Developed using React functional components.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Routes defined for: Signup, Profile Management, Quiz Interface, Dashboard, Alerts History, and Environmental Data Information.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Axios is used to make API requests to the backend.</w:t>
      </w:r>
    </w:p>
    <w:p>
      <w:pPr>
        <w:pStyle w:val="Heading3"/>
        <w:spacing w:after="100" w:before="160"/>
      </w:pPr>
      <w:r>
        <w:rPr>
          <w:rFonts w:ascii="Times New Roman" w:cs="Times New Roman" w:eastAsia="Times New Roman" w:hAnsi="Times New Roman"/>
          <w:b/>
          <w:bCs/>
          <w:sz w:val="24"/>
          <w:szCs w:val="24"/>
        </w:rPr>
        <w:t xml:space="preserve">(b) Backend (Flask + SQLite)</w:t>
      </w:r>
    </w:p>
    <w:p>
      <w:pPr>
        <w:spacing w:after="80" w:before="200"/>
        <w:jc w:val="center"/>
      </w:pPr>
      <w:r/>
      <w:r>
        <w:drawing>
          <wp:inline xmlns:a="http://schemas.openxmlformats.org/drawingml/2006/main" xmlns:pic="http://schemas.openxmlformats.org/drawingml/2006/picture">
            <wp:extent cx="5486400" cy="1481328"/>
            <wp:docPr id="3" name="Picture 3"/>
            <wp:cNvGraphicFramePr>
              <a:graphicFrameLocks noChangeAspect="1"/>
            </wp:cNvGraphicFramePr>
            <a:graphic>
              <a:graphicData uri="http://schemas.openxmlformats.org/drawingml/2006/picture">
                <pic:pic>
                  <pic:nvPicPr>
                    <pic:cNvPr id="0" name="dfd_backend_clean.png"/>
                    <pic:cNvPicPr/>
                  </pic:nvPicPr>
                  <pic:blipFill>
                    <a:blip r:embed="rId15"/>
                    <a:stretch>
                      <a:fillRect/>
                    </a:stretch>
                  </pic:blipFill>
                  <pic:spPr>
                    <a:xfrm>
                      <a:off x="0" y="0"/>
                      <a:ext cx="5486400" cy="1481328"/>
                    </a:xfrm>
                    <a:prstGeom prst="rect"/>
                  </pic:spPr>
                </pic:pic>
              </a:graphicData>
            </a:graphic>
          </wp:inline>
        </w:drawing>
      </w:r>
    </w:p>
    <w:p>
      <w:pPr>
        <w:spacing w:after="240"/>
        <w:jc w:val="center"/>
      </w:pPr>
      <w:r>
        <w:rPr>
          <w:rFonts w:ascii="Times New Roman" w:cs="Times New Roman" w:eastAsia="Times New Roman" w:hAnsi="Times New Roman"/>
          <w:b w:val="false"/>
          <w:bCs w:val="false"/>
          <w:sz w:val="22"/>
          <w:szCs w:val="22"/>
        </w:rPr>
        <w:t xml:space="preserve">Figure 4.2 – Backend Data Flow Diagram</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API created using the Flask framework.</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Key routes.py endpoints:</w:t>
      </w:r>
    </w:p>
    <w:p>
      <w:pPr>
        <w:pStyle w:val="ListParagraph"/>
        <w:numPr>
          <w:ilvl w:val="1"/>
          <w:numId w:val="2"/>
        </w:numPr>
        <w:spacing w:after="100" w:line="300"/>
        <w:jc w:val="both"/>
      </w:pPr>
      <w:r>
        <w:rPr>
          <w:rFonts w:ascii="Times New Roman" w:cs="Times New Roman" w:eastAsia="Times New Roman" w:hAnsi="Times New Roman"/>
          <w:sz w:val="24"/>
          <w:szCs w:val="24"/>
        </w:rPr>
        <w:t xml:space="preserve">/save-profile – stores user and emergency contact information.</w:t>
      </w:r>
    </w:p>
    <w:p>
      <w:pPr>
        <w:pStyle w:val="ListParagraph"/>
        <w:numPr>
          <w:ilvl w:val="1"/>
          <w:numId w:val="2"/>
        </w:numPr>
        <w:spacing w:after="100" w:line="300"/>
        <w:jc w:val="both"/>
      </w:pPr>
      <w:r>
        <w:rPr>
          <w:rFonts w:ascii="Times New Roman" w:cs="Times New Roman" w:eastAsia="Times New Roman" w:hAnsi="Times New Roman"/>
          <w:sz w:val="24"/>
          <w:szCs w:val="24"/>
        </w:rPr>
        <w:t xml:space="preserve">/submit-quiz – stores only the selected quiz responses.</w:t>
      </w:r>
    </w:p>
    <w:p>
      <w:pPr>
        <w:pStyle w:val="ListParagraph"/>
        <w:numPr>
          <w:ilvl w:val="1"/>
          <w:numId w:val="2"/>
        </w:numPr>
        <w:spacing w:after="100" w:line="300"/>
        <w:jc w:val="both"/>
      </w:pPr>
      <w:r>
        <w:rPr>
          <w:rFonts w:ascii="Times New Roman" w:cs="Times New Roman" w:eastAsia="Times New Roman" w:hAnsi="Times New Roman"/>
          <w:sz w:val="24"/>
          <w:szCs w:val="24"/>
        </w:rPr>
        <w:t xml:space="preserve">/upload-environmental-data – gathers environmental data via API and stores it.</w:t>
      </w:r>
    </w:p>
    <w:p>
      <w:pPr>
        <w:pStyle w:val="ListParagraph"/>
        <w:numPr>
          <w:ilvl w:val="1"/>
          <w:numId w:val="2"/>
        </w:numPr>
        <w:spacing w:after="100" w:line="300"/>
        <w:jc w:val="both"/>
      </w:pPr>
      <w:r>
        <w:rPr>
          <w:rFonts w:ascii="Times New Roman" w:cs="Times New Roman" w:eastAsia="Times New Roman" w:hAnsi="Times New Roman"/>
          <w:sz w:val="24"/>
          <w:szCs w:val="24"/>
        </w:rPr>
        <w:t xml:space="preserve">/send-data-to-ai – combines environmental and quiz data, sends it to the AI model, and handles the risk response.</w:t>
      </w:r>
    </w:p>
    <w:p>
      <w:pPr>
        <w:pStyle w:val="Heading3"/>
        <w:spacing w:after="100" w:before="160"/>
      </w:pPr>
      <w:r>
        <w:rPr>
          <w:rFonts w:ascii="Times New Roman" w:cs="Times New Roman" w:eastAsia="Times New Roman" w:hAnsi="Times New Roman"/>
          <w:b/>
          <w:bCs/>
          <w:sz w:val="24"/>
          <w:szCs w:val="24"/>
        </w:rPr>
        <w:t xml:space="preserve">(c) AI Model (Flask + TensorFlow)</w:t>
      </w:r>
    </w:p>
    <w:p>
      <w:pPr>
        <w:spacing w:after="80" w:before="200"/>
        <w:jc w:val="center"/>
      </w:pPr>
      <w:r/>
      <w:r>
        <w:drawing>
          <wp:inline xmlns:a="http://schemas.openxmlformats.org/drawingml/2006/main" xmlns:pic="http://schemas.openxmlformats.org/drawingml/2006/picture">
            <wp:extent cx="5486400" cy="5321808"/>
            <wp:docPr id="4" name="Picture 4"/>
            <wp:cNvGraphicFramePr>
              <a:graphicFrameLocks noChangeAspect="1"/>
            </wp:cNvGraphicFramePr>
            <a:graphic>
              <a:graphicData uri="http://schemas.openxmlformats.org/drawingml/2006/picture">
                <pic:pic>
                  <pic:nvPicPr>
                    <pic:cNvPr id="0" name="dfd_ai_model_clean.png"/>
                    <pic:cNvPicPr/>
                  </pic:nvPicPr>
                  <pic:blipFill>
                    <a:blip r:embed="rId16"/>
                    <a:stretch>
                      <a:fillRect/>
                    </a:stretch>
                  </pic:blipFill>
                  <pic:spPr>
                    <a:xfrm>
                      <a:off x="0" y="0"/>
                      <a:ext cx="5486400" cy="5321808"/>
                    </a:xfrm>
                    <a:prstGeom prst="rect"/>
                  </pic:spPr>
                </pic:pic>
              </a:graphicData>
            </a:graphic>
          </wp:inline>
        </w:drawing>
      </w:r>
    </w:p>
    <w:p>
      <w:pPr>
        <w:spacing w:after="240"/>
        <w:jc w:val="center"/>
      </w:pPr>
      <w:r>
        <w:rPr>
          <w:rFonts w:ascii="Times New Roman" w:cs="Times New Roman" w:eastAsia="Times New Roman" w:hAnsi="Times New Roman"/>
          <w:b w:val="false"/>
          <w:bCs w:val="false"/>
          <w:sz w:val="22"/>
          <w:szCs w:val="22"/>
        </w:rPr>
        <w:t xml:space="preserve">Figure 4.3 – Data Flow Diagram of the AI Model</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Model trained using real-world asthma-related datasets.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Preprocessed using LabelEncoder and StandardScaler, and stored via pickle.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The AI Flask API exposes a /predict route that receives environmental and quiz data, computes a risk score using the trained model, and returns an asthma risk value between 0 and 1.</w:t>
      </w:r>
    </w:p>
    <w:p>
      <w:pPr>
        <w:pStyle w:val="Heading3"/>
        <w:spacing w:after="100" w:before="160"/>
      </w:pPr>
      <w:r>
        <w:rPr>
          <w:rFonts w:ascii="Times New Roman" w:cs="Times New Roman" w:eastAsia="Times New Roman" w:hAnsi="Times New Roman"/>
          <w:b/>
          <w:bCs/>
          <w:sz w:val="24"/>
          <w:szCs w:val="24"/>
        </w:rPr>
        <w:t xml:space="preserve">Architectural Diagram</w:t>
      </w:r>
    </w:p>
    <w:p>
      <w:pPr>
        <w:spacing w:after="80" w:before="200"/>
        <w:jc w:val="center"/>
      </w:pPr>
      <w:r/>
      <w:r>
        <w:drawing>
          <wp:inline xmlns:a="http://schemas.openxmlformats.org/drawingml/2006/main" xmlns:pic="http://schemas.openxmlformats.org/drawingml/2006/picture">
            <wp:extent cx="5486400" cy="2231136"/>
            <wp:docPr id="5" name="Picture 5"/>
            <wp:cNvGraphicFramePr>
              <a:graphicFrameLocks noChangeAspect="1"/>
            </wp:cNvGraphicFramePr>
            <a:graphic>
              <a:graphicData uri="http://schemas.openxmlformats.org/drawingml/2006/picture">
                <pic:pic>
                  <pic:nvPicPr>
                    <pic:cNvPr id="0" name="system_architecture_clean.png"/>
                    <pic:cNvPicPr/>
                  </pic:nvPicPr>
                  <pic:blipFill>
                    <a:blip r:embed="rId17"/>
                    <a:stretch>
                      <a:fillRect/>
                    </a:stretch>
                  </pic:blipFill>
                  <pic:spPr>
                    <a:xfrm>
                      <a:off x="0" y="0"/>
                      <a:ext cx="5486400" cy="2231136"/>
                    </a:xfrm>
                    <a:prstGeom prst="rect"/>
                  </pic:spPr>
                </pic:pic>
              </a:graphicData>
            </a:graphic>
          </wp:inline>
        </w:drawing>
      </w:r>
    </w:p>
    <w:p>
      <w:pPr>
        <w:spacing w:after="240"/>
        <w:jc w:val="center"/>
      </w:pPr>
      <w:r>
        <w:rPr>
          <w:rFonts w:ascii="Times New Roman" w:cs="Times New Roman" w:eastAsia="Times New Roman" w:hAnsi="Times New Roman"/>
          <w:b w:val="false"/>
          <w:bCs w:val="false"/>
          <w:sz w:val="22"/>
          <w:szCs w:val="22"/>
        </w:rPr>
        <w:t xml:space="preserve">Figure 4.4 – Architectural Diagram</w:t>
      </w:r>
    </w:p>
    <w:p>
      <w:pPr>
        <w:pBdr>
          <w:bottom w:val="single" w:color="BFBFBF" w:sz="4" w:space="2"/>
        </w:pBdr>
        <w:spacing w:after="200" w:before="100"/>
      </w:pPr>
    </w:p>
    <w:p>
      <w:pPr>
        <w:pStyle w:val="Heading2"/>
        <w:spacing w:after="120" w:before="240"/>
      </w:pPr>
      <w:r>
        <w:rPr>
          <w:rFonts w:ascii="Times New Roman" w:cs="Times New Roman" w:eastAsia="Times New Roman" w:hAnsi="Times New Roman"/>
          <w:b/>
          <w:bCs/>
          <w:sz w:val="26"/>
          <w:szCs w:val="26"/>
        </w:rPr>
        <w:t xml:space="preserve">4.2 Working Principle</w:t>
      </w:r>
    </w:p>
    <w:p>
      <w:pPr>
        <w:spacing w:after="160" w:line="300"/>
        <w:ind w:firstLine="576"/>
        <w:jc w:val="both"/>
      </w:pPr>
      <w:r>
        <w:rPr>
          <w:rFonts w:ascii="Times New Roman" w:cs="Times New Roman" w:eastAsia="Times New Roman" w:hAnsi="Times New Roman"/>
          <w:sz w:val="24"/>
          <w:szCs w:val="24"/>
        </w:rPr>
        <w:t xml:space="preserve">Each frontend form was built with a clean UI for usability.</w:t>
      </w:r>
    </w:p>
    <w:p>
      <w:pPr>
        <w:pStyle w:val="Heading3"/>
        <w:spacing w:after="100" w:before="160"/>
      </w:pPr>
      <w:r>
        <w:rPr>
          <w:rFonts w:ascii="Times New Roman" w:cs="Times New Roman" w:eastAsia="Times New Roman" w:hAnsi="Times New Roman"/>
          <w:b/>
          <w:bCs/>
          <w:sz w:val="24"/>
          <w:szCs w:val="24"/>
        </w:rPr>
        <w:t xml:space="preserve">(a) Signup / Profile Form</w:t>
      </w:r>
    </w:p>
    <w:p>
      <w:pPr>
        <w:spacing w:after="160" w:line="300"/>
        <w:ind w:firstLine="576"/>
        <w:jc w:val="both"/>
      </w:pPr>
      <w:r>
        <w:rPr>
          <w:rFonts w:ascii="Times New Roman" w:cs="Times New Roman" w:eastAsia="Times New Roman" w:hAnsi="Times New Roman"/>
          <w:sz w:val="24"/>
          <w:szCs w:val="24"/>
        </w:rPr>
        <w:t xml:space="preserve">Collects the following:</w:t>
      </w:r>
    </w:p>
    <w:p>
      <w:pPr>
        <w:pStyle w:val="ListParagraph"/>
        <w:numPr>
          <w:ilvl w:val="0"/>
          <w:numId w:val="6"/>
        </w:numPr>
        <w:spacing w:after="100" w:line="300"/>
        <w:jc w:val="both"/>
      </w:pPr>
      <w:r>
        <w:rPr>
          <w:rFonts w:ascii="Times New Roman" w:cs="Times New Roman" w:eastAsia="Times New Roman" w:hAnsi="Times New Roman"/>
          <w:sz w:val="24"/>
          <w:szCs w:val="24"/>
        </w:rPr>
        <w:t xml:space="preserve">Name, age, gender.</w:t>
      </w:r>
    </w:p>
    <w:p>
      <w:pPr>
        <w:pStyle w:val="ListParagraph"/>
        <w:numPr>
          <w:ilvl w:val="0"/>
          <w:numId w:val="6"/>
        </w:numPr>
        <w:spacing w:after="100" w:line="300"/>
        <w:jc w:val="both"/>
      </w:pPr>
      <w:r>
        <w:rPr>
          <w:rFonts w:ascii="Times New Roman" w:cs="Times New Roman" w:eastAsia="Times New Roman" w:hAnsi="Times New Roman"/>
          <w:sz w:val="24"/>
          <w:szCs w:val="24"/>
        </w:rPr>
        <w:t xml:space="preserve">Mobile number, emergency contact.</w:t>
      </w:r>
    </w:p>
    <w:p>
      <w:pPr>
        <w:pStyle w:val="ListParagraph"/>
        <w:numPr>
          <w:ilvl w:val="0"/>
          <w:numId w:val="6"/>
        </w:numPr>
        <w:spacing w:after="100" w:line="300"/>
        <w:jc w:val="both"/>
      </w:pPr>
      <w:r>
        <w:rPr>
          <w:rFonts w:ascii="Times New Roman" w:cs="Times New Roman" w:eastAsia="Times New Roman" w:hAnsi="Times New Roman"/>
          <w:sz w:val="24"/>
          <w:szCs w:val="24"/>
        </w:rPr>
        <w:t xml:space="preserve">Medical history (optional).</w:t>
      </w:r>
    </w:p>
    <w:p>
      <w:pPr>
        <w:pStyle w:val="Heading3"/>
        <w:spacing w:after="100" w:before="160"/>
      </w:pPr>
      <w:r>
        <w:rPr>
          <w:rFonts w:ascii="Times New Roman" w:cs="Times New Roman" w:eastAsia="Times New Roman" w:hAnsi="Times New Roman"/>
          <w:b/>
          <w:bCs/>
          <w:sz w:val="24"/>
          <w:szCs w:val="24"/>
        </w:rPr>
        <w:t xml:space="preserve">(b) Quiz Interface</w:t>
      </w:r>
    </w:p>
    <w:p>
      <w:pPr>
        <w:pStyle w:val="ListParagraph"/>
        <w:numPr>
          <w:ilvl w:val="0"/>
          <w:numId w:val="7"/>
        </w:numPr>
        <w:spacing w:after="100" w:line="300"/>
        <w:jc w:val="both"/>
      </w:pPr>
      <w:r>
        <w:rPr>
          <w:rFonts w:ascii="Times New Roman" w:cs="Times New Roman" w:eastAsia="Times New Roman" w:hAnsi="Times New Roman"/>
          <w:sz w:val="24"/>
          <w:szCs w:val="24"/>
        </w:rPr>
        <w:t xml:space="preserve">5-question asthma survey.</w:t>
      </w:r>
    </w:p>
    <w:p>
      <w:pPr>
        <w:pStyle w:val="ListParagraph"/>
        <w:numPr>
          <w:ilvl w:val="0"/>
          <w:numId w:val="7"/>
        </w:numPr>
        <w:spacing w:after="100" w:line="300"/>
        <w:jc w:val="both"/>
      </w:pPr>
      <w:r>
        <w:rPr>
          <w:rFonts w:ascii="Times New Roman" w:cs="Times New Roman" w:eastAsia="Times New Roman" w:hAnsi="Times New Roman"/>
          <w:sz w:val="24"/>
          <w:szCs w:val="24"/>
        </w:rPr>
        <w:t xml:space="preserve">MCQ layout with option highlighting.</w:t>
      </w:r>
    </w:p>
    <w:p>
      <w:pPr>
        <w:pStyle w:val="Heading3"/>
        <w:spacing w:after="100" w:before="160"/>
      </w:pPr>
      <w:r>
        <w:rPr>
          <w:rFonts w:ascii="Times New Roman" w:cs="Times New Roman" w:eastAsia="Times New Roman" w:hAnsi="Times New Roman"/>
          <w:b/>
          <w:bCs/>
          <w:sz w:val="24"/>
          <w:szCs w:val="24"/>
        </w:rPr>
        <w:t xml:space="preserve">(c) Dashboard</w:t>
      </w:r>
    </w:p>
    <w:p>
      <w:pPr>
        <w:spacing w:after="160" w:line="300"/>
        <w:ind w:firstLine="576"/>
        <w:jc w:val="both"/>
      </w:pPr>
      <w:r>
        <w:rPr>
          <w:rFonts w:ascii="Times New Roman" w:cs="Times New Roman" w:eastAsia="Times New Roman" w:hAnsi="Times New Roman"/>
          <w:sz w:val="24"/>
          <w:szCs w:val="24"/>
        </w:rPr>
        <w:t xml:space="preserve">Shows the following:</w:t>
      </w:r>
    </w:p>
    <w:p>
      <w:pPr>
        <w:pStyle w:val="ListParagraph"/>
        <w:numPr>
          <w:ilvl w:val="0"/>
          <w:numId w:val="8"/>
        </w:numPr>
        <w:spacing w:after="100" w:line="300"/>
        <w:jc w:val="both"/>
      </w:pPr>
      <w:r>
        <w:rPr>
          <w:rFonts w:ascii="Times New Roman" w:cs="Times New Roman" w:eastAsia="Times New Roman" w:hAnsi="Times New Roman"/>
          <w:sz w:val="24"/>
          <w:szCs w:val="24"/>
        </w:rPr>
        <w:t xml:space="preserve">Temperature, AQI, humidity, and device connection status.</w:t>
      </w:r>
    </w:p>
    <w:p>
      <w:pPr>
        <w:pStyle w:val="ListParagraph"/>
        <w:numPr>
          <w:ilvl w:val="0"/>
          <w:numId w:val="8"/>
        </w:numPr>
        <w:spacing w:after="100" w:line="300"/>
        <w:jc w:val="both"/>
      </w:pPr>
      <w:r>
        <w:rPr>
          <w:rFonts w:ascii="Times New Roman" w:cs="Times New Roman" w:eastAsia="Times New Roman" w:hAnsi="Times New Roman"/>
          <w:sz w:val="24"/>
          <w:szCs w:val="24"/>
        </w:rPr>
        <w:t xml:space="preserve">“Upload Sensor Data” and “Predict with AI” buttons.</w:t>
      </w:r>
    </w:p>
    <w:p>
      <w:pPr>
        <w:pStyle w:val="ListParagraph"/>
        <w:numPr>
          <w:ilvl w:val="0"/>
          <w:numId w:val="8"/>
        </w:numPr>
        <w:spacing w:after="100" w:line="300"/>
        <w:jc w:val="both"/>
      </w:pPr>
      <w:r>
        <w:rPr>
          <w:rFonts w:ascii="Times New Roman" w:cs="Times New Roman" w:eastAsia="Times New Roman" w:hAnsi="Times New Roman"/>
          <w:sz w:val="24"/>
          <w:szCs w:val="24"/>
        </w:rPr>
        <w:t xml:space="preserve">An alert modal appears if the risk score is ≥ 0.6.</w:t>
      </w:r>
    </w:p>
    <w:p>
      <w:pPr>
        <w:pBdr>
          <w:bottom w:val="single" w:color="BFBFBF" w:sz="4" w:space="2"/>
        </w:pBdr>
        <w:spacing w:after="200" w:before="100"/>
      </w:pPr>
    </w:p>
    <w:p>
      <w:pPr>
        <w:pStyle w:val="Heading2"/>
        <w:spacing w:after="120" w:before="240"/>
      </w:pPr>
      <w:r>
        <w:rPr>
          <w:rFonts w:ascii="Times New Roman" w:cs="Times New Roman" w:eastAsia="Times New Roman" w:hAnsi="Times New Roman"/>
          <w:b/>
          <w:bCs/>
          <w:sz w:val="26"/>
          <w:szCs w:val="26"/>
        </w:rPr>
        <w:t xml:space="preserve">4.3 Results and Discussion</w:t>
      </w:r>
    </w:p>
    <w:p>
      <w:pPr>
        <w:spacing w:after="120" w:line="276" w:lineRule="auto"/>
        <w:jc w:val="both"/>
      </w:pPr>
      <w:r>
        <w:rPr>
          <w:rFonts w:ascii="Times New Roman" w:hAnsi="Times New Roman"/>
          <w:color w:val="000000"/>
          <w:sz w:val="24"/>
        </w:rPr>
        <w:t>To rigorously assess the predictive performance, clinical reliability, and real-time execution of the HridyaVayu decision support platform for Review 1, a comprehensive empirical evaluation of the deployed model architecture was conducted. The evaluation was carried out using a 2,000-sample multimodal dataset constructed from an initial clinical seed cohort of 201 verified patient records expanded via controlled synthetic data augmentation ('Synthetic Pessimism'). Under this methodology, the model was trained against realistic environmental volatility, measurement variance, and borderline symptom overlaps to prevent clinical overfitting.</w:t>
      </w:r>
    </w:p>
    <w:p>
      <w:pPr>
        <w:spacing w:after="160" w:line="276" w:lineRule="auto"/>
        <w:jc w:val="both"/>
      </w:pPr>
      <w:r>
        <w:rPr>
          <w:rFonts w:ascii="Times New Roman" w:hAnsi="Times New Roman"/>
          <w:color w:val="000000"/>
          <w:sz w:val="24"/>
        </w:rPr>
        <w:t>The primary prediction target is the patient's acute asthma exacerbation risk tier, stratified into three clinically actionable classes: Low Risk (controlled respiratory state), Medium Risk (moderate concern requiring monitoring), and High Risk (impending or active severe bronchospasm). Model validation was performed using 5-fold stratified cross-validation across all folds to guarantee balanced class distributions and eliminate data leakage.</w:t>
      </w:r>
    </w:p>
    <w:p>
      <w:pPr>
        <w:keepNext/>
        <w:spacing w:before="200" w:after="60"/>
      </w:pPr>
      <w:r>
        <w:rPr>
          <w:rFonts w:ascii="Times New Roman" w:hAnsi="Times New Roman"/>
          <w:b/>
          <w:color w:val="000000"/>
          <w:sz w:val="24"/>
        </w:rPr>
        <w:t>4.3.1 Review 1 Model Performance Benchmark</w:t>
      </w:r>
    </w:p>
    <w:p>
      <w:pPr>
        <w:spacing w:after="120" w:line="276" w:lineRule="auto"/>
        <w:jc w:val="both"/>
      </w:pPr>
      <w:r>
        <w:rPr>
          <w:rFonts w:ascii="Times New Roman" w:hAnsi="Times New Roman"/>
          <w:color w:val="000000"/>
          <w:sz w:val="24"/>
        </w:rPr>
        <w:t>The deployed HridyaVayu machine learning system utilizes a Collaborative Soft-Voting Ensemble architecture combining three complementary constituent algorithms: Baseline Logistic Regression (linear log-odds calibration), Random Forest (non-linear bagging and variance reduction), and Gradient Boosting (residual error minimization). Table 4.1 presents the empirical evaluation metrics for the current Review 1 system, detailing classification accuracy, macro-averaged precision, recall, F1-score, and per-sample inference latency.</w:t>
      </w:r>
    </w:p>
    <w:p>
      <w:pPr>
        <w:keepNext/>
        <w:spacing w:before="200" w:after="80"/>
        <w:jc w:val="center"/>
      </w:pPr>
      <w:r>
        <w:rPr>
          <w:rFonts w:ascii="Times New Roman" w:hAnsi="Times New Roman"/>
          <w:b/>
          <w:color w:val="1E293B"/>
          <w:sz w:val="22"/>
        </w:rPr>
        <w:t xml:space="preserve">Table 4.1 – </w:t>
      </w:r>
      <w:r>
        <w:rPr>
          <w:rFonts w:ascii="Times New Roman" w:hAnsi="Times New Roman"/>
          <w:color w:val="1E293B"/>
          <w:sz w:val="22"/>
        </w:rPr>
        <w:t>Review 1 Current Model Performance Benchmark (5-Fold Stratified Cross-Validation)</w:t>
      </w:r>
    </w:p>
    <w:tbl>
      <w:tblPr>
        <w:tblW w:type="auto" w:w="0"/>
        <w:jc w:val="center"/>
        <w:tblLook w:firstColumn="1" w:firstRow="1" w:lastColumn="0" w:lastRow="0" w:noHBand="0" w:noVBand="1" w:val="04A0"/>
        <w:tblBorders>
          <w:top w:val="single" w:sz="6" w:space="0" w:color="333333"/>
          <w:bottom w:val="single" w:sz="6" w:space="0" w:color="333333"/>
          <w:left w:val="none"/>
          <w:right w:val="none"/>
          <w:insideH w:val="single" w:sz="4" w:space="0" w:color="D3D3D3"/>
          <w:insideV w:val="none"/>
        </w:tblBorders>
      </w:tblPr>
      <w:tblGrid>
        <w:gridCol w:w="1560"/>
        <w:gridCol w:w="1560"/>
        <w:gridCol w:w="1560"/>
        <w:gridCol w:w="1560"/>
        <w:gridCol w:w="1560"/>
        <w:gridCol w:w="1560"/>
      </w:tblGrid>
      <w:tr>
        <w:tc>
          <w:tcPr>
            <w:tcW w:type="dxa" w:w="3456"/>
            <w:shd w:fill="F1F5F9"/>
            <w:tcMar>
              <w:top w:w="100" w:type="dxa"/>
              <w:bottom w:w="100" w:type="dxa"/>
              <w:left w:w="120" w:type="dxa"/>
              <w:right w:w="120" w:type="dxa"/>
            </w:tcMar>
          </w:tcPr>
          <w:p>
            <w:pPr>
              <w:spacing w:after="0"/>
              <w:jc w:val="center"/>
            </w:pPr>
            <w:r>
              <w:rPr>
                <w:rFonts w:ascii="Times New Roman" w:hAnsi="Times New Roman"/>
                <w:b/>
                <w:color w:val="0F172A"/>
                <w:sz w:val="19"/>
              </w:rPr>
              <w:t>Model Component / Architecture</w:t>
            </w:r>
          </w:p>
        </w:tc>
        <w:tc>
          <w:tcPr>
            <w:tcW w:type="dxa" w:w="1296"/>
            <w:shd w:fill="F1F5F9"/>
            <w:tcMar>
              <w:top w:w="100" w:type="dxa"/>
              <w:bottom w:w="100" w:type="dxa"/>
              <w:left w:w="120" w:type="dxa"/>
              <w:right w:w="120" w:type="dxa"/>
            </w:tcMar>
          </w:tcPr>
          <w:p>
            <w:pPr>
              <w:spacing w:after="0"/>
              <w:jc w:val="center"/>
            </w:pPr>
            <w:r>
              <w:rPr>
                <w:rFonts w:ascii="Times New Roman" w:hAnsi="Times New Roman"/>
                <w:b/>
                <w:color w:val="0F172A"/>
                <w:sz w:val="19"/>
              </w:rPr>
              <w:t>Accuracy (%)</w:t>
            </w:r>
          </w:p>
        </w:tc>
        <w:tc>
          <w:tcPr>
            <w:tcW w:type="dxa" w:w="1152"/>
            <w:shd w:fill="F1F5F9"/>
            <w:tcMar>
              <w:top w:w="100" w:type="dxa"/>
              <w:bottom w:w="100" w:type="dxa"/>
              <w:left w:w="120" w:type="dxa"/>
              <w:right w:w="120" w:type="dxa"/>
            </w:tcMar>
          </w:tcPr>
          <w:p>
            <w:pPr>
              <w:spacing w:after="0"/>
              <w:jc w:val="center"/>
            </w:pPr>
            <w:r>
              <w:rPr>
                <w:rFonts w:ascii="Times New Roman" w:hAnsi="Times New Roman"/>
                <w:b/>
                <w:color w:val="0F172A"/>
                <w:sz w:val="19"/>
              </w:rPr>
              <w:t>Precision</w:t>
            </w:r>
          </w:p>
        </w:tc>
        <w:tc>
          <w:tcPr>
            <w:tcW w:type="dxa" w:w="1152"/>
            <w:shd w:fill="F1F5F9"/>
            <w:tcMar>
              <w:top w:w="100" w:type="dxa"/>
              <w:bottom w:w="100" w:type="dxa"/>
              <w:left w:w="120" w:type="dxa"/>
              <w:right w:w="120" w:type="dxa"/>
            </w:tcMar>
          </w:tcPr>
          <w:p>
            <w:pPr>
              <w:spacing w:after="0"/>
              <w:jc w:val="center"/>
            </w:pPr>
            <w:r>
              <w:rPr>
                <w:rFonts w:ascii="Times New Roman" w:hAnsi="Times New Roman"/>
                <w:b/>
                <w:color w:val="0F172A"/>
                <w:sz w:val="19"/>
              </w:rPr>
              <w:t>Recall</w:t>
            </w:r>
          </w:p>
        </w:tc>
        <w:tc>
          <w:tcPr>
            <w:tcW w:type="dxa" w:w="1152"/>
            <w:shd w:fill="F1F5F9"/>
            <w:tcMar>
              <w:top w:w="100" w:type="dxa"/>
              <w:bottom w:w="100" w:type="dxa"/>
              <w:left w:w="120" w:type="dxa"/>
              <w:right w:w="120" w:type="dxa"/>
            </w:tcMar>
          </w:tcPr>
          <w:p>
            <w:pPr>
              <w:spacing w:after="0"/>
              <w:jc w:val="center"/>
            </w:pPr>
            <w:r>
              <w:rPr>
                <w:rFonts w:ascii="Times New Roman" w:hAnsi="Times New Roman"/>
                <w:b/>
                <w:color w:val="0F172A"/>
                <w:sz w:val="19"/>
              </w:rPr>
              <w:t>F1-Score</w:t>
            </w:r>
          </w:p>
        </w:tc>
        <w:tc>
          <w:tcPr>
            <w:tcW w:type="dxa" w:w="1296"/>
            <w:shd w:fill="F1F5F9"/>
            <w:tcMar>
              <w:top w:w="100" w:type="dxa"/>
              <w:bottom w:w="100" w:type="dxa"/>
              <w:left w:w="120" w:type="dxa"/>
              <w:right w:w="120" w:type="dxa"/>
            </w:tcMar>
          </w:tcPr>
          <w:p>
            <w:pPr>
              <w:spacing w:after="0"/>
              <w:jc w:val="center"/>
            </w:pPr>
            <w:r>
              <w:rPr>
                <w:rFonts w:ascii="Times New Roman" w:hAnsi="Times New Roman"/>
                <w:b/>
                <w:color w:val="0F172A"/>
                <w:sz w:val="19"/>
              </w:rPr>
              <w:t>Inference Latency</w:t>
            </w:r>
          </w:p>
        </w:tc>
      </w:tr>
      <w:tr>
        <w:tc>
          <w:tcPr>
            <w:tcW w:type="dxa" w:w="3456"/>
            <w:shd w:fill="FFFFFF"/>
            <w:tcMar>
              <w:top w:w="80" w:type="dxa"/>
              <w:bottom w:w="80" w:type="dxa"/>
              <w:left w:w="120" w:type="dxa"/>
              <w:right w:w="120" w:type="dxa"/>
            </w:tcMar>
          </w:tcPr>
          <w:p>
            <w:pPr>
              <w:spacing w:after="0"/>
              <w:jc w:val="left"/>
            </w:pPr>
            <w:r>
              <w:rPr>
                <w:rFonts w:ascii="Times New Roman" w:hAnsi="Times New Roman"/>
                <w:color w:val="1E293B"/>
                <w:sz w:val="18"/>
              </w:rPr>
              <w:t>Baseline Logistic Regression (w1 = 1)</w:t>
            </w:r>
          </w:p>
        </w:tc>
        <w:tc>
          <w:tcPr>
            <w:tcW w:type="dxa" w:w="1296"/>
            <w:shd w:fill="FFFFFF"/>
            <w:tcMar>
              <w:top w:w="80" w:type="dxa"/>
              <w:bottom w:w="80" w:type="dxa"/>
              <w:left w:w="120" w:type="dxa"/>
              <w:right w:w="120" w:type="dxa"/>
            </w:tcMar>
          </w:tcPr>
          <w:p>
            <w:pPr>
              <w:spacing w:after="0"/>
              <w:jc w:val="center"/>
            </w:pPr>
            <w:r>
              <w:rPr>
                <w:rFonts w:ascii="Times New Roman" w:hAnsi="Times New Roman"/>
                <w:color w:val="1E293B"/>
                <w:sz w:val="18"/>
              </w:rPr>
              <w:t>71.33%</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0.7080</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0.7133</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0.7117</w:t>
            </w:r>
          </w:p>
        </w:tc>
        <w:tc>
          <w:tcPr>
            <w:tcW w:type="dxa" w:w="1296"/>
            <w:shd w:fill="FFFFFF"/>
            <w:tcMar>
              <w:top w:w="80" w:type="dxa"/>
              <w:bottom w:w="80" w:type="dxa"/>
              <w:left w:w="120" w:type="dxa"/>
              <w:right w:w="120" w:type="dxa"/>
            </w:tcMar>
          </w:tcPr>
          <w:p>
            <w:pPr>
              <w:spacing w:after="0"/>
              <w:jc w:val="center"/>
            </w:pPr>
            <w:r>
              <w:rPr>
                <w:rFonts w:ascii="Times New Roman" w:hAnsi="Times New Roman"/>
                <w:color w:val="1E293B"/>
                <w:sz w:val="18"/>
              </w:rPr>
              <w:t>0.14 ms</w:t>
            </w:r>
          </w:p>
        </w:tc>
      </w:tr>
      <w:tr>
        <w:tc>
          <w:tcPr>
            <w:tcW w:type="dxa" w:w="3456"/>
            <w:shd w:fill="F8FAFC"/>
            <w:tcMar>
              <w:top w:w="80" w:type="dxa"/>
              <w:bottom w:w="80" w:type="dxa"/>
              <w:left w:w="120" w:type="dxa"/>
              <w:right w:w="120" w:type="dxa"/>
            </w:tcMar>
          </w:tcPr>
          <w:p>
            <w:pPr>
              <w:spacing w:after="0"/>
              <w:jc w:val="left"/>
            </w:pPr>
            <w:r>
              <w:rPr>
                <w:rFonts w:ascii="Times New Roman" w:hAnsi="Times New Roman"/>
                <w:color w:val="1E293B"/>
                <w:sz w:val="18"/>
              </w:rPr>
              <w:t>Random Forest Classifier (w2 = 2)</w:t>
            </w:r>
          </w:p>
        </w:tc>
        <w:tc>
          <w:tcPr>
            <w:tcW w:type="dxa" w:w="1296"/>
            <w:shd w:fill="F8FAFC"/>
            <w:tcMar>
              <w:top w:w="80" w:type="dxa"/>
              <w:bottom w:w="80" w:type="dxa"/>
              <w:left w:w="120" w:type="dxa"/>
              <w:right w:w="120" w:type="dxa"/>
            </w:tcMar>
          </w:tcPr>
          <w:p>
            <w:pPr>
              <w:spacing w:after="0"/>
              <w:jc w:val="center"/>
            </w:pPr>
            <w:r>
              <w:rPr>
                <w:rFonts w:ascii="Times New Roman" w:hAnsi="Times New Roman"/>
                <w:color w:val="1E293B"/>
                <w:sz w:val="18"/>
              </w:rPr>
              <w:t>72.33%</w:t>
            </w:r>
          </w:p>
        </w:tc>
        <w:tc>
          <w:tcPr>
            <w:tcW w:type="dxa" w:w="1152"/>
            <w:shd w:fill="F8FAFC"/>
            <w:tcMar>
              <w:top w:w="80" w:type="dxa"/>
              <w:bottom w:w="80" w:type="dxa"/>
              <w:left w:w="120" w:type="dxa"/>
              <w:right w:w="120" w:type="dxa"/>
            </w:tcMar>
          </w:tcPr>
          <w:p>
            <w:pPr>
              <w:spacing w:after="0"/>
              <w:jc w:val="center"/>
            </w:pPr>
            <w:r>
              <w:rPr>
                <w:rFonts w:ascii="Times New Roman" w:hAnsi="Times New Roman"/>
                <w:color w:val="1E293B"/>
                <w:sz w:val="18"/>
              </w:rPr>
              <w:t>0.7120</w:t>
            </w:r>
          </w:p>
        </w:tc>
        <w:tc>
          <w:tcPr>
            <w:tcW w:type="dxa" w:w="1152"/>
            <w:shd w:fill="F8FAFC"/>
            <w:tcMar>
              <w:top w:w="80" w:type="dxa"/>
              <w:bottom w:w="80" w:type="dxa"/>
              <w:left w:w="120" w:type="dxa"/>
              <w:right w:w="120" w:type="dxa"/>
            </w:tcMar>
          </w:tcPr>
          <w:p>
            <w:pPr>
              <w:spacing w:after="0"/>
              <w:jc w:val="center"/>
            </w:pPr>
            <w:r>
              <w:rPr>
                <w:rFonts w:ascii="Times New Roman" w:hAnsi="Times New Roman"/>
                <w:color w:val="1E293B"/>
                <w:sz w:val="18"/>
              </w:rPr>
              <w:t>0.7233</w:t>
            </w:r>
          </w:p>
        </w:tc>
        <w:tc>
          <w:tcPr>
            <w:tcW w:type="dxa" w:w="1152"/>
            <w:shd w:fill="F8FAFC"/>
            <w:tcMar>
              <w:top w:w="80" w:type="dxa"/>
              <w:bottom w:w="80" w:type="dxa"/>
              <w:left w:w="120" w:type="dxa"/>
              <w:right w:w="120" w:type="dxa"/>
            </w:tcMar>
          </w:tcPr>
          <w:p>
            <w:pPr>
              <w:spacing w:after="0"/>
              <w:jc w:val="center"/>
            </w:pPr>
            <w:r>
              <w:rPr>
                <w:rFonts w:ascii="Times New Roman" w:hAnsi="Times New Roman"/>
                <w:color w:val="1E293B"/>
                <w:sz w:val="18"/>
              </w:rPr>
              <w:t>0.7058</w:t>
            </w:r>
          </w:p>
        </w:tc>
        <w:tc>
          <w:tcPr>
            <w:tcW w:type="dxa" w:w="1296"/>
            <w:shd w:fill="F8FAFC"/>
            <w:tcMar>
              <w:top w:w="80" w:type="dxa"/>
              <w:bottom w:w="80" w:type="dxa"/>
              <w:left w:w="120" w:type="dxa"/>
              <w:right w:w="120" w:type="dxa"/>
            </w:tcMar>
          </w:tcPr>
          <w:p>
            <w:pPr>
              <w:spacing w:after="0"/>
              <w:jc w:val="center"/>
            </w:pPr>
            <w:r>
              <w:rPr>
                <w:rFonts w:ascii="Times New Roman" w:hAnsi="Times New Roman"/>
                <w:color w:val="1E293B"/>
                <w:sz w:val="18"/>
              </w:rPr>
              <w:t>0.88 ms</w:t>
            </w:r>
          </w:p>
        </w:tc>
      </w:tr>
      <w:tr>
        <w:tc>
          <w:tcPr>
            <w:tcW w:type="dxa" w:w="3456"/>
            <w:shd w:fill="FFFFFF"/>
            <w:tcMar>
              <w:top w:w="80" w:type="dxa"/>
              <w:bottom w:w="80" w:type="dxa"/>
              <w:left w:w="120" w:type="dxa"/>
              <w:right w:w="120" w:type="dxa"/>
            </w:tcMar>
          </w:tcPr>
          <w:p>
            <w:pPr>
              <w:spacing w:after="0"/>
              <w:jc w:val="left"/>
            </w:pPr>
            <w:r>
              <w:rPr>
                <w:rFonts w:ascii="Times New Roman" w:hAnsi="Times New Roman"/>
                <w:color w:val="1E293B"/>
                <w:sz w:val="18"/>
              </w:rPr>
              <w:t>Gradient Boosting Classifier (w3 = 2)</w:t>
            </w:r>
          </w:p>
        </w:tc>
        <w:tc>
          <w:tcPr>
            <w:tcW w:type="dxa" w:w="1296"/>
            <w:shd w:fill="FFFFFF"/>
            <w:tcMar>
              <w:top w:w="80" w:type="dxa"/>
              <w:bottom w:w="80" w:type="dxa"/>
              <w:left w:w="120" w:type="dxa"/>
              <w:right w:w="120" w:type="dxa"/>
            </w:tcMar>
          </w:tcPr>
          <w:p>
            <w:pPr>
              <w:spacing w:after="0"/>
              <w:jc w:val="center"/>
            </w:pPr>
            <w:r>
              <w:rPr>
                <w:rFonts w:ascii="Times New Roman" w:hAnsi="Times New Roman"/>
                <w:color w:val="1E293B"/>
                <w:sz w:val="18"/>
              </w:rPr>
              <w:t>69.67%</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0.6910</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0.6967</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0.6942</w:t>
            </w:r>
          </w:p>
        </w:tc>
        <w:tc>
          <w:tcPr>
            <w:tcW w:type="dxa" w:w="1296"/>
            <w:shd w:fill="FFFFFF"/>
            <w:tcMar>
              <w:top w:w="80" w:type="dxa"/>
              <w:bottom w:w="80" w:type="dxa"/>
              <w:left w:w="120" w:type="dxa"/>
              <w:right w:w="120" w:type="dxa"/>
            </w:tcMar>
          </w:tcPr>
          <w:p>
            <w:pPr>
              <w:spacing w:after="0"/>
              <w:jc w:val="center"/>
            </w:pPr>
            <w:r>
              <w:rPr>
                <w:rFonts w:ascii="Times New Roman" w:hAnsi="Times New Roman"/>
                <w:color w:val="1E293B"/>
                <w:sz w:val="18"/>
              </w:rPr>
              <w:t>1.15 ms</w:t>
            </w:r>
          </w:p>
        </w:tc>
      </w:tr>
      <w:tr>
        <w:tc>
          <w:tcPr>
            <w:tcW w:type="dxa" w:w="3456"/>
            <w:shd w:fill="F8FAFC"/>
            <w:tcMar>
              <w:top w:w="80" w:type="dxa"/>
              <w:bottom w:w="80" w:type="dxa"/>
              <w:left w:w="120" w:type="dxa"/>
              <w:right w:w="120" w:type="dxa"/>
            </w:tcMar>
          </w:tcPr>
          <w:p>
            <w:pPr>
              <w:spacing w:after="0"/>
              <w:jc w:val="left"/>
            </w:pPr>
            <w:r>
              <w:rPr>
                <w:rFonts w:ascii="Times New Roman" w:hAnsi="Times New Roman"/>
                <w:color w:val="1E293B"/>
                <w:sz w:val="18"/>
              </w:rPr>
              <w:t>Collaborative Soft-Voting Ensemble (Current Model)</w:t>
            </w:r>
          </w:p>
        </w:tc>
        <w:tc>
          <w:tcPr>
            <w:tcW w:type="dxa" w:w="1296"/>
            <w:shd w:fill="F8FAFC"/>
            <w:tcMar>
              <w:top w:w="80" w:type="dxa"/>
              <w:bottom w:w="80" w:type="dxa"/>
              <w:left w:w="120" w:type="dxa"/>
              <w:right w:w="120" w:type="dxa"/>
            </w:tcMar>
          </w:tcPr>
          <w:p>
            <w:pPr>
              <w:spacing w:after="0"/>
              <w:jc w:val="center"/>
            </w:pPr>
            <w:r>
              <w:rPr>
                <w:rFonts w:ascii="Times New Roman" w:hAnsi="Times New Roman"/>
                <w:color w:val="1E293B"/>
                <w:sz w:val="18"/>
              </w:rPr>
              <w:t>73.00%</w:t>
            </w:r>
          </w:p>
        </w:tc>
        <w:tc>
          <w:tcPr>
            <w:tcW w:type="dxa" w:w="1152"/>
            <w:shd w:fill="F8FAFC"/>
            <w:tcMar>
              <w:top w:w="80" w:type="dxa"/>
              <w:bottom w:w="80" w:type="dxa"/>
              <w:left w:w="120" w:type="dxa"/>
              <w:right w:w="120" w:type="dxa"/>
            </w:tcMar>
          </w:tcPr>
          <w:p>
            <w:pPr>
              <w:spacing w:after="0"/>
              <w:jc w:val="center"/>
            </w:pPr>
            <w:r>
              <w:rPr>
                <w:rFonts w:ascii="Times New Roman" w:hAnsi="Times New Roman"/>
                <w:color w:val="1E293B"/>
                <w:sz w:val="18"/>
              </w:rPr>
              <w:t>0.7250</w:t>
            </w:r>
          </w:p>
        </w:tc>
        <w:tc>
          <w:tcPr>
            <w:tcW w:type="dxa" w:w="1152"/>
            <w:shd w:fill="F8FAFC"/>
            <w:tcMar>
              <w:top w:w="80" w:type="dxa"/>
              <w:bottom w:w="80" w:type="dxa"/>
              <w:left w:w="120" w:type="dxa"/>
              <w:right w:w="120" w:type="dxa"/>
            </w:tcMar>
          </w:tcPr>
          <w:p>
            <w:pPr>
              <w:spacing w:after="0"/>
              <w:jc w:val="center"/>
            </w:pPr>
            <w:r>
              <w:rPr>
                <w:rFonts w:ascii="Times New Roman" w:hAnsi="Times New Roman"/>
                <w:color w:val="1E293B"/>
                <w:sz w:val="18"/>
              </w:rPr>
              <w:t>0.7300</w:t>
            </w:r>
          </w:p>
        </w:tc>
        <w:tc>
          <w:tcPr>
            <w:tcW w:type="dxa" w:w="1152"/>
            <w:shd w:fill="F8FAFC"/>
            <w:tcMar>
              <w:top w:w="80" w:type="dxa"/>
              <w:bottom w:w="80" w:type="dxa"/>
              <w:left w:w="120" w:type="dxa"/>
              <w:right w:w="120" w:type="dxa"/>
            </w:tcMar>
          </w:tcPr>
          <w:p>
            <w:pPr>
              <w:spacing w:after="0"/>
              <w:jc w:val="center"/>
            </w:pPr>
            <w:r>
              <w:rPr>
                <w:rFonts w:ascii="Times New Roman" w:hAnsi="Times New Roman"/>
                <w:color w:val="1E293B"/>
                <w:sz w:val="18"/>
              </w:rPr>
              <w:t>0.7234</w:t>
            </w:r>
          </w:p>
        </w:tc>
        <w:tc>
          <w:tcPr>
            <w:tcW w:type="dxa" w:w="1296"/>
            <w:shd w:fill="F8FAFC"/>
            <w:tcMar>
              <w:top w:w="80" w:type="dxa"/>
              <w:bottom w:w="80" w:type="dxa"/>
              <w:left w:w="120" w:type="dxa"/>
              <w:right w:w="120" w:type="dxa"/>
            </w:tcMar>
          </w:tcPr>
          <w:p>
            <w:pPr>
              <w:spacing w:after="0"/>
              <w:jc w:val="center"/>
            </w:pPr>
            <w:r>
              <w:rPr>
                <w:rFonts w:ascii="Times New Roman" w:hAnsi="Times New Roman"/>
                <w:color w:val="1E293B"/>
                <w:sz w:val="18"/>
              </w:rPr>
              <w:t>1.42 ms</w:t>
            </w:r>
          </w:p>
        </w:tc>
      </w:tr>
      <w:tr>
        <w:tc>
          <w:tcPr>
            <w:tcW w:type="dxa" w:w="3456"/>
            <w:shd w:fill="FFFFFF"/>
            <w:tcMar>
              <w:top w:w="80" w:type="dxa"/>
              <w:bottom w:w="80" w:type="dxa"/>
              <w:left w:w="120" w:type="dxa"/>
              <w:right w:w="120" w:type="dxa"/>
            </w:tcMar>
          </w:tcPr>
          <w:p>
            <w:pPr>
              <w:spacing w:after="0"/>
              <w:jc w:val="left"/>
            </w:pPr>
            <w:r>
              <w:rPr>
                <w:rFonts w:ascii="Times New Roman" w:hAnsi="Times New Roman"/>
                <w:color w:val="1E293B"/>
                <w:sz w:val="18"/>
              </w:rPr>
              <w:t>Hybrid System (Ensemble + GINA Safety Override)</w:t>
            </w:r>
          </w:p>
        </w:tc>
        <w:tc>
          <w:tcPr>
            <w:tcW w:type="dxa" w:w="1296"/>
            <w:shd w:fill="FFFFFF"/>
            <w:tcMar>
              <w:top w:w="80" w:type="dxa"/>
              <w:bottom w:w="80" w:type="dxa"/>
              <w:left w:w="120" w:type="dxa"/>
              <w:right w:w="120" w:type="dxa"/>
            </w:tcMar>
          </w:tcPr>
          <w:p>
            <w:pPr>
              <w:spacing w:after="0"/>
              <w:jc w:val="center"/>
            </w:pPr>
            <w:r>
              <w:rPr>
                <w:rFonts w:ascii="Times New Roman" w:hAnsi="Times New Roman"/>
                <w:color w:val="1E293B"/>
                <w:sz w:val="18"/>
              </w:rPr>
              <w:t>94.70%</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0.9380</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0.9520</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0.9450</w:t>
            </w:r>
          </w:p>
        </w:tc>
        <w:tc>
          <w:tcPr>
            <w:tcW w:type="dxa" w:w="1296"/>
            <w:shd w:fill="FFFFFF"/>
            <w:tcMar>
              <w:top w:w="80" w:type="dxa"/>
              <w:bottom w:w="80" w:type="dxa"/>
              <w:left w:w="120" w:type="dxa"/>
              <w:right w:w="120" w:type="dxa"/>
            </w:tcMar>
          </w:tcPr>
          <w:p>
            <w:pPr>
              <w:spacing w:after="0"/>
              <w:jc w:val="center"/>
            </w:pPr>
            <w:r>
              <w:rPr>
                <w:rFonts w:ascii="Times New Roman" w:hAnsi="Times New Roman"/>
                <w:color w:val="1E293B"/>
                <w:sz w:val="18"/>
              </w:rPr>
              <w:t>1.45 ms</w:t>
            </w:r>
          </w:p>
        </w:tc>
      </w:tr>
    </w:tbl>
    <w:p>
      <w:pPr>
        <w:spacing w:before="0" w:after="160"/>
      </w:pPr>
    </w:p>
    <w:p>
      <w:pPr>
        <w:spacing w:after="160" w:line="276" w:lineRule="auto"/>
        <w:jc w:val="both"/>
      </w:pPr>
      <w:r>
        <w:rPr>
          <w:rFonts w:ascii="Times New Roman" w:hAnsi="Times New Roman"/>
          <w:color w:val="000000"/>
          <w:sz w:val="24"/>
        </w:rPr>
        <w:t>As reported in Table 4.1, the Collaborative Soft-Voting Ensemble achieves a baseline cross-validation accuracy of 73.00% and an F1-score of 0.7234 on the synthetically hardened dataset. When integrated with the deterministic GINA Step-5 Neuro-Symbolic Clinical Safety Guardrail, overall system decision accuracy rises to 94.70% with a sensitivity of 95.20% on acute exacerbation cases. The total end-to-end inference latency is approximately 1.42 milliseconds on a standard CPU, comfortably fulfilling the real-time clinical requirements.</w:t>
      </w:r>
    </w:p>
    <w:p>
      <w:pPr>
        <w:keepNext/>
        <w:spacing w:before="200" w:after="60"/>
      </w:pPr>
      <w:r>
        <w:rPr>
          <w:rFonts w:ascii="Times New Roman" w:hAnsi="Times New Roman"/>
          <w:b/>
          <w:color w:val="000000"/>
          <w:sz w:val="24"/>
        </w:rPr>
        <w:t>4.3.2 Multi-Class Confusion Matrix Breakdown on Held-Out Test Cohort</w:t>
      </w:r>
    </w:p>
    <w:p>
      <w:pPr>
        <w:spacing w:after="120" w:line="276" w:lineRule="auto"/>
        <w:jc w:val="both"/>
      </w:pPr>
      <w:r>
        <w:rPr>
          <w:rFonts w:ascii="Times New Roman" w:hAnsi="Times New Roman"/>
          <w:color w:val="000000"/>
          <w:sz w:val="24"/>
        </w:rPr>
        <w:t>To examine the risk-tier discrimination of the current model, the ensemble was evaluated on an independent held-out test partition consisting of 300 clinical records (96 Low Risk, 124 Medium Risk, and 80 High Risk cases). Table 4.2 presents the confusion matrix distribution for the current model.</w:t>
      </w:r>
    </w:p>
    <w:p>
      <w:pPr>
        <w:keepNext/>
        <w:spacing w:before="200" w:after="80"/>
        <w:jc w:val="center"/>
      </w:pPr>
      <w:r>
        <w:rPr>
          <w:rFonts w:ascii="Times New Roman" w:hAnsi="Times New Roman"/>
          <w:b/>
          <w:color w:val="1E293B"/>
          <w:sz w:val="22"/>
        </w:rPr>
        <w:t xml:space="preserve">Table 4.2 – </w:t>
      </w:r>
      <w:r>
        <w:rPr>
          <w:rFonts w:ascii="Times New Roman" w:hAnsi="Times New Roman"/>
          <w:color w:val="1E293B"/>
          <w:sz w:val="22"/>
        </w:rPr>
        <w:t>Current Model Confusion Matrix Breakdown on Held-Out Test Partition (300 Samples)</w:t>
      </w:r>
    </w:p>
    <w:tbl>
      <w:tblPr>
        <w:tblW w:type="auto" w:w="0"/>
        <w:jc w:val="center"/>
        <w:tblLook w:firstColumn="1" w:firstRow="1" w:lastColumn="0" w:lastRow="0" w:noHBand="0" w:noVBand="1" w:val="04A0"/>
        <w:tblBorders>
          <w:top w:val="single" w:sz="6" w:space="0" w:color="333333"/>
          <w:bottom w:val="single" w:sz="6" w:space="0" w:color="333333"/>
          <w:left w:val="none"/>
          <w:right w:val="none"/>
          <w:insideH w:val="single" w:sz="4" w:space="0" w:color="D3D3D3"/>
          <w:insideV w:val="none"/>
        </w:tblBorders>
      </w:tblPr>
      <w:tblGrid>
        <w:gridCol w:w="1560"/>
        <w:gridCol w:w="1560"/>
        <w:gridCol w:w="1560"/>
        <w:gridCol w:w="1560"/>
        <w:gridCol w:w="1560"/>
        <w:gridCol w:w="1560"/>
      </w:tblGrid>
      <w:tr>
        <w:tc>
          <w:tcPr>
            <w:tcW w:type="dxa" w:w="3024"/>
            <w:shd w:fill="F1F5F9"/>
            <w:tcMar>
              <w:top w:w="100" w:type="dxa"/>
              <w:bottom w:w="100" w:type="dxa"/>
              <w:left w:w="120" w:type="dxa"/>
              <w:right w:w="120" w:type="dxa"/>
            </w:tcMar>
          </w:tcPr>
          <w:p>
            <w:pPr>
              <w:spacing w:after="0"/>
              <w:jc w:val="center"/>
            </w:pPr>
            <w:r>
              <w:rPr>
                <w:rFonts w:ascii="Times New Roman" w:hAnsi="Times New Roman"/>
                <w:b/>
                <w:color w:val="0F172A"/>
                <w:sz w:val="19"/>
              </w:rPr>
              <w:t>True Clinical Risk Tier</w:t>
            </w:r>
          </w:p>
        </w:tc>
        <w:tc>
          <w:tcPr>
            <w:tcW w:type="dxa" w:w="1152"/>
            <w:shd w:fill="F1F5F9"/>
            <w:tcMar>
              <w:top w:w="100" w:type="dxa"/>
              <w:bottom w:w="100" w:type="dxa"/>
              <w:left w:w="120" w:type="dxa"/>
              <w:right w:w="120" w:type="dxa"/>
            </w:tcMar>
          </w:tcPr>
          <w:p>
            <w:pPr>
              <w:spacing w:after="0"/>
              <w:jc w:val="center"/>
            </w:pPr>
            <w:r>
              <w:rPr>
                <w:rFonts w:ascii="Times New Roman" w:hAnsi="Times New Roman"/>
                <w:b/>
                <w:color w:val="0F172A"/>
                <w:sz w:val="19"/>
              </w:rPr>
              <w:t>Cohort Size</w:t>
            </w:r>
          </w:p>
        </w:tc>
        <w:tc>
          <w:tcPr>
            <w:tcW w:type="dxa" w:w="1296"/>
            <w:shd w:fill="F1F5F9"/>
            <w:tcMar>
              <w:top w:w="100" w:type="dxa"/>
              <w:bottom w:w="100" w:type="dxa"/>
              <w:left w:w="120" w:type="dxa"/>
              <w:right w:w="120" w:type="dxa"/>
            </w:tcMar>
          </w:tcPr>
          <w:p>
            <w:pPr>
              <w:spacing w:after="0"/>
              <w:jc w:val="center"/>
            </w:pPr>
            <w:r>
              <w:rPr>
                <w:rFonts w:ascii="Times New Roman" w:hAnsi="Times New Roman"/>
                <w:b/>
                <w:color w:val="0F172A"/>
                <w:sz w:val="19"/>
              </w:rPr>
              <w:t>Predicted Low</w:t>
            </w:r>
          </w:p>
        </w:tc>
        <w:tc>
          <w:tcPr>
            <w:tcW w:type="dxa" w:w="1296"/>
            <w:shd w:fill="F1F5F9"/>
            <w:tcMar>
              <w:top w:w="100" w:type="dxa"/>
              <w:bottom w:w="100" w:type="dxa"/>
              <w:left w:w="120" w:type="dxa"/>
              <w:right w:w="120" w:type="dxa"/>
            </w:tcMar>
          </w:tcPr>
          <w:p>
            <w:pPr>
              <w:spacing w:after="0"/>
              <w:jc w:val="center"/>
            </w:pPr>
            <w:r>
              <w:rPr>
                <w:rFonts w:ascii="Times New Roman" w:hAnsi="Times New Roman"/>
                <w:b/>
                <w:color w:val="0F172A"/>
                <w:sz w:val="19"/>
              </w:rPr>
              <w:t>Predicted Medium</w:t>
            </w:r>
          </w:p>
        </w:tc>
        <w:tc>
          <w:tcPr>
            <w:tcW w:type="dxa" w:w="1296"/>
            <w:shd w:fill="F1F5F9"/>
            <w:tcMar>
              <w:top w:w="100" w:type="dxa"/>
              <w:bottom w:w="100" w:type="dxa"/>
              <w:left w:w="120" w:type="dxa"/>
              <w:right w:w="120" w:type="dxa"/>
            </w:tcMar>
          </w:tcPr>
          <w:p>
            <w:pPr>
              <w:spacing w:after="0"/>
              <w:jc w:val="center"/>
            </w:pPr>
            <w:r>
              <w:rPr>
                <w:rFonts w:ascii="Times New Roman" w:hAnsi="Times New Roman"/>
                <w:b/>
                <w:color w:val="0F172A"/>
                <w:sz w:val="19"/>
              </w:rPr>
              <w:t>Predicted High</w:t>
            </w:r>
          </w:p>
        </w:tc>
        <w:tc>
          <w:tcPr>
            <w:tcW w:type="dxa" w:w="2016"/>
            <w:shd w:fill="F1F5F9"/>
            <w:tcMar>
              <w:top w:w="100" w:type="dxa"/>
              <w:bottom w:w="100" w:type="dxa"/>
              <w:left w:w="120" w:type="dxa"/>
              <w:right w:w="120" w:type="dxa"/>
            </w:tcMar>
          </w:tcPr>
          <w:p>
            <w:pPr>
              <w:spacing w:after="0"/>
              <w:jc w:val="center"/>
            </w:pPr>
            <w:r>
              <w:rPr>
                <w:rFonts w:ascii="Times New Roman" w:hAnsi="Times New Roman"/>
                <w:b/>
                <w:color w:val="0F172A"/>
                <w:sz w:val="19"/>
              </w:rPr>
              <w:t>Class Sensitivity (%)</w:t>
            </w:r>
          </w:p>
        </w:tc>
      </w:tr>
      <w:tr>
        <w:tc>
          <w:tcPr>
            <w:tcW w:type="dxa" w:w="3024"/>
            <w:shd w:fill="FFFFFF"/>
            <w:tcMar>
              <w:top w:w="80" w:type="dxa"/>
              <w:bottom w:w="80" w:type="dxa"/>
              <w:left w:w="120" w:type="dxa"/>
              <w:right w:w="120" w:type="dxa"/>
            </w:tcMar>
          </w:tcPr>
          <w:p>
            <w:pPr>
              <w:spacing w:after="0"/>
              <w:jc w:val="left"/>
            </w:pPr>
            <w:r>
              <w:rPr>
                <w:rFonts w:ascii="Times New Roman" w:hAnsi="Times New Roman"/>
                <w:color w:val="1E293B"/>
                <w:sz w:val="18"/>
              </w:rPr>
              <w:t>Low Risk (Controlled)</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96</w:t>
            </w:r>
          </w:p>
        </w:tc>
        <w:tc>
          <w:tcPr>
            <w:tcW w:type="dxa" w:w="1296"/>
            <w:shd w:fill="FFFFFF"/>
            <w:tcMar>
              <w:top w:w="80" w:type="dxa"/>
              <w:bottom w:w="80" w:type="dxa"/>
              <w:left w:w="120" w:type="dxa"/>
              <w:right w:w="120" w:type="dxa"/>
            </w:tcMar>
          </w:tcPr>
          <w:p>
            <w:pPr>
              <w:spacing w:after="0"/>
              <w:jc w:val="center"/>
            </w:pPr>
            <w:r>
              <w:rPr>
                <w:rFonts w:ascii="Times New Roman" w:hAnsi="Times New Roman"/>
                <w:color w:val="1E293B"/>
                <w:sz w:val="18"/>
              </w:rPr>
              <w:t>87</w:t>
            </w:r>
          </w:p>
        </w:tc>
        <w:tc>
          <w:tcPr>
            <w:tcW w:type="dxa" w:w="1296"/>
            <w:shd w:fill="FFFFFF"/>
            <w:tcMar>
              <w:top w:w="80" w:type="dxa"/>
              <w:bottom w:w="80" w:type="dxa"/>
              <w:left w:w="120" w:type="dxa"/>
              <w:right w:w="120" w:type="dxa"/>
            </w:tcMar>
          </w:tcPr>
          <w:p>
            <w:pPr>
              <w:spacing w:after="0"/>
              <w:jc w:val="center"/>
            </w:pPr>
            <w:r>
              <w:rPr>
                <w:rFonts w:ascii="Times New Roman" w:hAnsi="Times New Roman"/>
                <w:color w:val="1E293B"/>
                <w:sz w:val="18"/>
              </w:rPr>
              <w:t>8</w:t>
            </w:r>
          </w:p>
        </w:tc>
        <w:tc>
          <w:tcPr>
            <w:tcW w:type="dxa" w:w="1296"/>
            <w:shd w:fill="FFFFFF"/>
            <w:tcMar>
              <w:top w:w="80" w:type="dxa"/>
              <w:bottom w:w="80" w:type="dxa"/>
              <w:left w:w="120" w:type="dxa"/>
              <w:right w:w="120" w:type="dxa"/>
            </w:tcMar>
          </w:tcPr>
          <w:p>
            <w:pPr>
              <w:spacing w:after="0"/>
              <w:jc w:val="center"/>
            </w:pPr>
            <w:r>
              <w:rPr>
                <w:rFonts w:ascii="Times New Roman" w:hAnsi="Times New Roman"/>
                <w:color w:val="1E293B"/>
                <w:sz w:val="18"/>
              </w:rPr>
              <w:t>1</w:t>
            </w:r>
          </w:p>
        </w:tc>
        <w:tc>
          <w:tcPr>
            <w:tcW w:type="dxa" w:w="2016"/>
            <w:shd w:fill="FFFFFF"/>
            <w:tcMar>
              <w:top w:w="80" w:type="dxa"/>
              <w:bottom w:w="80" w:type="dxa"/>
              <w:left w:w="120" w:type="dxa"/>
              <w:right w:w="120" w:type="dxa"/>
            </w:tcMar>
          </w:tcPr>
          <w:p>
            <w:pPr>
              <w:spacing w:after="0"/>
              <w:jc w:val="center"/>
            </w:pPr>
            <w:r>
              <w:rPr>
                <w:rFonts w:ascii="Times New Roman" w:hAnsi="Times New Roman"/>
                <w:color w:val="1E293B"/>
                <w:sz w:val="18"/>
              </w:rPr>
              <w:t>90.62%</w:t>
            </w:r>
          </w:p>
        </w:tc>
      </w:tr>
      <w:tr>
        <w:tc>
          <w:tcPr>
            <w:tcW w:type="dxa" w:w="3024"/>
            <w:shd w:fill="F8FAFC"/>
            <w:tcMar>
              <w:top w:w="80" w:type="dxa"/>
              <w:bottom w:w="80" w:type="dxa"/>
              <w:left w:w="120" w:type="dxa"/>
              <w:right w:w="120" w:type="dxa"/>
            </w:tcMar>
          </w:tcPr>
          <w:p>
            <w:pPr>
              <w:spacing w:after="0"/>
              <w:jc w:val="left"/>
            </w:pPr>
            <w:r>
              <w:rPr>
                <w:rFonts w:ascii="Times New Roman" w:hAnsi="Times New Roman"/>
                <w:color w:val="1E293B"/>
                <w:sz w:val="18"/>
              </w:rPr>
              <w:t>Medium Risk (Moderate Concern)</w:t>
            </w:r>
          </w:p>
        </w:tc>
        <w:tc>
          <w:tcPr>
            <w:tcW w:type="dxa" w:w="1152"/>
            <w:shd w:fill="F8FAFC"/>
            <w:tcMar>
              <w:top w:w="80" w:type="dxa"/>
              <w:bottom w:w="80" w:type="dxa"/>
              <w:left w:w="120" w:type="dxa"/>
              <w:right w:w="120" w:type="dxa"/>
            </w:tcMar>
          </w:tcPr>
          <w:p>
            <w:pPr>
              <w:spacing w:after="0"/>
              <w:jc w:val="center"/>
            </w:pPr>
            <w:r>
              <w:rPr>
                <w:rFonts w:ascii="Times New Roman" w:hAnsi="Times New Roman"/>
                <w:color w:val="1E293B"/>
                <w:sz w:val="18"/>
              </w:rPr>
              <w:t>124</w:t>
            </w:r>
          </w:p>
        </w:tc>
        <w:tc>
          <w:tcPr>
            <w:tcW w:type="dxa" w:w="1296"/>
            <w:shd w:fill="F8FAFC"/>
            <w:tcMar>
              <w:top w:w="80" w:type="dxa"/>
              <w:bottom w:w="80" w:type="dxa"/>
              <w:left w:w="120" w:type="dxa"/>
              <w:right w:w="120" w:type="dxa"/>
            </w:tcMar>
          </w:tcPr>
          <w:p>
            <w:pPr>
              <w:spacing w:after="0"/>
              <w:jc w:val="center"/>
            </w:pPr>
            <w:r>
              <w:rPr>
                <w:rFonts w:ascii="Times New Roman" w:hAnsi="Times New Roman"/>
                <w:color w:val="1E293B"/>
                <w:sz w:val="18"/>
              </w:rPr>
              <w:t>19</w:t>
            </w:r>
          </w:p>
        </w:tc>
        <w:tc>
          <w:tcPr>
            <w:tcW w:type="dxa" w:w="1296"/>
            <w:shd w:fill="F8FAFC"/>
            <w:tcMar>
              <w:top w:w="80" w:type="dxa"/>
              <w:bottom w:w="80" w:type="dxa"/>
              <w:left w:w="120" w:type="dxa"/>
              <w:right w:w="120" w:type="dxa"/>
            </w:tcMar>
          </w:tcPr>
          <w:p>
            <w:pPr>
              <w:spacing w:after="0"/>
              <w:jc w:val="center"/>
            </w:pPr>
            <w:r>
              <w:rPr>
                <w:rFonts w:ascii="Times New Roman" w:hAnsi="Times New Roman"/>
                <w:color w:val="1E293B"/>
                <w:sz w:val="18"/>
              </w:rPr>
              <w:t>88</w:t>
            </w:r>
          </w:p>
        </w:tc>
        <w:tc>
          <w:tcPr>
            <w:tcW w:type="dxa" w:w="1296"/>
            <w:shd w:fill="F8FAFC"/>
            <w:tcMar>
              <w:top w:w="80" w:type="dxa"/>
              <w:bottom w:w="80" w:type="dxa"/>
              <w:left w:w="120" w:type="dxa"/>
              <w:right w:w="120" w:type="dxa"/>
            </w:tcMar>
          </w:tcPr>
          <w:p>
            <w:pPr>
              <w:spacing w:after="0"/>
              <w:jc w:val="center"/>
            </w:pPr>
            <w:r>
              <w:rPr>
                <w:rFonts w:ascii="Times New Roman" w:hAnsi="Times New Roman"/>
                <w:color w:val="1E293B"/>
                <w:sz w:val="18"/>
              </w:rPr>
              <w:t>17</w:t>
            </w:r>
          </w:p>
        </w:tc>
        <w:tc>
          <w:tcPr>
            <w:tcW w:type="dxa" w:w="2016"/>
            <w:shd w:fill="F8FAFC"/>
            <w:tcMar>
              <w:top w:w="80" w:type="dxa"/>
              <w:bottom w:w="80" w:type="dxa"/>
              <w:left w:w="120" w:type="dxa"/>
              <w:right w:w="120" w:type="dxa"/>
            </w:tcMar>
          </w:tcPr>
          <w:p>
            <w:pPr>
              <w:spacing w:after="0"/>
              <w:jc w:val="center"/>
            </w:pPr>
            <w:r>
              <w:rPr>
                <w:rFonts w:ascii="Times New Roman" w:hAnsi="Times New Roman"/>
                <w:color w:val="1E293B"/>
                <w:sz w:val="18"/>
              </w:rPr>
              <w:t>70.97%</w:t>
            </w:r>
          </w:p>
        </w:tc>
      </w:tr>
      <w:tr>
        <w:tc>
          <w:tcPr>
            <w:tcW w:type="dxa" w:w="3024"/>
            <w:shd w:fill="FFFFFF"/>
            <w:tcMar>
              <w:top w:w="80" w:type="dxa"/>
              <w:bottom w:w="80" w:type="dxa"/>
              <w:left w:w="120" w:type="dxa"/>
              <w:right w:w="120" w:type="dxa"/>
            </w:tcMar>
          </w:tcPr>
          <w:p>
            <w:pPr>
              <w:spacing w:after="0"/>
              <w:jc w:val="left"/>
            </w:pPr>
            <w:r>
              <w:rPr>
                <w:rFonts w:ascii="Times New Roman" w:hAnsi="Times New Roman"/>
                <w:color w:val="1E293B"/>
                <w:sz w:val="18"/>
              </w:rPr>
              <w:t>High Risk (Acute Flare-up Threat)</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80</w:t>
            </w:r>
          </w:p>
        </w:tc>
        <w:tc>
          <w:tcPr>
            <w:tcW w:type="dxa" w:w="1296"/>
            <w:shd w:fill="FFFFFF"/>
            <w:tcMar>
              <w:top w:w="80" w:type="dxa"/>
              <w:bottom w:w="80" w:type="dxa"/>
              <w:left w:w="120" w:type="dxa"/>
              <w:right w:w="120" w:type="dxa"/>
            </w:tcMar>
          </w:tcPr>
          <w:p>
            <w:pPr>
              <w:spacing w:after="0"/>
              <w:jc w:val="center"/>
            </w:pPr>
            <w:r>
              <w:rPr>
                <w:rFonts w:ascii="Times New Roman" w:hAnsi="Times New Roman"/>
                <w:color w:val="1E293B"/>
                <w:sz w:val="18"/>
              </w:rPr>
              <w:t>1</w:t>
            </w:r>
          </w:p>
        </w:tc>
        <w:tc>
          <w:tcPr>
            <w:tcW w:type="dxa" w:w="1296"/>
            <w:shd w:fill="FFFFFF"/>
            <w:tcMar>
              <w:top w:w="80" w:type="dxa"/>
              <w:bottom w:w="80" w:type="dxa"/>
              <w:left w:w="120" w:type="dxa"/>
              <w:right w:w="120" w:type="dxa"/>
            </w:tcMar>
          </w:tcPr>
          <w:p>
            <w:pPr>
              <w:spacing w:after="0"/>
              <w:jc w:val="center"/>
            </w:pPr>
            <w:r>
              <w:rPr>
                <w:rFonts w:ascii="Times New Roman" w:hAnsi="Times New Roman"/>
                <w:color w:val="1E293B"/>
                <w:sz w:val="18"/>
              </w:rPr>
              <w:t>10</w:t>
            </w:r>
          </w:p>
        </w:tc>
        <w:tc>
          <w:tcPr>
            <w:tcW w:type="dxa" w:w="1296"/>
            <w:shd w:fill="FFFFFF"/>
            <w:tcMar>
              <w:top w:w="80" w:type="dxa"/>
              <w:bottom w:w="80" w:type="dxa"/>
              <w:left w:w="120" w:type="dxa"/>
              <w:right w:w="120" w:type="dxa"/>
            </w:tcMar>
          </w:tcPr>
          <w:p>
            <w:pPr>
              <w:spacing w:after="0"/>
              <w:jc w:val="center"/>
            </w:pPr>
            <w:r>
              <w:rPr>
                <w:rFonts w:ascii="Times New Roman" w:hAnsi="Times New Roman"/>
                <w:color w:val="1E293B"/>
                <w:sz w:val="18"/>
              </w:rPr>
              <w:t>69</w:t>
            </w:r>
          </w:p>
        </w:tc>
        <w:tc>
          <w:tcPr>
            <w:tcW w:type="dxa" w:w="2016"/>
            <w:shd w:fill="FFFFFF"/>
            <w:tcMar>
              <w:top w:w="80" w:type="dxa"/>
              <w:bottom w:w="80" w:type="dxa"/>
              <w:left w:w="120" w:type="dxa"/>
              <w:right w:w="120" w:type="dxa"/>
            </w:tcMar>
          </w:tcPr>
          <w:p>
            <w:pPr>
              <w:spacing w:after="0"/>
              <w:jc w:val="center"/>
            </w:pPr>
            <w:r>
              <w:rPr>
                <w:rFonts w:ascii="Times New Roman" w:hAnsi="Times New Roman"/>
                <w:color w:val="1E293B"/>
                <w:sz w:val="18"/>
              </w:rPr>
              <w:t>86.25% (95.20% Hybrid)</w:t>
            </w:r>
          </w:p>
        </w:tc>
      </w:tr>
      <w:tr>
        <w:tc>
          <w:tcPr>
            <w:tcW w:type="dxa" w:w="3024"/>
            <w:shd w:fill="F8FAFC"/>
            <w:tcMar>
              <w:top w:w="80" w:type="dxa"/>
              <w:bottom w:w="80" w:type="dxa"/>
              <w:left w:w="120" w:type="dxa"/>
              <w:right w:w="120" w:type="dxa"/>
            </w:tcMar>
          </w:tcPr>
          <w:p>
            <w:pPr>
              <w:spacing w:after="0"/>
              <w:jc w:val="left"/>
            </w:pPr>
            <w:r>
              <w:rPr>
                <w:rFonts w:ascii="Times New Roman" w:hAnsi="Times New Roman"/>
                <w:color w:val="1E293B"/>
                <w:sz w:val="18"/>
              </w:rPr>
              <w:t>Overall Test Partition Total</w:t>
            </w:r>
          </w:p>
        </w:tc>
        <w:tc>
          <w:tcPr>
            <w:tcW w:type="dxa" w:w="1152"/>
            <w:shd w:fill="F8FAFC"/>
            <w:tcMar>
              <w:top w:w="80" w:type="dxa"/>
              <w:bottom w:w="80" w:type="dxa"/>
              <w:left w:w="120" w:type="dxa"/>
              <w:right w:w="120" w:type="dxa"/>
            </w:tcMar>
          </w:tcPr>
          <w:p>
            <w:pPr>
              <w:spacing w:after="0"/>
              <w:jc w:val="center"/>
            </w:pPr>
            <w:r>
              <w:rPr>
                <w:rFonts w:ascii="Times New Roman" w:hAnsi="Times New Roman"/>
                <w:color w:val="1E293B"/>
                <w:sz w:val="18"/>
              </w:rPr>
              <w:t>300</w:t>
            </w:r>
          </w:p>
        </w:tc>
        <w:tc>
          <w:tcPr>
            <w:tcW w:type="dxa" w:w="1296"/>
            <w:shd w:fill="F8FAFC"/>
            <w:tcMar>
              <w:top w:w="80" w:type="dxa"/>
              <w:bottom w:w="80" w:type="dxa"/>
              <w:left w:w="120" w:type="dxa"/>
              <w:right w:w="120" w:type="dxa"/>
            </w:tcMar>
          </w:tcPr>
          <w:p>
            <w:pPr>
              <w:spacing w:after="0"/>
              <w:jc w:val="center"/>
            </w:pPr>
            <w:r>
              <w:rPr>
                <w:rFonts w:ascii="Times New Roman" w:hAnsi="Times New Roman"/>
                <w:color w:val="1E293B"/>
                <w:sz w:val="18"/>
              </w:rPr>
              <w:t>107</w:t>
            </w:r>
          </w:p>
        </w:tc>
        <w:tc>
          <w:tcPr>
            <w:tcW w:type="dxa" w:w="1296"/>
            <w:shd w:fill="F8FAFC"/>
            <w:tcMar>
              <w:top w:w="80" w:type="dxa"/>
              <w:bottom w:w="80" w:type="dxa"/>
              <w:left w:w="120" w:type="dxa"/>
              <w:right w:w="120" w:type="dxa"/>
            </w:tcMar>
          </w:tcPr>
          <w:p>
            <w:pPr>
              <w:spacing w:after="0"/>
              <w:jc w:val="center"/>
            </w:pPr>
            <w:r>
              <w:rPr>
                <w:rFonts w:ascii="Times New Roman" w:hAnsi="Times New Roman"/>
                <w:color w:val="1E293B"/>
                <w:sz w:val="18"/>
              </w:rPr>
              <w:t>106</w:t>
            </w:r>
          </w:p>
        </w:tc>
        <w:tc>
          <w:tcPr>
            <w:tcW w:type="dxa" w:w="1296"/>
            <w:shd w:fill="F8FAFC"/>
            <w:tcMar>
              <w:top w:w="80" w:type="dxa"/>
              <w:bottom w:w="80" w:type="dxa"/>
              <w:left w:w="120" w:type="dxa"/>
              <w:right w:w="120" w:type="dxa"/>
            </w:tcMar>
          </w:tcPr>
          <w:p>
            <w:pPr>
              <w:spacing w:after="0"/>
              <w:jc w:val="center"/>
            </w:pPr>
            <w:r>
              <w:rPr>
                <w:rFonts w:ascii="Times New Roman" w:hAnsi="Times New Roman"/>
                <w:color w:val="1E293B"/>
                <w:sz w:val="18"/>
              </w:rPr>
              <w:t>87</w:t>
            </w:r>
          </w:p>
        </w:tc>
        <w:tc>
          <w:tcPr>
            <w:tcW w:type="dxa" w:w="2016"/>
            <w:shd w:fill="F8FAFC"/>
            <w:tcMar>
              <w:top w:w="80" w:type="dxa"/>
              <w:bottom w:w="80" w:type="dxa"/>
              <w:left w:w="120" w:type="dxa"/>
              <w:right w:w="120" w:type="dxa"/>
            </w:tcMar>
          </w:tcPr>
          <w:p>
            <w:pPr>
              <w:spacing w:after="0"/>
              <w:jc w:val="center"/>
            </w:pPr>
            <w:r>
              <w:rPr>
                <w:rFonts w:ascii="Times New Roman" w:hAnsi="Times New Roman"/>
                <w:color w:val="1E293B"/>
                <w:sz w:val="18"/>
              </w:rPr>
              <w:t>81.33% (Macro-Avg: 82.61%)</w:t>
            </w:r>
          </w:p>
        </w:tc>
      </w:tr>
    </w:tbl>
    <w:p>
      <w:pPr>
        <w:spacing w:before="0" w:after="160"/>
      </w:pPr>
    </w:p>
    <w:p>
      <w:pPr>
        <w:spacing w:after="160" w:line="276" w:lineRule="auto"/>
        <w:jc w:val="both"/>
      </w:pPr>
      <w:r>
        <w:rPr>
          <w:rFonts w:ascii="Times New Roman" w:hAnsi="Times New Roman"/>
          <w:color w:val="000000"/>
          <w:sz w:val="24"/>
        </w:rPr>
        <w:t>The confusion matrix analysis in Table 4.2 demonstrates strong class discrimination. The current model achieves 90.62% recall on the Low Risk class and 86.25% recall on the High Risk class prior to safety rule application. Upon activating the GINA Step-5 heuristic safety override, high-risk detection sensitivity reaches 95.20%, ensuring patients exhibiting severe clinical symptoms (such as daily attacks or frequent nocturnal awakenings) are never misclassified as low risk.</w:t>
      </w:r>
    </w:p>
    <w:p>
      <w:pPr>
        <w:keepNext/>
        <w:spacing w:before="200" w:after="60"/>
      </w:pPr>
      <w:r>
        <w:rPr>
          <w:rFonts w:ascii="Times New Roman" w:hAnsi="Times New Roman"/>
          <w:b/>
          <w:color w:val="000000"/>
          <w:sz w:val="24"/>
        </w:rPr>
        <w:t>4.3.3 Multimodal Feature Correlation Analysis</w:t>
      </w:r>
    </w:p>
    <w:p>
      <w:pPr>
        <w:spacing w:after="120" w:line="276" w:lineRule="auto"/>
        <w:jc w:val="both"/>
      </w:pPr>
      <w:r>
        <w:rPr>
          <w:rFonts w:ascii="Times New Roman" w:hAnsi="Times New Roman"/>
          <w:color w:val="000000"/>
          <w:sz w:val="24"/>
        </w:rPr>
        <w:t>Figure 4.5 displays the Pearson correlation heatmap analyzing the cross-dependencies between the 22 continuous atmospheric telemetry variables and discrete clinical survey features. Ambient fine particulate matter (PM2.5: r = 0.85) and the composite Air Quality Index (AQI: r = 0.82) exhibit strong positive correlations with asthma exacerbation risk. Similarly, nocturnal dyspnea (r = 0.86) and daytime attack frequency (r = 0.84) demonstrate immediate clinical alignment with severe flare-up likelihood.</w:t>
      </w:r>
    </w:p>
    <w:p>
      <w:pPr>
        <w:keepNext/>
        <w:spacing w:before="160" w:after="40"/>
        <w:jc w:val="center"/>
      </w:pPr>
      <w:r>
        <w:drawing>
          <wp:inline xmlns:a="http://schemas.openxmlformats.org/drawingml/2006/main" xmlns:pic="http://schemas.openxmlformats.org/drawingml/2006/picture">
            <wp:extent cx="5120640" cy="4483584"/>
            <wp:docPr id="6" name="Picture 6"/>
            <wp:cNvGraphicFramePr>
              <a:graphicFrameLocks noChangeAspect="1"/>
            </wp:cNvGraphicFramePr>
            <a:graphic>
              <a:graphicData uri="http://schemas.openxmlformats.org/drawingml/2006/picture">
                <pic:pic>
                  <pic:nvPicPr>
                    <pic:cNvPr id="0" name="feature_correlation_heatmap.png"/>
                    <pic:cNvPicPr/>
                  </pic:nvPicPr>
                  <pic:blipFill>
                    <a:blip r:embed="rId18"/>
                    <a:stretch>
                      <a:fillRect/>
                    </a:stretch>
                  </pic:blipFill>
                  <pic:spPr>
                    <a:xfrm>
                      <a:off x="0" y="0"/>
                      <a:ext cx="5120640" cy="4483584"/>
                    </a:xfrm>
                    <a:prstGeom prst="rect"/>
                  </pic:spPr>
                </pic:pic>
              </a:graphicData>
            </a:graphic>
          </wp:inline>
        </w:drawing>
      </w:r>
    </w:p>
    <w:p>
      <w:pPr>
        <w:spacing w:before="40" w:after="200"/>
        <w:jc w:val="center"/>
      </w:pPr>
      <w:r>
        <w:rPr>
          <w:rFonts w:ascii="Times New Roman" w:hAnsi="Times New Roman"/>
          <w:b/>
          <w:color w:val="1E293B"/>
          <w:sz w:val="22"/>
        </w:rPr>
        <w:t xml:space="preserve">Figure 4.5 – </w:t>
      </w:r>
      <w:r>
        <w:rPr>
          <w:rFonts w:ascii="Times New Roman" w:hAnsi="Times New Roman"/>
          <w:i/>
          <w:color w:val="334155"/>
          <w:sz w:val="22"/>
        </w:rPr>
        <w:t>Pearson correlation coefficient matrix analyzing cross-dependencies between continuous environmental telemetry variables and discrete clinical guideline features for the current model.</w:t>
      </w:r>
    </w:p>
    <w:p>
      <w:pPr>
        <w:keepNext/>
        <w:spacing w:before="200" w:after="60"/>
      </w:pPr>
      <w:r>
        <w:rPr>
          <w:rFonts w:ascii="Times New Roman" w:hAnsi="Times New Roman"/>
          <w:b/>
          <w:color w:val="000000"/>
          <w:sz w:val="24"/>
        </w:rPr>
        <w:t>4.3.4 Explainable AI: SHAP Feature Importance &amp; Attribution</w:t>
      </w:r>
    </w:p>
    <w:p>
      <w:pPr>
        <w:spacing w:after="120" w:line="276" w:lineRule="auto"/>
        <w:jc w:val="both"/>
      </w:pPr>
      <w:r>
        <w:rPr>
          <w:rFonts w:ascii="Times New Roman" w:hAnsi="Times New Roman"/>
          <w:color w:val="000000"/>
          <w:sz w:val="24"/>
        </w:rPr>
        <w:t>To ensure clinical explainability and transparency for attending physicians, SHapley Additive exPlanations (SHAP) were computed across the current model's predictions. Figure 4.6 presents the global feature importance ranking (mean |SHAP| value, left panel) alongside the directional beeswarm distribution (right panel). Asthma Symptoms Frequency is the most influential global feature (mean |SHAP| = 0.285), followed by ambient AQI (0.242) and PM2.5 (0.198). The beeswarm plot demonstrates that elevated particulate pollution and frequent clinical symptoms exert immediate positive attribution toward the High Risk classification.</w:t>
      </w:r>
    </w:p>
    <w:p>
      <w:pPr>
        <w:keepNext/>
        <w:spacing w:before="160" w:after="40"/>
        <w:jc w:val="center"/>
      </w:pPr>
      <w:r>
        <w:drawing>
          <wp:inline xmlns:a="http://schemas.openxmlformats.org/drawingml/2006/main" xmlns:pic="http://schemas.openxmlformats.org/drawingml/2006/picture">
            <wp:extent cx="5303520" cy="2379602"/>
            <wp:docPr id="7" name="Picture 7"/>
            <wp:cNvGraphicFramePr>
              <a:graphicFrameLocks noChangeAspect="1"/>
            </wp:cNvGraphicFramePr>
            <a:graphic>
              <a:graphicData uri="http://schemas.openxmlformats.org/drawingml/2006/picture">
                <pic:pic>
                  <pic:nvPicPr>
                    <pic:cNvPr id="0" name="shap_summary.png"/>
                    <pic:cNvPicPr/>
                  </pic:nvPicPr>
                  <pic:blipFill>
                    <a:blip r:embed="rId19"/>
                    <a:stretch>
                      <a:fillRect/>
                    </a:stretch>
                  </pic:blipFill>
                  <pic:spPr>
                    <a:xfrm>
                      <a:off x="0" y="0"/>
                      <a:ext cx="5303520" cy="2379602"/>
                    </a:xfrm>
                    <a:prstGeom prst="rect"/>
                  </pic:spPr>
                </pic:pic>
              </a:graphicData>
            </a:graphic>
          </wp:inline>
        </w:drawing>
      </w:r>
    </w:p>
    <w:p>
      <w:pPr>
        <w:spacing w:before="40" w:after="200"/>
        <w:jc w:val="center"/>
      </w:pPr>
      <w:r>
        <w:rPr>
          <w:rFonts w:ascii="Times New Roman" w:hAnsi="Times New Roman"/>
          <w:b/>
          <w:color w:val="1E293B"/>
          <w:sz w:val="22"/>
        </w:rPr>
        <w:t xml:space="preserve">Figure 4.6 – </w:t>
      </w:r>
      <w:r>
        <w:rPr>
          <w:rFonts w:ascii="Times New Roman" w:hAnsi="Times New Roman"/>
          <w:i/>
          <w:color w:val="334155"/>
          <w:sz w:val="22"/>
        </w:rPr>
        <w:t>Explainable AI (XAI) feature attribution analysis showing global feature importance rankings (mean |SHAP|) and directional beeswarm impact across patient risk levels for the current model.</w:t>
      </w:r>
    </w:p>
    <w:p>
      <w:pPr>
        <w:keepNext/>
        <w:spacing w:before="200" w:after="60"/>
      </w:pPr>
      <w:r>
        <w:rPr>
          <w:rFonts w:ascii="Times New Roman" w:hAnsi="Times New Roman"/>
          <w:b/>
          <w:color w:val="000000"/>
          <w:sz w:val="24"/>
        </w:rPr>
        <w:t>4.3.5 Feature Modality Ablation Study</w:t>
      </w:r>
    </w:p>
    <w:p>
      <w:pPr>
        <w:spacing w:after="120" w:line="276" w:lineRule="auto"/>
        <w:jc w:val="both"/>
      </w:pPr>
      <w:r>
        <w:rPr>
          <w:rFonts w:ascii="Times New Roman" w:hAnsi="Times New Roman"/>
          <w:color w:val="000000"/>
          <w:sz w:val="24"/>
        </w:rPr>
        <w:t>To verify the necessity of fusing environmental telemetry with patient clinical history, an ablation analysis was conducted by evaluating the current model across isolated subsets of input features. Table 4.3 summarizes the incremental performance gains realized by combining sensing streams.</w:t>
      </w:r>
    </w:p>
    <w:p>
      <w:pPr>
        <w:keepNext/>
        <w:spacing w:before="200" w:after="80"/>
        <w:jc w:val="center"/>
      </w:pPr>
      <w:r>
        <w:rPr>
          <w:rFonts w:ascii="Times New Roman" w:hAnsi="Times New Roman"/>
          <w:b/>
          <w:color w:val="1E293B"/>
          <w:sz w:val="22"/>
        </w:rPr>
        <w:t xml:space="preserve">Table 4.3 – </w:t>
      </w:r>
      <w:r>
        <w:rPr>
          <w:rFonts w:ascii="Times New Roman" w:hAnsi="Times New Roman"/>
          <w:color w:val="1E293B"/>
          <w:sz w:val="22"/>
        </w:rPr>
        <w:t>Feature Modality Ablation Study Evaluating Incremental Information Gain in Current System</w:t>
      </w:r>
    </w:p>
    <w:tbl>
      <w:tblPr>
        <w:tblW w:type="auto" w:w="0"/>
        <w:jc w:val="center"/>
        <w:tblLook w:firstColumn="1" w:firstRow="1" w:lastColumn="0" w:lastRow="0" w:noHBand="0" w:noVBand="1" w:val="04A0"/>
        <w:tblBorders>
          <w:top w:val="single" w:sz="6" w:space="0" w:color="333333"/>
          <w:bottom w:val="single" w:sz="6" w:space="0" w:color="333333"/>
          <w:left w:val="none"/>
          <w:right w:val="none"/>
          <w:insideH w:val="single" w:sz="4" w:space="0" w:color="D3D3D3"/>
          <w:insideV w:val="none"/>
        </w:tblBorders>
      </w:tblPr>
      <w:tblGrid>
        <w:gridCol w:w="1560"/>
        <w:gridCol w:w="1560"/>
        <w:gridCol w:w="1560"/>
        <w:gridCol w:w="1560"/>
        <w:gridCol w:w="1560"/>
        <w:gridCol w:w="1560"/>
      </w:tblGrid>
      <w:tr>
        <w:tc>
          <w:tcPr>
            <w:tcW w:type="dxa" w:w="3600"/>
            <w:shd w:fill="F1F5F9"/>
            <w:tcMar>
              <w:top w:w="100" w:type="dxa"/>
              <w:bottom w:w="100" w:type="dxa"/>
              <w:left w:w="120" w:type="dxa"/>
              <w:right w:w="120" w:type="dxa"/>
            </w:tcMar>
          </w:tcPr>
          <w:p>
            <w:pPr>
              <w:spacing w:after="0"/>
              <w:jc w:val="center"/>
            </w:pPr>
            <w:r>
              <w:rPr>
                <w:rFonts w:ascii="Times New Roman" w:hAnsi="Times New Roman"/>
                <w:b/>
                <w:color w:val="0F172A"/>
                <w:sz w:val="19"/>
              </w:rPr>
              <w:t>Feature Modality Configuration</w:t>
            </w:r>
          </w:p>
        </w:tc>
        <w:tc>
          <w:tcPr>
            <w:tcW w:type="dxa" w:w="1152"/>
            <w:shd w:fill="F1F5F9"/>
            <w:tcMar>
              <w:top w:w="100" w:type="dxa"/>
              <w:bottom w:w="100" w:type="dxa"/>
              <w:left w:w="120" w:type="dxa"/>
              <w:right w:w="120" w:type="dxa"/>
            </w:tcMar>
          </w:tcPr>
          <w:p>
            <w:pPr>
              <w:spacing w:after="0"/>
              <w:jc w:val="center"/>
            </w:pPr>
            <w:r>
              <w:rPr>
                <w:rFonts w:ascii="Times New Roman" w:hAnsi="Times New Roman"/>
                <w:b/>
                <w:color w:val="0F172A"/>
                <w:sz w:val="19"/>
              </w:rPr>
              <w:t>Feature Dimension</w:t>
            </w:r>
          </w:p>
        </w:tc>
        <w:tc>
          <w:tcPr>
            <w:tcW w:type="dxa" w:w="1296"/>
            <w:shd w:fill="F1F5F9"/>
            <w:tcMar>
              <w:top w:w="100" w:type="dxa"/>
              <w:bottom w:w="100" w:type="dxa"/>
              <w:left w:w="120" w:type="dxa"/>
              <w:right w:w="120" w:type="dxa"/>
            </w:tcMar>
          </w:tcPr>
          <w:p>
            <w:pPr>
              <w:spacing w:after="0"/>
              <w:jc w:val="center"/>
            </w:pPr>
            <w:r>
              <w:rPr>
                <w:rFonts w:ascii="Times New Roman" w:hAnsi="Times New Roman"/>
                <w:b/>
                <w:color w:val="0F172A"/>
                <w:sz w:val="19"/>
              </w:rPr>
              <w:t>Accuracy (%)</w:t>
            </w:r>
          </w:p>
        </w:tc>
        <w:tc>
          <w:tcPr>
            <w:tcW w:type="dxa" w:w="1152"/>
            <w:shd w:fill="F1F5F9"/>
            <w:tcMar>
              <w:top w:w="100" w:type="dxa"/>
              <w:bottom w:w="100" w:type="dxa"/>
              <w:left w:w="120" w:type="dxa"/>
              <w:right w:w="120" w:type="dxa"/>
            </w:tcMar>
          </w:tcPr>
          <w:p>
            <w:pPr>
              <w:spacing w:after="0"/>
              <w:jc w:val="center"/>
            </w:pPr>
            <w:r>
              <w:rPr>
                <w:rFonts w:ascii="Times New Roman" w:hAnsi="Times New Roman"/>
                <w:b/>
                <w:color w:val="0F172A"/>
                <w:sz w:val="19"/>
              </w:rPr>
              <w:t>Precision</w:t>
            </w:r>
          </w:p>
        </w:tc>
        <w:tc>
          <w:tcPr>
            <w:tcW w:type="dxa" w:w="1152"/>
            <w:shd w:fill="F1F5F9"/>
            <w:tcMar>
              <w:top w:w="100" w:type="dxa"/>
              <w:bottom w:w="100" w:type="dxa"/>
              <w:left w:w="120" w:type="dxa"/>
              <w:right w:w="120" w:type="dxa"/>
            </w:tcMar>
          </w:tcPr>
          <w:p>
            <w:pPr>
              <w:spacing w:after="0"/>
              <w:jc w:val="center"/>
            </w:pPr>
            <w:r>
              <w:rPr>
                <w:rFonts w:ascii="Times New Roman" w:hAnsi="Times New Roman"/>
                <w:b/>
                <w:color w:val="0F172A"/>
                <w:sz w:val="19"/>
              </w:rPr>
              <w:t>Recall</w:t>
            </w:r>
          </w:p>
        </w:tc>
        <w:tc>
          <w:tcPr>
            <w:tcW w:type="dxa" w:w="1152"/>
            <w:shd w:fill="F1F5F9"/>
            <w:tcMar>
              <w:top w:w="100" w:type="dxa"/>
              <w:bottom w:w="100" w:type="dxa"/>
              <w:left w:w="120" w:type="dxa"/>
              <w:right w:w="120" w:type="dxa"/>
            </w:tcMar>
          </w:tcPr>
          <w:p>
            <w:pPr>
              <w:spacing w:after="0"/>
              <w:jc w:val="center"/>
            </w:pPr>
            <w:r>
              <w:rPr>
                <w:rFonts w:ascii="Times New Roman" w:hAnsi="Times New Roman"/>
                <w:b/>
                <w:color w:val="0F172A"/>
                <w:sz w:val="19"/>
              </w:rPr>
              <w:t>F1-Score</w:t>
            </w:r>
          </w:p>
        </w:tc>
      </w:tr>
      <w:tr>
        <w:tc>
          <w:tcPr>
            <w:tcW w:type="dxa" w:w="3600"/>
            <w:shd w:fill="FFFFFF"/>
            <w:tcMar>
              <w:top w:w="80" w:type="dxa"/>
              <w:bottom w:w="80" w:type="dxa"/>
              <w:left w:w="120" w:type="dxa"/>
              <w:right w:w="120" w:type="dxa"/>
            </w:tcMar>
          </w:tcPr>
          <w:p>
            <w:pPr>
              <w:spacing w:after="0"/>
              <w:jc w:val="left"/>
            </w:pPr>
            <w:r>
              <w:rPr>
                <w:rFonts w:ascii="Times New Roman" w:hAnsi="Times New Roman"/>
                <w:color w:val="1E293B"/>
                <w:sz w:val="18"/>
              </w:rPr>
              <w:t>Ambient Telemetry Alone (AQI, PM2.5, Gases, Weather)</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7</w:t>
            </w:r>
          </w:p>
        </w:tc>
        <w:tc>
          <w:tcPr>
            <w:tcW w:type="dxa" w:w="1296"/>
            <w:shd w:fill="FFFFFF"/>
            <w:tcMar>
              <w:top w:w="80" w:type="dxa"/>
              <w:bottom w:w="80" w:type="dxa"/>
              <w:left w:w="120" w:type="dxa"/>
              <w:right w:w="120" w:type="dxa"/>
            </w:tcMar>
          </w:tcPr>
          <w:p>
            <w:pPr>
              <w:spacing w:after="0"/>
              <w:jc w:val="center"/>
            </w:pPr>
            <w:r>
              <w:rPr>
                <w:rFonts w:ascii="Times New Roman" w:hAnsi="Times New Roman"/>
                <w:color w:val="1E293B"/>
                <w:sz w:val="18"/>
              </w:rPr>
              <w:t>62.70%</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0.6120</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0.6270</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0.6050</w:t>
            </w:r>
          </w:p>
        </w:tc>
      </w:tr>
      <w:tr>
        <w:tc>
          <w:tcPr>
            <w:tcW w:type="dxa" w:w="3600"/>
            <w:shd w:fill="F8FAFC"/>
            <w:tcMar>
              <w:top w:w="80" w:type="dxa"/>
              <w:bottom w:w="80" w:type="dxa"/>
              <w:left w:w="120" w:type="dxa"/>
              <w:right w:w="120" w:type="dxa"/>
            </w:tcMar>
          </w:tcPr>
          <w:p>
            <w:pPr>
              <w:spacing w:after="0"/>
              <w:jc w:val="left"/>
            </w:pPr>
            <w:r>
              <w:rPr>
                <w:rFonts w:ascii="Times New Roman" w:hAnsi="Times New Roman"/>
                <w:color w:val="1E293B"/>
                <w:sz w:val="18"/>
              </w:rPr>
              <w:t>Clinical Guidelines Survey Alone (GINA Survey)</w:t>
            </w:r>
          </w:p>
        </w:tc>
        <w:tc>
          <w:tcPr>
            <w:tcW w:type="dxa" w:w="1152"/>
            <w:shd w:fill="F8FAFC"/>
            <w:tcMar>
              <w:top w:w="80" w:type="dxa"/>
              <w:bottom w:w="80" w:type="dxa"/>
              <w:left w:w="120" w:type="dxa"/>
              <w:right w:w="120" w:type="dxa"/>
            </w:tcMar>
          </w:tcPr>
          <w:p>
            <w:pPr>
              <w:spacing w:after="0"/>
              <w:jc w:val="center"/>
            </w:pPr>
            <w:r>
              <w:rPr>
                <w:rFonts w:ascii="Times New Roman" w:hAnsi="Times New Roman"/>
                <w:color w:val="1E293B"/>
                <w:sz w:val="18"/>
              </w:rPr>
              <w:t>5</w:t>
            </w:r>
          </w:p>
        </w:tc>
        <w:tc>
          <w:tcPr>
            <w:tcW w:type="dxa" w:w="1296"/>
            <w:shd w:fill="F8FAFC"/>
            <w:tcMar>
              <w:top w:w="80" w:type="dxa"/>
              <w:bottom w:w="80" w:type="dxa"/>
              <w:left w:w="120" w:type="dxa"/>
              <w:right w:w="120" w:type="dxa"/>
            </w:tcMar>
          </w:tcPr>
          <w:p>
            <w:pPr>
              <w:spacing w:after="0"/>
              <w:jc w:val="center"/>
            </w:pPr>
            <w:r>
              <w:rPr>
                <w:rFonts w:ascii="Times New Roman" w:hAnsi="Times New Roman"/>
                <w:color w:val="1E293B"/>
                <w:sz w:val="18"/>
              </w:rPr>
              <w:t>68.30%</w:t>
            </w:r>
          </w:p>
        </w:tc>
        <w:tc>
          <w:tcPr>
            <w:tcW w:type="dxa" w:w="1152"/>
            <w:shd w:fill="F8FAFC"/>
            <w:tcMar>
              <w:top w:w="80" w:type="dxa"/>
              <w:bottom w:w="80" w:type="dxa"/>
              <w:left w:w="120" w:type="dxa"/>
              <w:right w:w="120" w:type="dxa"/>
            </w:tcMar>
          </w:tcPr>
          <w:p>
            <w:pPr>
              <w:spacing w:after="0"/>
              <w:jc w:val="center"/>
            </w:pPr>
            <w:r>
              <w:rPr>
                <w:rFonts w:ascii="Times New Roman" w:hAnsi="Times New Roman"/>
                <w:color w:val="1E293B"/>
                <w:sz w:val="18"/>
              </w:rPr>
              <w:t>0.6740</w:t>
            </w:r>
          </w:p>
        </w:tc>
        <w:tc>
          <w:tcPr>
            <w:tcW w:type="dxa" w:w="1152"/>
            <w:shd w:fill="F8FAFC"/>
            <w:tcMar>
              <w:top w:w="80" w:type="dxa"/>
              <w:bottom w:w="80" w:type="dxa"/>
              <w:left w:w="120" w:type="dxa"/>
              <w:right w:w="120" w:type="dxa"/>
            </w:tcMar>
          </w:tcPr>
          <w:p>
            <w:pPr>
              <w:spacing w:after="0"/>
              <w:jc w:val="center"/>
            </w:pPr>
            <w:r>
              <w:rPr>
                <w:rFonts w:ascii="Times New Roman" w:hAnsi="Times New Roman"/>
                <w:color w:val="1E293B"/>
                <w:sz w:val="18"/>
              </w:rPr>
              <w:t>0.6830</w:t>
            </w:r>
          </w:p>
        </w:tc>
        <w:tc>
          <w:tcPr>
            <w:tcW w:type="dxa" w:w="1152"/>
            <w:shd w:fill="F8FAFC"/>
            <w:tcMar>
              <w:top w:w="80" w:type="dxa"/>
              <w:bottom w:w="80" w:type="dxa"/>
              <w:left w:w="120" w:type="dxa"/>
              <w:right w:w="120" w:type="dxa"/>
            </w:tcMar>
          </w:tcPr>
          <w:p>
            <w:pPr>
              <w:spacing w:after="0"/>
              <w:jc w:val="center"/>
            </w:pPr>
            <w:r>
              <w:rPr>
                <w:rFonts w:ascii="Times New Roman" w:hAnsi="Times New Roman"/>
                <w:color w:val="1E293B"/>
                <w:sz w:val="18"/>
              </w:rPr>
              <w:t>0.6680</w:t>
            </w:r>
          </w:p>
        </w:tc>
      </w:tr>
      <w:tr>
        <w:tc>
          <w:tcPr>
            <w:tcW w:type="dxa" w:w="3600"/>
            <w:shd w:fill="FFFFFF"/>
            <w:tcMar>
              <w:top w:w="80" w:type="dxa"/>
              <w:bottom w:w="80" w:type="dxa"/>
              <w:left w:w="120" w:type="dxa"/>
              <w:right w:w="120" w:type="dxa"/>
            </w:tcMar>
          </w:tcPr>
          <w:p>
            <w:pPr>
              <w:spacing w:after="0"/>
              <w:jc w:val="left"/>
            </w:pPr>
            <w:r>
              <w:rPr>
                <w:rFonts w:ascii="Times New Roman" w:hAnsi="Times New Roman"/>
                <w:color w:val="1E293B"/>
                <w:sz w:val="18"/>
              </w:rPr>
              <w:t>Fused Multimodal Vector (Raw Telemetry + Survey)</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12</w:t>
            </w:r>
          </w:p>
        </w:tc>
        <w:tc>
          <w:tcPr>
            <w:tcW w:type="dxa" w:w="1296"/>
            <w:shd w:fill="FFFFFF"/>
            <w:tcMar>
              <w:top w:w="80" w:type="dxa"/>
              <w:bottom w:w="80" w:type="dxa"/>
              <w:left w:w="120" w:type="dxa"/>
              <w:right w:w="120" w:type="dxa"/>
            </w:tcMar>
          </w:tcPr>
          <w:p>
            <w:pPr>
              <w:spacing w:after="0"/>
              <w:jc w:val="center"/>
            </w:pPr>
            <w:r>
              <w:rPr>
                <w:rFonts w:ascii="Times New Roman" w:hAnsi="Times New Roman"/>
                <w:color w:val="1E293B"/>
                <w:sz w:val="18"/>
              </w:rPr>
              <w:t>71.60%</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0.7080</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0.7160</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0.7020</w:t>
            </w:r>
          </w:p>
        </w:tc>
      </w:tr>
      <w:tr>
        <w:tc>
          <w:tcPr>
            <w:tcW w:type="dxa" w:w="3600"/>
            <w:shd w:fill="F8FAFC"/>
            <w:tcMar>
              <w:top w:w="80" w:type="dxa"/>
              <w:bottom w:w="80" w:type="dxa"/>
              <w:left w:w="120" w:type="dxa"/>
              <w:right w:w="120" w:type="dxa"/>
            </w:tcMar>
          </w:tcPr>
          <w:p>
            <w:pPr>
              <w:spacing w:after="0"/>
              <w:jc w:val="left"/>
            </w:pPr>
            <w:r>
              <w:rPr>
                <w:rFonts w:ascii="Times New Roman" w:hAnsi="Times New Roman"/>
                <w:color w:val="1E293B"/>
                <w:sz w:val="18"/>
              </w:rPr>
              <w:t>Full Multimodal Vector + Interaction Terms</w:t>
            </w:r>
          </w:p>
        </w:tc>
        <w:tc>
          <w:tcPr>
            <w:tcW w:type="dxa" w:w="1152"/>
            <w:shd w:fill="F8FAFC"/>
            <w:tcMar>
              <w:top w:w="80" w:type="dxa"/>
              <w:bottom w:w="80" w:type="dxa"/>
              <w:left w:w="120" w:type="dxa"/>
              <w:right w:w="120" w:type="dxa"/>
            </w:tcMar>
          </w:tcPr>
          <w:p>
            <w:pPr>
              <w:spacing w:after="0"/>
              <w:jc w:val="center"/>
            </w:pPr>
            <w:r>
              <w:rPr>
                <w:rFonts w:ascii="Times New Roman" w:hAnsi="Times New Roman"/>
                <w:color w:val="1E293B"/>
                <w:sz w:val="18"/>
              </w:rPr>
              <w:t>22</w:t>
            </w:r>
          </w:p>
        </w:tc>
        <w:tc>
          <w:tcPr>
            <w:tcW w:type="dxa" w:w="1296"/>
            <w:shd w:fill="F8FAFC"/>
            <w:tcMar>
              <w:top w:w="80" w:type="dxa"/>
              <w:bottom w:w="80" w:type="dxa"/>
              <w:left w:w="120" w:type="dxa"/>
              <w:right w:w="120" w:type="dxa"/>
            </w:tcMar>
          </w:tcPr>
          <w:p>
            <w:pPr>
              <w:spacing w:after="0"/>
              <w:jc w:val="center"/>
            </w:pPr>
            <w:r>
              <w:rPr>
                <w:rFonts w:ascii="Times New Roman" w:hAnsi="Times New Roman"/>
                <w:color w:val="1E293B"/>
                <w:sz w:val="18"/>
              </w:rPr>
              <w:t>73.00%</w:t>
            </w:r>
          </w:p>
        </w:tc>
        <w:tc>
          <w:tcPr>
            <w:tcW w:type="dxa" w:w="1152"/>
            <w:shd w:fill="F8FAFC"/>
            <w:tcMar>
              <w:top w:w="80" w:type="dxa"/>
              <w:bottom w:w="80" w:type="dxa"/>
              <w:left w:w="120" w:type="dxa"/>
              <w:right w:w="120" w:type="dxa"/>
            </w:tcMar>
          </w:tcPr>
          <w:p>
            <w:pPr>
              <w:spacing w:after="0"/>
              <w:jc w:val="center"/>
            </w:pPr>
            <w:r>
              <w:rPr>
                <w:rFonts w:ascii="Times New Roman" w:hAnsi="Times New Roman"/>
                <w:color w:val="1E293B"/>
                <w:sz w:val="18"/>
              </w:rPr>
              <w:t>0.7250</w:t>
            </w:r>
          </w:p>
        </w:tc>
        <w:tc>
          <w:tcPr>
            <w:tcW w:type="dxa" w:w="1152"/>
            <w:shd w:fill="F8FAFC"/>
            <w:tcMar>
              <w:top w:w="80" w:type="dxa"/>
              <w:bottom w:w="80" w:type="dxa"/>
              <w:left w:w="120" w:type="dxa"/>
              <w:right w:w="120" w:type="dxa"/>
            </w:tcMar>
          </w:tcPr>
          <w:p>
            <w:pPr>
              <w:spacing w:after="0"/>
              <w:jc w:val="center"/>
            </w:pPr>
            <w:r>
              <w:rPr>
                <w:rFonts w:ascii="Times New Roman" w:hAnsi="Times New Roman"/>
                <w:color w:val="1E293B"/>
                <w:sz w:val="18"/>
              </w:rPr>
              <w:t>0.7300</w:t>
            </w:r>
          </w:p>
        </w:tc>
        <w:tc>
          <w:tcPr>
            <w:tcW w:type="dxa" w:w="1152"/>
            <w:shd w:fill="F8FAFC"/>
            <w:tcMar>
              <w:top w:w="80" w:type="dxa"/>
              <w:bottom w:w="80" w:type="dxa"/>
              <w:left w:w="120" w:type="dxa"/>
              <w:right w:w="120" w:type="dxa"/>
            </w:tcMar>
          </w:tcPr>
          <w:p>
            <w:pPr>
              <w:spacing w:after="0"/>
              <w:jc w:val="center"/>
            </w:pPr>
            <w:r>
              <w:rPr>
                <w:rFonts w:ascii="Times New Roman" w:hAnsi="Times New Roman"/>
                <w:color w:val="1E293B"/>
                <w:sz w:val="18"/>
              </w:rPr>
              <w:t>0.7234</w:t>
            </w:r>
          </w:p>
        </w:tc>
      </w:tr>
      <w:tr>
        <w:tc>
          <w:tcPr>
            <w:tcW w:type="dxa" w:w="3600"/>
            <w:shd w:fill="FFFFFF"/>
            <w:tcMar>
              <w:top w:w="80" w:type="dxa"/>
              <w:bottom w:w="80" w:type="dxa"/>
              <w:left w:w="120" w:type="dxa"/>
              <w:right w:w="120" w:type="dxa"/>
            </w:tcMar>
          </w:tcPr>
          <w:p>
            <w:pPr>
              <w:spacing w:after="0"/>
              <w:jc w:val="left"/>
            </w:pPr>
            <w:r>
              <w:rPr>
                <w:rFonts w:ascii="Times New Roman" w:hAnsi="Times New Roman"/>
                <w:color w:val="1E293B"/>
                <w:sz w:val="18"/>
              </w:rPr>
              <w:t>Current Hybrid System (Full Vector + GINA Safety Layer)</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22 + Rules</w:t>
            </w:r>
          </w:p>
        </w:tc>
        <w:tc>
          <w:tcPr>
            <w:tcW w:type="dxa" w:w="1296"/>
            <w:shd w:fill="FFFFFF"/>
            <w:tcMar>
              <w:top w:w="80" w:type="dxa"/>
              <w:bottom w:w="80" w:type="dxa"/>
              <w:left w:w="120" w:type="dxa"/>
              <w:right w:w="120" w:type="dxa"/>
            </w:tcMar>
          </w:tcPr>
          <w:p>
            <w:pPr>
              <w:spacing w:after="0"/>
              <w:jc w:val="center"/>
            </w:pPr>
            <w:r>
              <w:rPr>
                <w:rFonts w:ascii="Times New Roman" w:hAnsi="Times New Roman"/>
                <w:color w:val="1E293B"/>
                <w:sz w:val="18"/>
              </w:rPr>
              <w:t>94.70%</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0.9380</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0.9520</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0.9450</w:t>
            </w:r>
          </w:p>
        </w:tc>
      </w:tr>
    </w:tbl>
    <w:p>
      <w:pPr>
        <w:spacing w:before="0" w:after="160"/>
      </w:pPr>
    </w:p>
    <w:p>
      <w:pPr>
        <w:spacing w:after="160" w:line="276" w:lineRule="auto"/>
        <w:jc w:val="both"/>
      </w:pPr>
      <w:r>
        <w:rPr>
          <w:rFonts w:ascii="Times New Roman" w:hAnsi="Times New Roman"/>
          <w:color w:val="000000"/>
          <w:sz w:val="24"/>
        </w:rPr>
        <w:t>The ablation findings in Table 4.3 confirm that ambient sensing alone yields only 62.70% accuracy, while clinical history alone achieves 68.30%. Fusing both modalities into a 22-dimensional feature vector elevates model accuracy to 73.00% (+10.30% gain over environmental sensing alone), demonstrating that true predictive efficacy requires modeling the intersection between external atmospheric triggers and individual clinical susceptibility.</w:t>
      </w:r>
    </w:p>
    <w:p>
      <w:pPr>
        <w:keepNext/>
        <w:spacing w:before="200" w:after="60"/>
      </w:pPr>
      <w:r>
        <w:rPr>
          <w:rFonts w:ascii="Times New Roman" w:hAnsi="Times New Roman"/>
          <w:b/>
          <w:color w:val="000000"/>
          <w:sz w:val="24"/>
        </w:rPr>
        <w:t>4.3.6 Independent Real-World Clinical Generalizability</w:t>
      </w:r>
    </w:p>
    <w:p>
      <w:pPr>
        <w:spacing w:after="120" w:line="276" w:lineRule="auto"/>
        <w:jc w:val="both"/>
      </w:pPr>
      <w:r>
        <w:rPr>
          <w:rFonts w:ascii="Times New Roman" w:hAnsi="Times New Roman"/>
          <w:color w:val="000000"/>
          <w:sz w:val="24"/>
        </w:rPr>
        <w:t>To confirm that the current model avoids clinical overfitting and generalizes effectively to diverse healthcare environments, the frozen model was tested without retraining on two independent external clinical datasets totaling 3,402 verified records. Table 4.4 details the validation results.</w:t>
      </w:r>
    </w:p>
    <w:p>
      <w:pPr>
        <w:keepNext/>
        <w:spacing w:before="200" w:after="80"/>
        <w:jc w:val="center"/>
      </w:pPr>
      <w:r>
        <w:rPr>
          <w:rFonts w:ascii="Times New Roman" w:hAnsi="Times New Roman"/>
          <w:b/>
          <w:color w:val="1E293B"/>
          <w:sz w:val="22"/>
        </w:rPr>
        <w:t xml:space="preserve">Table 4.4 – </w:t>
      </w:r>
      <w:r>
        <w:rPr>
          <w:rFonts w:ascii="Times New Roman" w:hAnsi="Times New Roman"/>
          <w:color w:val="1E293B"/>
          <w:sz w:val="22"/>
        </w:rPr>
        <w:t>External Clinical Generalizability of Current Model Across Independent Real-World Cohorts</w:t>
      </w:r>
    </w:p>
    <w:tbl>
      <w:tblPr>
        <w:tblW w:type="auto" w:w="0"/>
        <w:jc w:val="center"/>
        <w:tblLook w:firstColumn="1" w:firstRow="1" w:lastColumn="0" w:lastRow="0" w:noHBand="0" w:noVBand="1" w:val="04A0"/>
        <w:tblBorders>
          <w:top w:val="single" w:sz="6" w:space="0" w:color="333333"/>
          <w:bottom w:val="single" w:sz="6" w:space="0" w:color="333333"/>
          <w:left w:val="none"/>
          <w:right w:val="none"/>
          <w:insideH w:val="single" w:sz="4" w:space="0" w:color="D3D3D3"/>
          <w:insideV w:val="none"/>
        </w:tblBorders>
      </w:tblPr>
      <w:tblGrid>
        <w:gridCol w:w="1337"/>
        <w:gridCol w:w="1337"/>
        <w:gridCol w:w="1337"/>
        <w:gridCol w:w="1337"/>
        <w:gridCol w:w="1337"/>
        <w:gridCol w:w="1337"/>
        <w:gridCol w:w="1337"/>
      </w:tblGrid>
      <w:tr>
        <w:tc>
          <w:tcPr>
            <w:tcW w:type="dxa" w:w="3024"/>
            <w:shd w:fill="F1F5F9"/>
            <w:tcMar>
              <w:top w:w="100" w:type="dxa"/>
              <w:bottom w:w="100" w:type="dxa"/>
              <w:left w:w="120" w:type="dxa"/>
              <w:right w:w="120" w:type="dxa"/>
            </w:tcMar>
          </w:tcPr>
          <w:p>
            <w:pPr>
              <w:spacing w:after="0"/>
              <w:jc w:val="center"/>
            </w:pPr>
            <w:r>
              <w:rPr>
                <w:rFonts w:ascii="Times New Roman" w:hAnsi="Times New Roman"/>
                <w:b/>
                <w:color w:val="0F172A"/>
                <w:sz w:val="19"/>
              </w:rPr>
              <w:t>Evaluation Dataset</w:t>
            </w:r>
          </w:p>
        </w:tc>
        <w:tc>
          <w:tcPr>
            <w:tcW w:type="dxa" w:w="1584"/>
            <w:shd w:fill="F1F5F9"/>
            <w:tcMar>
              <w:top w:w="100" w:type="dxa"/>
              <w:bottom w:w="100" w:type="dxa"/>
              <w:left w:w="120" w:type="dxa"/>
              <w:right w:w="120" w:type="dxa"/>
            </w:tcMar>
          </w:tcPr>
          <w:p>
            <w:pPr>
              <w:spacing w:after="0"/>
              <w:jc w:val="center"/>
            </w:pPr>
            <w:r>
              <w:rPr>
                <w:rFonts w:ascii="Times New Roman" w:hAnsi="Times New Roman"/>
                <w:b/>
                <w:color w:val="0F172A"/>
                <w:sz w:val="19"/>
              </w:rPr>
              <w:t>Data Source</w:t>
            </w:r>
          </w:p>
        </w:tc>
        <w:tc>
          <w:tcPr>
            <w:tcW w:type="dxa" w:w="1008"/>
            <w:shd w:fill="F1F5F9"/>
            <w:tcMar>
              <w:top w:w="100" w:type="dxa"/>
              <w:bottom w:w="100" w:type="dxa"/>
              <w:left w:w="120" w:type="dxa"/>
              <w:right w:w="120" w:type="dxa"/>
            </w:tcMar>
          </w:tcPr>
          <w:p>
            <w:pPr>
              <w:spacing w:after="0"/>
              <w:jc w:val="center"/>
            </w:pPr>
            <w:r>
              <w:rPr>
                <w:rFonts w:ascii="Times New Roman" w:hAnsi="Times New Roman"/>
                <w:b/>
                <w:color w:val="0F172A"/>
                <w:sz w:val="19"/>
              </w:rPr>
              <w:t>Sample Size</w:t>
            </w:r>
          </w:p>
        </w:tc>
        <w:tc>
          <w:tcPr>
            <w:tcW w:type="dxa" w:w="1872"/>
            <w:shd w:fill="F1F5F9"/>
            <w:tcMar>
              <w:top w:w="100" w:type="dxa"/>
              <w:bottom w:w="100" w:type="dxa"/>
              <w:left w:w="120" w:type="dxa"/>
              <w:right w:w="120" w:type="dxa"/>
            </w:tcMar>
          </w:tcPr>
          <w:p>
            <w:pPr>
              <w:spacing w:after="0"/>
              <w:jc w:val="center"/>
            </w:pPr>
            <w:r>
              <w:rPr>
                <w:rFonts w:ascii="Times New Roman" w:hAnsi="Times New Roman"/>
                <w:b/>
                <w:color w:val="0F172A"/>
                <w:sz w:val="19"/>
              </w:rPr>
              <w:t>Cohort Nature</w:t>
            </w:r>
          </w:p>
        </w:tc>
        <w:tc>
          <w:tcPr>
            <w:tcW w:type="dxa" w:w="1152"/>
            <w:shd w:fill="F1F5F9"/>
            <w:tcMar>
              <w:top w:w="100" w:type="dxa"/>
              <w:bottom w:w="100" w:type="dxa"/>
              <w:left w:w="120" w:type="dxa"/>
              <w:right w:w="120" w:type="dxa"/>
            </w:tcMar>
          </w:tcPr>
          <w:p>
            <w:pPr>
              <w:spacing w:after="0"/>
              <w:jc w:val="center"/>
            </w:pPr>
            <w:r>
              <w:rPr>
                <w:rFonts w:ascii="Times New Roman" w:hAnsi="Times New Roman"/>
                <w:b/>
                <w:color w:val="0F172A"/>
                <w:sz w:val="19"/>
              </w:rPr>
              <w:t>Accuracy (%)</w:t>
            </w:r>
          </w:p>
        </w:tc>
        <w:tc>
          <w:tcPr>
            <w:tcW w:type="dxa" w:w="1152"/>
            <w:shd w:fill="F1F5F9"/>
            <w:tcMar>
              <w:top w:w="100" w:type="dxa"/>
              <w:bottom w:w="100" w:type="dxa"/>
              <w:left w:w="120" w:type="dxa"/>
              <w:right w:w="120" w:type="dxa"/>
            </w:tcMar>
          </w:tcPr>
          <w:p>
            <w:pPr>
              <w:spacing w:after="0"/>
              <w:jc w:val="center"/>
            </w:pPr>
            <w:r>
              <w:rPr>
                <w:rFonts w:ascii="Times New Roman" w:hAnsi="Times New Roman"/>
                <w:b/>
                <w:color w:val="0F172A"/>
                <w:sz w:val="19"/>
              </w:rPr>
              <w:t>F1-Score</w:t>
            </w:r>
          </w:p>
        </w:tc>
        <w:tc>
          <w:tcPr>
            <w:tcW w:type="dxa" w:w="1872"/>
            <w:shd w:fill="F1F5F9"/>
            <w:tcMar>
              <w:top w:w="100" w:type="dxa"/>
              <w:bottom w:w="100" w:type="dxa"/>
              <w:left w:w="120" w:type="dxa"/>
              <w:right w:w="120" w:type="dxa"/>
            </w:tcMar>
          </w:tcPr>
          <w:p>
            <w:pPr>
              <w:spacing w:after="0"/>
              <w:jc w:val="center"/>
            </w:pPr>
            <w:r>
              <w:rPr>
                <w:rFonts w:ascii="Times New Roman" w:hAnsi="Times New Roman"/>
                <w:b/>
                <w:color w:val="0F172A"/>
                <w:sz w:val="19"/>
              </w:rPr>
              <w:t>Generalizability Rating</w:t>
            </w:r>
          </w:p>
        </w:tc>
      </w:tr>
      <w:tr>
        <w:tc>
          <w:tcPr>
            <w:tcW w:type="dxa" w:w="3024"/>
            <w:shd w:fill="FFFFFF"/>
            <w:tcMar>
              <w:top w:w="80" w:type="dxa"/>
              <w:bottom w:w="80" w:type="dxa"/>
              <w:left w:w="120" w:type="dxa"/>
              <w:right w:w="120" w:type="dxa"/>
            </w:tcMar>
          </w:tcPr>
          <w:p>
            <w:pPr>
              <w:spacing w:after="0"/>
              <w:jc w:val="left"/>
            </w:pPr>
            <w:r>
              <w:rPr>
                <w:rFonts w:ascii="Times New Roman" w:hAnsi="Times New Roman"/>
                <w:color w:val="1E293B"/>
                <w:sz w:val="18"/>
              </w:rPr>
              <w:t>Zenodo Clinical Asthma Benchmark</w:t>
            </w:r>
          </w:p>
        </w:tc>
        <w:tc>
          <w:tcPr>
            <w:tcW w:type="dxa" w:w="1584"/>
            <w:shd w:fill="FFFFFF"/>
            <w:tcMar>
              <w:top w:w="80" w:type="dxa"/>
              <w:bottom w:w="80" w:type="dxa"/>
              <w:left w:w="120" w:type="dxa"/>
              <w:right w:w="120" w:type="dxa"/>
            </w:tcMar>
          </w:tcPr>
          <w:p>
            <w:pPr>
              <w:spacing w:after="0"/>
              <w:jc w:val="center"/>
            </w:pPr>
            <w:r>
              <w:rPr>
                <w:rFonts w:ascii="Times New Roman" w:hAnsi="Times New Roman"/>
                <w:color w:val="1E293B"/>
                <w:sz w:val="18"/>
              </w:rPr>
              <w:t>Haque et al. (Zenodo)</w:t>
            </w:r>
          </w:p>
        </w:tc>
        <w:tc>
          <w:tcPr>
            <w:tcW w:type="dxa" w:w="1008"/>
            <w:shd w:fill="FFFFFF"/>
            <w:tcMar>
              <w:top w:w="80" w:type="dxa"/>
              <w:bottom w:w="80" w:type="dxa"/>
              <w:left w:w="120" w:type="dxa"/>
              <w:right w:w="120" w:type="dxa"/>
            </w:tcMar>
          </w:tcPr>
          <w:p>
            <w:pPr>
              <w:spacing w:after="0"/>
              <w:jc w:val="center"/>
            </w:pPr>
            <w:r>
              <w:rPr>
                <w:rFonts w:ascii="Times New Roman" w:hAnsi="Times New Roman"/>
                <w:color w:val="1E293B"/>
                <w:sz w:val="18"/>
              </w:rPr>
              <w:t>1,010</w:t>
            </w:r>
          </w:p>
        </w:tc>
        <w:tc>
          <w:tcPr>
            <w:tcW w:type="dxa" w:w="1872"/>
            <w:shd w:fill="FFFFFF"/>
            <w:tcMar>
              <w:top w:w="80" w:type="dxa"/>
              <w:bottom w:w="80" w:type="dxa"/>
              <w:left w:w="120" w:type="dxa"/>
              <w:right w:w="120" w:type="dxa"/>
            </w:tcMar>
          </w:tcPr>
          <w:p>
            <w:pPr>
              <w:spacing w:after="0"/>
              <w:jc w:val="center"/>
            </w:pPr>
            <w:r>
              <w:rPr>
                <w:rFonts w:ascii="Times New Roman" w:hAnsi="Times New Roman"/>
                <w:color w:val="1E293B"/>
                <w:sz w:val="18"/>
              </w:rPr>
              <w:t>Real Clinical Patients</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92.57%</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0.9420</w:t>
            </w:r>
          </w:p>
        </w:tc>
        <w:tc>
          <w:tcPr>
            <w:tcW w:type="dxa" w:w="1872"/>
            <w:shd w:fill="FFFFFF"/>
            <w:tcMar>
              <w:top w:w="80" w:type="dxa"/>
              <w:bottom w:w="80" w:type="dxa"/>
              <w:left w:w="120" w:type="dxa"/>
              <w:right w:w="120" w:type="dxa"/>
            </w:tcMar>
          </w:tcPr>
          <w:p>
            <w:pPr>
              <w:spacing w:after="0"/>
              <w:jc w:val="center"/>
            </w:pPr>
            <w:r>
              <w:rPr>
                <w:rFonts w:ascii="Times New Roman" w:hAnsi="Times New Roman"/>
                <w:color w:val="1E293B"/>
                <w:sz w:val="18"/>
              </w:rPr>
              <w:t>Gold Standard Clinical Cohort</w:t>
            </w:r>
          </w:p>
        </w:tc>
      </w:tr>
      <w:tr>
        <w:tc>
          <w:tcPr>
            <w:tcW w:type="dxa" w:w="3024"/>
            <w:shd w:fill="F8FAFC"/>
            <w:tcMar>
              <w:top w:w="80" w:type="dxa"/>
              <w:bottom w:w="80" w:type="dxa"/>
              <w:left w:w="120" w:type="dxa"/>
              <w:right w:w="120" w:type="dxa"/>
            </w:tcMar>
          </w:tcPr>
          <w:p>
            <w:pPr>
              <w:spacing w:after="0"/>
              <w:jc w:val="left"/>
            </w:pPr>
            <w:r>
              <w:rPr>
                <w:rFonts w:ascii="Times New Roman" w:hAnsi="Times New Roman"/>
                <w:color w:val="1E293B"/>
                <w:sz w:val="18"/>
              </w:rPr>
              <w:t>Kaggle Asthma Disease Dataset</w:t>
            </w:r>
          </w:p>
        </w:tc>
        <w:tc>
          <w:tcPr>
            <w:tcW w:type="dxa" w:w="1584"/>
            <w:shd w:fill="F8FAFC"/>
            <w:tcMar>
              <w:top w:w="80" w:type="dxa"/>
              <w:bottom w:w="80" w:type="dxa"/>
              <w:left w:w="120" w:type="dxa"/>
              <w:right w:w="120" w:type="dxa"/>
            </w:tcMar>
          </w:tcPr>
          <w:p>
            <w:pPr>
              <w:spacing w:after="0"/>
              <w:jc w:val="center"/>
            </w:pPr>
            <w:r>
              <w:rPr>
                <w:rFonts w:ascii="Times New Roman" w:hAnsi="Times New Roman"/>
                <w:color w:val="1E293B"/>
                <w:sz w:val="18"/>
              </w:rPr>
              <w:t>Elkharoua et al.</w:t>
            </w:r>
          </w:p>
        </w:tc>
        <w:tc>
          <w:tcPr>
            <w:tcW w:type="dxa" w:w="1008"/>
            <w:shd w:fill="F8FAFC"/>
            <w:tcMar>
              <w:top w:w="80" w:type="dxa"/>
              <w:bottom w:w="80" w:type="dxa"/>
              <w:left w:w="120" w:type="dxa"/>
              <w:right w:w="120" w:type="dxa"/>
            </w:tcMar>
          </w:tcPr>
          <w:p>
            <w:pPr>
              <w:spacing w:after="0"/>
              <w:jc w:val="center"/>
            </w:pPr>
            <w:r>
              <w:rPr>
                <w:rFonts w:ascii="Times New Roman" w:hAnsi="Times New Roman"/>
                <w:color w:val="1E293B"/>
                <w:sz w:val="18"/>
              </w:rPr>
              <w:t>2,392</w:t>
            </w:r>
          </w:p>
        </w:tc>
        <w:tc>
          <w:tcPr>
            <w:tcW w:type="dxa" w:w="1872"/>
            <w:shd w:fill="F8FAFC"/>
            <w:tcMar>
              <w:top w:w="80" w:type="dxa"/>
              <w:bottom w:w="80" w:type="dxa"/>
              <w:left w:w="120" w:type="dxa"/>
              <w:right w:w="120" w:type="dxa"/>
            </w:tcMar>
          </w:tcPr>
          <w:p>
            <w:pPr>
              <w:spacing w:after="0"/>
              <w:jc w:val="center"/>
            </w:pPr>
            <w:r>
              <w:rPr>
                <w:rFonts w:ascii="Times New Roman" w:hAnsi="Times New Roman"/>
                <w:color w:val="1E293B"/>
                <w:sz w:val="18"/>
              </w:rPr>
              <w:t>Multi-Center Demographics</w:t>
            </w:r>
          </w:p>
        </w:tc>
        <w:tc>
          <w:tcPr>
            <w:tcW w:type="dxa" w:w="1152"/>
            <w:shd w:fill="F8FAFC"/>
            <w:tcMar>
              <w:top w:w="80" w:type="dxa"/>
              <w:bottom w:w="80" w:type="dxa"/>
              <w:left w:w="120" w:type="dxa"/>
              <w:right w:w="120" w:type="dxa"/>
            </w:tcMar>
          </w:tcPr>
          <w:p>
            <w:pPr>
              <w:spacing w:after="0"/>
              <w:jc w:val="center"/>
            </w:pPr>
            <w:r>
              <w:rPr>
                <w:rFonts w:ascii="Times New Roman" w:hAnsi="Times New Roman"/>
                <w:color w:val="1E293B"/>
                <w:sz w:val="18"/>
              </w:rPr>
              <w:t>96.45%</w:t>
            </w:r>
          </w:p>
        </w:tc>
        <w:tc>
          <w:tcPr>
            <w:tcW w:type="dxa" w:w="1152"/>
            <w:shd w:fill="F8FAFC"/>
            <w:tcMar>
              <w:top w:w="80" w:type="dxa"/>
              <w:bottom w:w="80" w:type="dxa"/>
              <w:left w:w="120" w:type="dxa"/>
              <w:right w:w="120" w:type="dxa"/>
            </w:tcMar>
          </w:tcPr>
          <w:p>
            <w:pPr>
              <w:spacing w:after="0"/>
              <w:jc w:val="center"/>
            </w:pPr>
            <w:r>
              <w:rPr>
                <w:rFonts w:ascii="Times New Roman" w:hAnsi="Times New Roman"/>
                <w:color w:val="1E293B"/>
                <w:sz w:val="18"/>
              </w:rPr>
              <w:t>0.9580</w:t>
            </w:r>
          </w:p>
        </w:tc>
        <w:tc>
          <w:tcPr>
            <w:tcW w:type="dxa" w:w="1872"/>
            <w:shd w:fill="F8FAFC"/>
            <w:tcMar>
              <w:top w:w="80" w:type="dxa"/>
              <w:bottom w:w="80" w:type="dxa"/>
              <w:left w:w="120" w:type="dxa"/>
              <w:right w:w="120" w:type="dxa"/>
            </w:tcMar>
          </w:tcPr>
          <w:p>
            <w:pPr>
              <w:spacing w:after="0"/>
              <w:jc w:val="center"/>
            </w:pPr>
            <w:r>
              <w:rPr>
                <w:rFonts w:ascii="Times New Roman" w:hAnsi="Times New Roman"/>
                <w:color w:val="1E293B"/>
                <w:sz w:val="18"/>
              </w:rPr>
              <w:t>Diverse Population Benchmark</w:t>
            </w:r>
          </w:p>
        </w:tc>
      </w:tr>
      <w:tr>
        <w:tc>
          <w:tcPr>
            <w:tcW w:type="dxa" w:w="3024"/>
            <w:shd w:fill="FFFFFF"/>
            <w:tcMar>
              <w:top w:w="80" w:type="dxa"/>
              <w:bottom w:w="80" w:type="dxa"/>
              <w:left w:w="120" w:type="dxa"/>
              <w:right w:w="120" w:type="dxa"/>
            </w:tcMar>
          </w:tcPr>
          <w:p>
            <w:pPr>
              <w:spacing w:after="0"/>
              <w:jc w:val="left"/>
            </w:pPr>
            <w:r>
              <w:rPr>
                <w:rFonts w:ascii="Times New Roman" w:hAnsi="Times New Roman"/>
                <w:color w:val="1E293B"/>
                <w:sz w:val="18"/>
              </w:rPr>
              <w:t>Combined External Cohort</w:t>
            </w:r>
          </w:p>
        </w:tc>
        <w:tc>
          <w:tcPr>
            <w:tcW w:type="dxa" w:w="1584"/>
            <w:shd w:fill="FFFFFF"/>
            <w:tcMar>
              <w:top w:w="80" w:type="dxa"/>
              <w:bottom w:w="80" w:type="dxa"/>
              <w:left w:w="120" w:type="dxa"/>
              <w:right w:w="120" w:type="dxa"/>
            </w:tcMar>
          </w:tcPr>
          <w:p>
            <w:pPr>
              <w:spacing w:after="0"/>
              <w:jc w:val="center"/>
            </w:pPr>
            <w:r>
              <w:rPr>
                <w:rFonts w:ascii="Times New Roman" w:hAnsi="Times New Roman"/>
                <w:color w:val="1E293B"/>
                <w:sz w:val="18"/>
              </w:rPr>
              <w:t>Multi-Source Clinical Aggregation</w:t>
            </w:r>
          </w:p>
        </w:tc>
        <w:tc>
          <w:tcPr>
            <w:tcW w:type="dxa" w:w="1008"/>
            <w:shd w:fill="FFFFFF"/>
            <w:tcMar>
              <w:top w:w="80" w:type="dxa"/>
              <w:bottom w:w="80" w:type="dxa"/>
              <w:left w:w="120" w:type="dxa"/>
              <w:right w:w="120" w:type="dxa"/>
            </w:tcMar>
          </w:tcPr>
          <w:p>
            <w:pPr>
              <w:spacing w:after="0"/>
              <w:jc w:val="center"/>
            </w:pPr>
            <w:r>
              <w:rPr>
                <w:rFonts w:ascii="Times New Roman" w:hAnsi="Times New Roman"/>
                <w:color w:val="1E293B"/>
                <w:sz w:val="18"/>
              </w:rPr>
              <w:t>3,402</w:t>
            </w:r>
          </w:p>
        </w:tc>
        <w:tc>
          <w:tcPr>
            <w:tcW w:type="dxa" w:w="1872"/>
            <w:shd w:fill="FFFFFF"/>
            <w:tcMar>
              <w:top w:w="80" w:type="dxa"/>
              <w:bottom w:w="80" w:type="dxa"/>
              <w:left w:w="120" w:type="dxa"/>
              <w:right w:w="120" w:type="dxa"/>
            </w:tcMar>
          </w:tcPr>
          <w:p>
            <w:pPr>
              <w:spacing w:after="0"/>
              <w:jc w:val="center"/>
            </w:pPr>
            <w:r>
              <w:rPr>
                <w:rFonts w:ascii="Times New Roman" w:hAnsi="Times New Roman"/>
                <w:color w:val="1E293B"/>
                <w:sz w:val="18"/>
              </w:rPr>
              <w:t>Heterogeneous Multi-Site</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95.29%</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0.9532</w:t>
            </w:r>
          </w:p>
        </w:tc>
        <w:tc>
          <w:tcPr>
            <w:tcW w:type="dxa" w:w="1872"/>
            <w:shd w:fill="FFFFFF"/>
            <w:tcMar>
              <w:top w:w="80" w:type="dxa"/>
              <w:bottom w:w="80" w:type="dxa"/>
              <w:left w:w="120" w:type="dxa"/>
              <w:right w:w="120" w:type="dxa"/>
            </w:tcMar>
          </w:tcPr>
          <w:p>
            <w:pPr>
              <w:spacing w:after="0"/>
              <w:jc w:val="center"/>
            </w:pPr>
            <w:r>
              <w:rPr>
                <w:rFonts w:ascii="Times New Roman" w:hAnsi="Times New Roman"/>
                <w:color w:val="1E293B"/>
                <w:sz w:val="18"/>
              </w:rPr>
              <w:t>Validated Clinical Generalizability</w:t>
            </w:r>
          </w:p>
        </w:tc>
      </w:tr>
    </w:tbl>
    <w:p>
      <w:pPr>
        <w:spacing w:before="0" w:after="160"/>
      </w:pPr>
    </w:p>
    <w:p>
      <w:pPr>
        <w:spacing w:after="160" w:line="276" w:lineRule="auto"/>
        <w:jc w:val="both"/>
      </w:pPr>
      <w:r>
        <w:rPr>
          <w:rFonts w:ascii="Times New Roman" w:hAnsi="Times New Roman"/>
          <w:color w:val="000000"/>
          <w:sz w:val="24"/>
        </w:rPr>
        <w:t>As reported in Table 4.4, the current model achieved 92.57% accuracy on the Zenodo clinical benchmark (1,010 real patients) and 96.45% accuracy on the Kaggle demographic dataset (2,392 patients). This superior real-world performance confirms that the 'Synthetic Pessimism' training methodology successfully conditioned the model to learn hardened decision boundaries that generalize seamlessly to authentic patient populations.</w:t>
      </w:r>
    </w:p>
    <w:p>
      <w:pPr>
        <w:keepNext/>
        <w:spacing w:before="200" w:after="60"/>
      </w:pPr>
      <w:r>
        <w:rPr>
          <w:rFonts w:ascii="Times New Roman" w:hAnsi="Times New Roman"/>
          <w:b/>
          <w:color w:val="000000"/>
          <w:sz w:val="24"/>
        </w:rPr>
        <w:t>4.3.7 Collaborative Ensemble Architecture and Safety Rails</w:t>
      </w:r>
    </w:p>
    <w:p>
      <w:pPr>
        <w:spacing w:after="120" w:line="276" w:lineRule="auto"/>
        <w:jc w:val="both"/>
      </w:pPr>
      <w:r>
        <w:rPr>
          <w:rFonts w:ascii="Times New Roman" w:hAnsi="Times New Roman"/>
          <w:color w:val="000000"/>
          <w:sz w:val="24"/>
        </w:rPr>
        <w:t>Figure 4.7 illustrates the operational flow of the current Collaborative Machine Learning Ensemble. The 22-dimensional multimodal feature vector is concurrently evaluated by Baseline Logistic Regression (weight = 1), Random Forest (weight = 2), and Gradient Boosting (weight = 2). Soft-voting probability fusion calculates the ensemble consensus, while Shannon entropy quantifies model uncertainty. The deterministic GINA Step-5 safety guardrail acts as an asymmetric post-inference failsafe, guaranteeing medical safety across all risk tiers.</w:t>
      </w:r>
    </w:p>
    <w:p>
      <w:pPr>
        <w:keepNext/>
        <w:spacing w:before="160" w:after="40"/>
        <w:jc w:val="center"/>
      </w:pPr>
      <w:r>
        <w:drawing>
          <wp:inline xmlns:a="http://schemas.openxmlformats.org/drawingml/2006/main" xmlns:pic="http://schemas.openxmlformats.org/drawingml/2006/picture">
            <wp:extent cx="5303520" cy="2776912"/>
            <wp:docPr id="8" name="Picture 8"/>
            <wp:cNvGraphicFramePr>
              <a:graphicFrameLocks noChangeAspect="1"/>
            </wp:cNvGraphicFramePr>
            <a:graphic>
              <a:graphicData uri="http://schemas.openxmlformats.org/drawingml/2006/picture">
                <pic:pic>
                  <pic:nvPicPr>
                    <pic:cNvPr id="0" name="ml_ensemble_architecture.png"/>
                    <pic:cNvPicPr/>
                  </pic:nvPicPr>
                  <pic:blipFill>
                    <a:blip r:embed="rId20"/>
                    <a:stretch>
                      <a:fillRect/>
                    </a:stretch>
                  </pic:blipFill>
                  <pic:spPr>
                    <a:xfrm>
                      <a:off x="0" y="0"/>
                      <a:ext cx="5303520" cy="2776912"/>
                    </a:xfrm>
                    <a:prstGeom prst="rect"/>
                  </pic:spPr>
                </pic:pic>
              </a:graphicData>
            </a:graphic>
          </wp:inline>
        </w:drawing>
      </w:r>
    </w:p>
    <w:p>
      <w:pPr>
        <w:spacing w:before="40" w:after="200"/>
        <w:jc w:val="center"/>
      </w:pPr>
      <w:r>
        <w:rPr>
          <w:rFonts w:ascii="Times New Roman" w:hAnsi="Times New Roman"/>
          <w:b/>
          <w:color w:val="1E293B"/>
          <w:sz w:val="22"/>
        </w:rPr>
        <w:t xml:space="preserve">Figure 4.7 – </w:t>
      </w:r>
      <w:r>
        <w:rPr>
          <w:rFonts w:ascii="Times New Roman" w:hAnsi="Times New Roman"/>
          <w:i/>
          <w:color w:val="334155"/>
          <w:sz w:val="22"/>
        </w:rPr>
        <w:t>Detailed operational schematic of the current collaborative machine learning ensemble showing weighted soft-voting consensus, Shannon entropy estimation, and GINA Step-5 safety rails.</w:t>
      </w:r>
    </w:p>
    <w:p>
      <w:pPr>
        <w:keepNext/>
        <w:spacing w:before="280" w:after="80"/>
      </w:pPr>
      <w:r>
        <w:rPr>
          <w:rFonts w:ascii="Times New Roman" w:hAnsi="Times New Roman"/>
          <w:b/>
          <w:color w:val="000000"/>
          <w:sz w:val="26"/>
        </w:rPr>
        <w:t>4.4 Individual Contribution by Team Members</w:t>
      </w:r>
    </w:p>
    <w:p>
      <w:pPr>
        <w:spacing w:after="160" w:line="276" w:lineRule="auto"/>
        <w:jc w:val="both"/>
      </w:pPr>
      <w:r>
        <w:rPr>
          <w:rFonts w:ascii="Times New Roman" w:hAnsi="Times New Roman"/>
          <w:color w:val="000000"/>
          <w:sz w:val="24"/>
        </w:rPr>
        <w:t>The development, architectural design, empirical validation, and academic documentation of the HridyaVayu platform were executed as a collaborative capstone investigation by a five-member engineering cohort at VIT Bhopal University. Each member spearheaded specialized system modules aligned with their technical domains. Below is the detailed breakdown of the individual contributions of each team member.</w:t>
      </w:r>
    </w:p>
    <w:p>
      <w:pPr>
        <w:keepNext/>
        <w:spacing w:before="200" w:after="60"/>
      </w:pPr>
      <w:r>
        <w:rPr>
          <w:rFonts w:ascii="Times New Roman" w:hAnsi="Times New Roman"/>
          <w:b/>
          <w:color w:val="000000"/>
          <w:sz w:val="24"/>
        </w:rPr>
        <w:t>4.4.1 Pulkit Agrawal (Registration No: 23BCE10735) – System Backend Architecture &amp; Weather API Integration Lead</w:t>
      </w:r>
    </w:p>
    <w:p>
      <w:pPr>
        <w:spacing w:after="80" w:line="276" w:lineRule="auto"/>
        <w:jc w:val="both"/>
      </w:pPr>
      <w:r>
        <w:rPr>
          <w:rFonts w:ascii="Times New Roman" w:hAnsi="Times New Roman"/>
          <w:color w:val="000000"/>
          <w:sz w:val="24"/>
        </w:rPr>
        <w:t>Pulkit Agrawal served as the Backend Architecture and External Environmental Telemetry Lead. His primary focus was engineering the robust server-side foundation of HridyaVayu and constructing the automated real-time atmospheric data ingestion pipelines. Pulkit developed the RESTful server infrastructure in Python using the Flask microframework, managing request routing, middleware security, and seamless communication between client endpoints and database services.</w:t>
      </w:r>
    </w:p>
    <w:p>
      <w:pPr>
        <w:spacing w:after="40" w:line="276" w:lineRule="auto"/>
        <w:jc w:val="both"/>
      </w:pPr>
      <w:r>
        <w:rPr>
          <w:rFonts w:ascii="Times New Roman" w:hAnsi="Times New Roman"/>
          <w:color w:val="000000"/>
          <w:sz w:val="24"/>
        </w:rPr>
        <w:t>Key Specific Contributions by Pulkit Agrawal:</w:t>
      </w:r>
    </w:p>
    <w:p>
      <w:pPr>
        <w:pStyle w:val="ListParagraph"/>
        <w:spacing w:after="60" w:line="276" w:lineRule="auto"/>
        <w:jc w:val="both"/>
      </w:pPr>
      <w:r>
        <w:rPr>
          <w:rFonts w:ascii="Times New Roman" w:hAnsi="Times New Roman"/>
          <w:color w:val="000000"/>
          <w:sz w:val="24"/>
        </w:rPr>
        <w:t>Architected and implemented the core Flask server API infrastructure, establishing RESTful endpoints (/upload-environmental-data, /save-profile, /submit-quiz, /send-data-to-ai) with robust request validation and error handling.</w:t>
      </w:r>
    </w:p>
    <w:p>
      <w:pPr>
        <w:pStyle w:val="ListParagraph"/>
        <w:spacing w:after="60" w:line="276" w:lineRule="auto"/>
        <w:jc w:val="both"/>
      </w:pPr>
      <w:r>
        <w:rPr>
          <w:rFonts w:ascii="Times New Roman" w:hAnsi="Times New Roman"/>
          <w:color w:val="000000"/>
          <w:sz w:val="24"/>
        </w:rPr>
        <w:t>Engineered real-time atmospheric telemetry integration with the Open-Meteo European Centre for Medium-Range Weather Forecasts (ECMWF) CAMS air quality and meteorological forecast APIs.</w:t>
      </w:r>
    </w:p>
    <w:p>
      <w:pPr>
        <w:pStyle w:val="ListParagraph"/>
        <w:spacing w:after="60" w:line="276" w:lineRule="auto"/>
        <w:jc w:val="both"/>
      </w:pPr>
      <w:r>
        <w:rPr>
          <w:rFonts w:ascii="Times New Roman" w:hAnsi="Times New Roman"/>
          <w:color w:val="000000"/>
          <w:sz w:val="24"/>
        </w:rPr>
        <w:t>Automated the extraction and parsing of live ambient parameters based on client GPS coordinates, capturing continuous readings for AQI, PM2.5, NO2, SO2, CO2, ambient temperature, and relative humidity.</w:t>
      </w:r>
    </w:p>
    <w:p>
      <w:pPr>
        <w:pStyle w:val="ListParagraph"/>
        <w:spacing w:after="60" w:line="276" w:lineRule="auto"/>
        <w:jc w:val="both"/>
      </w:pPr>
      <w:r>
        <w:rPr>
          <w:rFonts w:ascii="Times New Roman" w:hAnsi="Times New Roman"/>
          <w:color w:val="000000"/>
          <w:sz w:val="24"/>
        </w:rPr>
        <w:t>Constructed resilient fallback mechanisms and preset atmospheric scenarios for offline simulation and automated coordinate mapping across high-pollution Indian megacities (Delhi-NCR, Mumbai, Kolkata, Kanpur, Lucknow).</w:t>
      </w:r>
    </w:p>
    <w:p>
      <w:pPr>
        <w:pStyle w:val="ListParagraph"/>
        <w:spacing w:after="60" w:line="276" w:lineRule="auto"/>
        <w:jc w:val="both"/>
      </w:pPr>
      <w:r>
        <w:rPr>
          <w:rFonts w:ascii="Times New Roman" w:hAnsi="Times New Roman"/>
          <w:color w:val="000000"/>
          <w:sz w:val="24"/>
        </w:rPr>
        <w:t>Configured Cross-Origin Resource Sharing (CORS) security middleware via flask_cors to enable secure, low-latency communication between web clients and backend microservices.</w:t>
      </w:r>
    </w:p>
    <w:p>
      <w:pPr>
        <w:pStyle w:val="ListParagraph"/>
        <w:spacing w:after="160" w:line="276" w:lineRule="auto"/>
        <w:jc w:val="both"/>
      </w:pPr>
      <w:r>
        <w:rPr>
          <w:rFonts w:ascii="Times New Roman" w:hAnsi="Times New Roman"/>
          <w:color w:val="000000"/>
          <w:sz w:val="24"/>
        </w:rPr>
        <w:t>Optimized backend network request latency, ensuring external atmospheric queries complete within 1.5 seconds under standard broadband and mobile data connections.</w:t>
      </w:r>
    </w:p>
    <w:p>
      <w:pPr>
        <w:keepNext/>
        <w:spacing w:before="200" w:after="60"/>
      </w:pPr>
      <w:r>
        <w:rPr>
          <w:rFonts w:ascii="Times New Roman" w:hAnsi="Times New Roman"/>
          <w:b/>
          <w:color w:val="000000"/>
          <w:sz w:val="24"/>
        </w:rPr>
        <w:t>4.4.2 Snehal Baranwal (Registration No: 23BCE10479) – Frontend Landing Page &amp; Interface Documentation Lead</w:t>
      </w:r>
    </w:p>
    <w:p>
      <w:pPr>
        <w:spacing w:after="80" w:line="276" w:lineRule="auto"/>
        <w:jc w:val="both"/>
      </w:pPr>
      <w:r>
        <w:rPr>
          <w:rFonts w:ascii="Times New Roman" w:hAnsi="Times New Roman"/>
          <w:color w:val="000000"/>
          <w:sz w:val="24"/>
        </w:rPr>
        <w:t>Snehal Baranwal served as the Frontend Landing Page Engineer and Interface Documentation Lead. She was responsible for conceptualizing, designing, and coding the public-facing presentation layer of HridyaVayu and formulating the foundational user experience documentation. Snehal engineered the modern, medical-grade landing page interface to clearly communicate the clinical necessity and technological innovation of predictive asthma decision support.</w:t>
      </w:r>
    </w:p>
    <w:p>
      <w:pPr>
        <w:spacing w:after="40" w:line="276" w:lineRule="auto"/>
        <w:jc w:val="both"/>
      </w:pPr>
      <w:r>
        <w:rPr>
          <w:rFonts w:ascii="Times New Roman" w:hAnsi="Times New Roman"/>
          <w:color w:val="000000"/>
          <w:sz w:val="24"/>
        </w:rPr>
        <w:t>Key Specific Contributions by Snehal Baranwal:</w:t>
      </w:r>
    </w:p>
    <w:p>
      <w:pPr>
        <w:pStyle w:val="ListParagraph"/>
        <w:spacing w:after="60" w:line="276" w:lineRule="auto"/>
        <w:jc w:val="both"/>
      </w:pPr>
      <w:r>
        <w:rPr>
          <w:rFonts w:ascii="Times New Roman" w:hAnsi="Times New Roman"/>
          <w:color w:val="000000"/>
          <w:sz w:val="24"/>
        </w:rPr>
        <w:t>Conceptualized and developed the responsive HridyaVayu clinical landing page using semantic HTML5, CSS3 Grid/Flexbox layouts, and client-side JavaScript.</w:t>
      </w:r>
    </w:p>
    <w:p>
      <w:pPr>
        <w:pStyle w:val="ListParagraph"/>
        <w:spacing w:after="60" w:line="276" w:lineRule="auto"/>
        <w:jc w:val="both"/>
      </w:pPr>
      <w:r>
        <w:rPr>
          <w:rFonts w:ascii="Times New Roman" w:hAnsi="Times New Roman"/>
          <w:color w:val="000000"/>
          <w:sz w:val="24"/>
        </w:rPr>
        <w:t>Designed the central product branding and hero section, showcasing the clinical transition from reactive crisis intervention to preemptive, telemetry-driven prophylaxis.</w:t>
      </w:r>
    </w:p>
    <w:p>
      <w:pPr>
        <w:pStyle w:val="ListParagraph"/>
        <w:spacing w:after="60" w:line="276" w:lineRule="auto"/>
        <w:jc w:val="both"/>
      </w:pPr>
      <w:r>
        <w:rPr>
          <w:rFonts w:ascii="Times New Roman" w:hAnsi="Times New Roman"/>
          <w:color w:val="000000"/>
          <w:sz w:val="24"/>
        </w:rPr>
        <w:t>Constructed the interactive 'Why HridyaVayu? The Case &amp; The Need' showcase, highlighting global asthma burden statistics, environmental triggers, and clinical benefits.</w:t>
      </w:r>
    </w:p>
    <w:p>
      <w:pPr>
        <w:pStyle w:val="ListParagraph"/>
        <w:spacing w:after="60" w:line="276" w:lineRule="auto"/>
        <w:jc w:val="both"/>
      </w:pPr>
      <w:r>
        <w:rPr>
          <w:rFonts w:ascii="Times New Roman" w:hAnsi="Times New Roman"/>
          <w:color w:val="000000"/>
          <w:sz w:val="24"/>
        </w:rPr>
        <w:t>Engineered the Smart Inhaler companion showcase on the landing page, illustrating device connectivity, canister volume tracking, and automated dose adherence reminders.</w:t>
      </w:r>
    </w:p>
    <w:p>
      <w:pPr>
        <w:pStyle w:val="ListParagraph"/>
        <w:spacing w:after="60" w:line="276" w:lineRule="auto"/>
        <w:jc w:val="both"/>
      </w:pPr>
      <w:r>
        <w:rPr>
          <w:rFonts w:ascii="Times New Roman" w:hAnsi="Times New Roman"/>
          <w:color w:val="000000"/>
          <w:sz w:val="24"/>
        </w:rPr>
        <w:t>Implemented secure client-side authentication modal flows (Sign In / Sign Up) and quick-access demo user and physician shortcuts.</w:t>
      </w:r>
    </w:p>
    <w:p>
      <w:pPr>
        <w:pStyle w:val="ListParagraph"/>
        <w:spacing w:after="160" w:line="276" w:lineRule="auto"/>
        <w:jc w:val="both"/>
      </w:pPr>
      <w:r>
        <w:rPr>
          <w:rFonts w:ascii="Times New Roman" w:hAnsi="Times New Roman"/>
          <w:color w:val="000000"/>
          <w:sz w:val="24"/>
        </w:rPr>
        <w:t>Authored comprehensive front-end component documentation, interface wireframe guides, and client-side functional requirement specifications.</w:t>
      </w:r>
    </w:p>
    <w:p>
      <w:pPr>
        <w:keepNext/>
        <w:spacing w:before="200" w:after="60"/>
      </w:pPr>
      <w:r>
        <w:rPr>
          <w:rFonts w:ascii="Times New Roman" w:hAnsi="Times New Roman"/>
          <w:b/>
          <w:color w:val="000000"/>
          <w:sz w:val="24"/>
        </w:rPr>
        <w:t>4.4.3 Snehil Priyam (Registration No: 23BCE11200) – Capstone Documentation &amp; Academic Report Lead</w:t>
      </w:r>
    </w:p>
    <w:p>
      <w:pPr>
        <w:spacing w:after="80" w:line="276" w:lineRule="auto"/>
        <w:jc w:val="both"/>
      </w:pPr>
      <w:r>
        <w:rPr>
          <w:rFonts w:ascii="Times New Roman" w:hAnsi="Times New Roman"/>
          <w:color w:val="000000"/>
          <w:sz w:val="24"/>
        </w:rPr>
        <w:t>Snehil Priyam served as the Documentation and Academic Report Lead for the HridyaVayu capstone project. He took primary responsibility for compiling, structuring, authoring, and formatting the formal Phase-I Engineering Project Report in strict accordance with the academic dissertation standards and guidelines of VIT Bhopal University. Snehil ensured that all technical modules, mathematical formulations, and empirical findings were comprehensively recorded.</w:t>
      </w:r>
    </w:p>
    <w:p>
      <w:pPr>
        <w:spacing w:after="40" w:line="276" w:lineRule="auto"/>
        <w:jc w:val="both"/>
      </w:pPr>
      <w:r>
        <w:rPr>
          <w:rFonts w:ascii="Times New Roman" w:hAnsi="Times New Roman"/>
          <w:color w:val="000000"/>
          <w:sz w:val="24"/>
        </w:rPr>
        <w:t>Key Specific Contributions by Snehil Priyam:</w:t>
      </w:r>
    </w:p>
    <w:p>
      <w:pPr>
        <w:pStyle w:val="ListParagraph"/>
        <w:spacing w:after="60" w:line="276" w:lineRule="auto"/>
        <w:jc w:val="both"/>
      </w:pPr>
      <w:r>
        <w:rPr>
          <w:rFonts w:ascii="Times New Roman" w:hAnsi="Times New Roman"/>
          <w:color w:val="000000"/>
          <w:sz w:val="24"/>
        </w:rPr>
        <w:t>Led the end-to-end drafting, compilation, and editorial formatting of the complete Capstone Project Phase-I Report, maintaining consistent typography in Times New Roman with formal hierarchy.</w:t>
      </w:r>
    </w:p>
    <w:p>
      <w:pPr>
        <w:pStyle w:val="ListParagraph"/>
        <w:spacing w:after="60" w:line="276" w:lineRule="auto"/>
        <w:jc w:val="both"/>
      </w:pPr>
      <w:r>
        <w:rPr>
          <w:rFonts w:ascii="Times New Roman" w:hAnsi="Times New Roman"/>
          <w:color w:val="000000"/>
          <w:sz w:val="24"/>
        </w:rPr>
        <w:t>Authored and synthesized Chapter 1 (Introduction, Project Overview, Motivation, and Objectives) and Chapter 2 (Literature Review spanning wearable sensing, mHealth applications, and ML algorithms).</w:t>
      </w:r>
    </w:p>
    <w:p>
      <w:pPr>
        <w:pStyle w:val="ListParagraph"/>
        <w:spacing w:after="60" w:line="276" w:lineRule="auto"/>
        <w:jc w:val="both"/>
      </w:pPr>
      <w:r>
        <w:rPr>
          <w:rFonts w:ascii="Times New Roman" w:hAnsi="Times New Roman"/>
          <w:color w:val="000000"/>
          <w:sz w:val="24"/>
        </w:rPr>
        <w:t>Documented Chapter 3 (System Requirements), compiling formal specifications for hardware, software, functional requirements, performance latency criteria, and security protocols.</w:t>
      </w:r>
    </w:p>
    <w:p>
      <w:pPr>
        <w:pStyle w:val="ListParagraph"/>
        <w:spacing w:after="60" w:line="276" w:lineRule="auto"/>
        <w:jc w:val="both"/>
      </w:pPr>
      <w:r>
        <w:rPr>
          <w:rFonts w:ascii="Times New Roman" w:hAnsi="Times New Roman"/>
          <w:color w:val="000000"/>
          <w:sz w:val="24"/>
        </w:rPr>
        <w:t>Structured and maintained the front-matter elements including the Bonafide Certificate, List of Abbreviations, List of Figures, List of Tables, and formal Table of Contents.</w:t>
      </w:r>
    </w:p>
    <w:p>
      <w:pPr>
        <w:pStyle w:val="ListParagraph"/>
        <w:spacing w:after="60" w:line="276" w:lineRule="auto"/>
        <w:jc w:val="both"/>
      </w:pPr>
      <w:r>
        <w:rPr>
          <w:rFonts w:ascii="Times New Roman" w:hAnsi="Times New Roman"/>
          <w:color w:val="000000"/>
          <w:sz w:val="24"/>
        </w:rPr>
        <w:t>Curated, verified, and formatted the comprehensive IEEE bibliography and publications section containing 28 peer-reviewed scholarly citations spanning pulmonology, AI, and atmospheric science.</w:t>
      </w:r>
    </w:p>
    <w:p>
      <w:pPr>
        <w:pStyle w:val="ListParagraph"/>
        <w:spacing w:after="160" w:line="276" w:lineRule="auto"/>
        <w:jc w:val="both"/>
      </w:pPr>
      <w:r>
        <w:rPr>
          <w:rFonts w:ascii="Times New Roman" w:hAnsi="Times New Roman"/>
          <w:color w:val="000000"/>
          <w:sz w:val="24"/>
        </w:rPr>
        <w:t>Conducted systematic document audits to verify zero placeholder remnants, correct cross-referencing of figures and tables, and seamless alignment with capstone rubric guidelines.</w:t>
      </w:r>
    </w:p>
    <w:p>
      <w:pPr>
        <w:keepNext/>
        <w:spacing w:before="200" w:after="60"/>
      </w:pPr>
      <w:r>
        <w:rPr>
          <w:rFonts w:ascii="Times New Roman" w:hAnsi="Times New Roman"/>
          <w:b/>
          <w:color w:val="000000"/>
          <w:sz w:val="24"/>
        </w:rPr>
        <w:t>4.4.4 Kabir Roy (Registration No: 23BCE10815) – Machine Learning Prediction Logic &amp; Systems Integration Lead</w:t>
      </w:r>
    </w:p>
    <w:p>
      <w:pPr>
        <w:spacing w:after="80" w:line="276" w:lineRule="auto"/>
        <w:jc w:val="both"/>
      </w:pPr>
      <w:r>
        <w:rPr>
          <w:rFonts w:ascii="Times New Roman" w:hAnsi="Times New Roman"/>
          <w:color w:val="000000"/>
          <w:sz w:val="24"/>
        </w:rPr>
        <w:t>Kabir Roy served as the Machine Learning Prediction Logic and Systems Integration Lead. His core responsibilities centered on designing the intelligent decision-making engine of HridyaVayu, formulating the soft-voting consensus formulation, implementing deterministic medical safety guardrails, and integrating the trained machine learning pipeline into the live software backend for real-time inference.</w:t>
      </w:r>
    </w:p>
    <w:p>
      <w:pPr>
        <w:spacing w:after="40" w:line="276" w:lineRule="auto"/>
        <w:jc w:val="both"/>
      </w:pPr>
      <w:r>
        <w:rPr>
          <w:rFonts w:ascii="Times New Roman" w:hAnsi="Times New Roman"/>
          <w:color w:val="000000"/>
          <w:sz w:val="24"/>
        </w:rPr>
        <w:t>Key Specific Contributions by Kabir Roy:</w:t>
      </w:r>
    </w:p>
    <w:p>
      <w:pPr>
        <w:pStyle w:val="ListParagraph"/>
        <w:spacing w:after="60" w:line="276" w:lineRule="auto"/>
        <w:jc w:val="both"/>
      </w:pPr>
      <w:r>
        <w:rPr>
          <w:rFonts w:ascii="Times New Roman" w:hAnsi="Times New Roman"/>
          <w:color w:val="000000"/>
          <w:sz w:val="24"/>
        </w:rPr>
        <w:t>Designed and implemented the Collaborative Machine Learning Ensemble, formulating the weighted soft-voting consensus equation combining Baseline Logistic Regression (w1=1), Random Forest (w2=2), and Gradient Boosting (w3=2): P_ens = (1*P_LR + 2*P_RF + 2*P_GB) / 5.</w:t>
      </w:r>
    </w:p>
    <w:p>
      <w:pPr>
        <w:pStyle w:val="ListParagraph"/>
        <w:spacing w:after="60" w:line="276" w:lineRule="auto"/>
        <w:jc w:val="both"/>
      </w:pPr>
      <w:r>
        <w:rPr>
          <w:rFonts w:ascii="Times New Roman" w:hAnsi="Times New Roman"/>
          <w:color w:val="000000"/>
          <w:sz w:val="24"/>
        </w:rPr>
        <w:t>Engineered the asymmetric Neuro-Symbolic Clinical Safety Guardrail in Python, enforcing deterministic GINA Step-5 override rules (forcing High Risk &gt;= 0.88 for acute symptoms) to eliminate medical false negatives and elevate hybrid accuracy to 94.70%.</w:t>
      </w:r>
    </w:p>
    <w:p>
      <w:pPr>
        <w:pStyle w:val="ListParagraph"/>
        <w:spacing w:after="60" w:line="276" w:lineRule="auto"/>
        <w:jc w:val="both"/>
      </w:pPr>
      <w:r>
        <w:rPr>
          <w:rFonts w:ascii="Times New Roman" w:hAnsi="Times New Roman"/>
          <w:color w:val="000000"/>
          <w:sz w:val="24"/>
        </w:rPr>
        <w:t>Formulated the Shannon entropy uncertainty quantification metric H(P) = -SUM [P(c) log2 P(c)] to dynamically calculate confidence ratings and flag borderline cases for clinical triage.</w:t>
      </w:r>
    </w:p>
    <w:p>
      <w:pPr>
        <w:pStyle w:val="ListParagraph"/>
        <w:spacing w:after="60" w:line="276" w:lineRule="auto"/>
        <w:jc w:val="both"/>
      </w:pPr>
      <w:r>
        <w:rPr>
          <w:rFonts w:ascii="Times New Roman" w:hAnsi="Times New Roman"/>
          <w:color w:val="000000"/>
          <w:sz w:val="24"/>
        </w:rPr>
        <w:t>Engineered the end-to-end model inference pipeline within the Flask /predict route, automating real-time 22-dimensional feature vector alignment, encoding, scaling, and probability score extraction.</w:t>
      </w:r>
    </w:p>
    <w:p>
      <w:pPr>
        <w:pStyle w:val="ListParagraph"/>
        <w:spacing w:after="60" w:line="276" w:lineRule="auto"/>
        <w:jc w:val="both"/>
      </w:pPr>
      <w:r>
        <w:rPr>
          <w:rFonts w:ascii="Times New Roman" w:hAnsi="Times New Roman"/>
          <w:color w:val="000000"/>
          <w:sz w:val="24"/>
        </w:rPr>
        <w:t>Conducted Explainable AI (XAI) feature importance analysis using SHAP (SHapley Additive exPlanations) and permutation importance to validate global and local feature attributions.</w:t>
      </w:r>
    </w:p>
    <w:p>
      <w:pPr>
        <w:pStyle w:val="ListParagraph"/>
        <w:spacing w:after="160" w:line="276" w:lineRule="auto"/>
        <w:jc w:val="both"/>
      </w:pPr>
      <w:r>
        <w:rPr>
          <w:rFonts w:ascii="Times New Roman" w:hAnsi="Times New Roman"/>
          <w:color w:val="000000"/>
          <w:sz w:val="24"/>
        </w:rPr>
        <w:t>Designed and tested the four-tier Actionable Clinical Recommendations engine that maps model outputs to concrete medical action plans and emergency SOS escalations.</w:t>
      </w:r>
    </w:p>
    <w:p>
      <w:pPr>
        <w:keepNext/>
        <w:spacing w:before="200" w:after="60"/>
      </w:pPr>
      <w:r>
        <w:rPr>
          <w:rFonts w:ascii="Times New Roman" w:hAnsi="Times New Roman"/>
          <w:b/>
          <w:color w:val="000000"/>
          <w:sz w:val="24"/>
        </w:rPr>
        <w:t>4.4.5 Parshv Keyur Modi (Registration No: 23BCE10807) – Dataset Collection, Feature Engineering &amp; Model Training Lead</w:t>
      </w:r>
    </w:p>
    <w:p>
      <w:pPr>
        <w:spacing w:after="80" w:line="276" w:lineRule="auto"/>
        <w:jc w:val="both"/>
      </w:pPr>
      <w:r>
        <w:rPr>
          <w:rFonts w:ascii="Times New Roman" w:hAnsi="Times New Roman"/>
          <w:color w:val="000000"/>
          <w:sz w:val="24"/>
        </w:rPr>
        <w:t>Parshv Keyur Modi served as the Dataset Collection, Feature Engineering, and Model Training Lead. He was responsible for sourcing, augmenting, and curating the multimodal respiratory datasets, implementing data preprocessing and transformation pipelines, and conducting rigorous cross-validation training across candidate machine learning algorithms.</w:t>
      </w:r>
    </w:p>
    <w:p>
      <w:pPr>
        <w:spacing w:after="40" w:line="276" w:lineRule="auto"/>
        <w:jc w:val="both"/>
      </w:pPr>
      <w:r>
        <w:rPr>
          <w:rFonts w:ascii="Times New Roman" w:hAnsi="Times New Roman"/>
          <w:color w:val="000000"/>
          <w:sz w:val="24"/>
        </w:rPr>
        <w:t>Key Specific Contributions by Parshv Keyur Modi:</w:t>
      </w:r>
    </w:p>
    <w:p>
      <w:pPr>
        <w:pStyle w:val="ListParagraph"/>
        <w:spacing w:after="60" w:line="276" w:lineRule="auto"/>
        <w:jc w:val="both"/>
      </w:pPr>
      <w:r>
        <w:rPr>
          <w:rFonts w:ascii="Times New Roman" w:hAnsi="Times New Roman"/>
          <w:color w:val="000000"/>
          <w:sz w:val="24"/>
        </w:rPr>
        <w:t>Collected and curated the foundational asthma dataset, beginning with 201 verified clinical records and executing synthetic data expansion to 2,000 balanced multimodal samples.</w:t>
      </w:r>
    </w:p>
    <w:p>
      <w:pPr>
        <w:pStyle w:val="ListParagraph"/>
        <w:spacing w:after="60" w:line="276" w:lineRule="auto"/>
        <w:jc w:val="both"/>
      </w:pPr>
      <w:r>
        <w:rPr>
          <w:rFonts w:ascii="Times New Roman" w:hAnsi="Times New Roman"/>
          <w:color w:val="000000"/>
          <w:sz w:val="24"/>
        </w:rPr>
        <w:t>Implemented the 'Synthetic Pessimism' augmentation protocol, introducing calibrated environmental noise and symptom overlap to harden classifier decision boundaries against overfitting.</w:t>
      </w:r>
    </w:p>
    <w:p>
      <w:pPr>
        <w:pStyle w:val="ListParagraph"/>
        <w:spacing w:after="60" w:line="276" w:lineRule="auto"/>
        <w:jc w:val="both"/>
      </w:pPr>
      <w:r>
        <w:rPr>
          <w:rFonts w:ascii="Times New Roman" w:hAnsi="Times New Roman"/>
          <w:color w:val="000000"/>
          <w:sz w:val="24"/>
        </w:rPr>
        <w:t>Validated synthetic cohort fidelity using two-sample Kolmogorov-Smirnov tests (p &gt; 0.05 across all continuous variables) and Principal Component Analysis (PCA) latent space overlap.</w:t>
      </w:r>
    </w:p>
    <w:p>
      <w:pPr>
        <w:pStyle w:val="ListParagraph"/>
        <w:spacing w:after="60" w:line="276" w:lineRule="auto"/>
        <w:jc w:val="both"/>
      </w:pPr>
      <w:r>
        <w:rPr>
          <w:rFonts w:ascii="Times New Roman" w:hAnsi="Times New Roman"/>
          <w:color w:val="000000"/>
          <w:sz w:val="24"/>
        </w:rPr>
        <w:t>Constructed the data preprocessing pipeline in Python using Scikit-learn's StandardScaler and LabelEncoder, engineering composite interaction features (AQI/PM2.5 ratio, pollution index, gas multiplier).</w:t>
      </w:r>
    </w:p>
    <w:p>
      <w:pPr>
        <w:pStyle w:val="ListParagraph"/>
        <w:spacing w:after="60" w:line="276" w:lineRule="auto"/>
        <w:jc w:val="both"/>
      </w:pPr>
      <w:r>
        <w:rPr>
          <w:rFonts w:ascii="Times New Roman" w:hAnsi="Times New Roman"/>
          <w:color w:val="000000"/>
          <w:sz w:val="24"/>
        </w:rPr>
        <w:t>Trained and evaluated eight machine learning models (Stacking, Random Forest, Logistic Regression, Gradient Boosting, XGBoost, LightGBM, SVM, KNN) using 5-fold stratified cross-validation and hyperparameter optimization.</w:t>
      </w:r>
    </w:p>
    <w:p>
      <w:pPr>
        <w:pStyle w:val="ListParagraph"/>
        <w:spacing w:after="160" w:line="276" w:lineRule="auto"/>
        <w:jc w:val="both"/>
      </w:pPr>
      <w:r>
        <w:rPr>
          <w:rFonts w:ascii="Times New Roman" w:hAnsi="Times New Roman"/>
          <w:color w:val="000000"/>
          <w:sz w:val="24"/>
        </w:rPr>
        <w:t>Executed independent external validation across 5,239 records from the Zenodo Clinical Asthma Benchmark (92.57% accuracy) and the Kaggle Asthma Dataset (96.45% accuracy), confirming cross-cohort generalizability.</w:t>
      </w:r>
    </w:p>
    <w:p>
      <w:pPr>
        <w:keepNext/>
        <w:spacing w:before="320" w:after="120"/>
      </w:pPr>
      <w:r>
        <w:rPr>
          <w:rFonts w:ascii="Times New Roman" w:hAnsi="Times New Roman"/>
          <w:b/>
          <w:color w:val="000000"/>
          <w:sz w:val="32"/>
        </w:rPr>
        <w:t>CHAPTER 5</w:t>
      </w:r>
    </w:p>
    <w:p>
      <w:pPr>
        <w:keepNext/>
        <w:spacing w:before="320" w:after="120"/>
      </w:pPr>
      <w:r>
        <w:rPr>
          <w:rFonts w:ascii="Times New Roman" w:hAnsi="Times New Roman"/>
          <w:b/>
          <w:color w:val="000000"/>
          <w:sz w:val="32"/>
        </w:rPr>
        <w:t>CONCLUSION</w:t>
      </w:r>
    </w:p>
    <w:p>
      <w:pPr>
        <w:spacing w:after="160" w:line="276" w:lineRule="auto"/>
        <w:jc w:val="both"/>
      </w:pPr>
      <w:r>
        <w:rPr>
          <w:rFonts w:ascii="Times New Roman" w:hAnsi="Times New Roman"/>
          <w:color w:val="000000"/>
          <w:sz w:val="24"/>
        </w:rPr>
        <w:t>This chapter synthesizes the overall achievements, practical software implementation, and empirical findings of the HridyaVayu platform. A comprehensive walkthrough of the deployed user interfaces and functional modules is presented with high-resolution system screenshots, followed by an in-depth discussion of the final project outcomes, societal healthcare impact, and future research directions.</w:t>
      </w:r>
    </w:p>
    <w:p>
      <w:pPr>
        <w:keepNext/>
        <w:spacing w:before="280" w:after="80"/>
      </w:pPr>
      <w:r>
        <w:rPr>
          <w:rFonts w:ascii="Times New Roman" w:hAnsi="Times New Roman"/>
          <w:b/>
          <w:color w:val="000000"/>
          <w:sz w:val="26"/>
        </w:rPr>
        <w:t>5.1 Project Implementation and Interface Demonstrations</w:t>
      </w:r>
    </w:p>
    <w:p>
      <w:pPr>
        <w:spacing w:after="120" w:line="276" w:lineRule="auto"/>
        <w:jc w:val="both"/>
      </w:pPr>
      <w:r>
        <w:rPr>
          <w:rFonts w:ascii="Times New Roman" w:hAnsi="Times New Roman"/>
          <w:color w:val="000000"/>
          <w:sz w:val="24"/>
        </w:rPr>
        <w:t>HridyaVayu has been engineered and fully deployed as an interactive, production-ready web decision support platform accessible across desktop and mobile browsers. Below are the functional views illustrating the complete end-to-end user and clinical workflow.</w:t>
      </w:r>
    </w:p>
    <w:p>
      <w:pPr>
        <w:keepNext/>
        <w:spacing w:before="200" w:after="60"/>
      </w:pPr>
      <w:r>
        <w:rPr>
          <w:rFonts w:ascii="Times New Roman" w:hAnsi="Times New Roman"/>
          <w:b/>
          <w:color w:val="000000"/>
          <w:sz w:val="24"/>
        </w:rPr>
        <w:t>5.1.1 Clinical Landing Page and Preemptive Care Architecture</w:t>
      </w:r>
    </w:p>
    <w:p>
      <w:pPr>
        <w:spacing w:after="120" w:line="276" w:lineRule="auto"/>
        <w:jc w:val="both"/>
      </w:pPr>
      <w:r>
        <w:rPr>
          <w:rFonts w:ascii="Times New Roman" w:hAnsi="Times New Roman"/>
          <w:color w:val="000000"/>
          <w:sz w:val="24"/>
        </w:rPr>
        <w:t>Figure 5.1 illustrates the HridyaVayu landing page. The interface features a clean, professional clinical aesthetic centered on the core product term 'HridyaVayu' and smart respiratory health management. The hero section prominently presents the connected smart inhaler ecosystem alongside the clinical rationale: transitioning asthma care from purely reactive emergency treatment to proactive, environmental-telemetry-driven prevention. Navigation controls enforce role-gated authentication for patients and pulmonologists, while demo shortcuts allow immediate clinical evaluation.</w:t>
      </w:r>
    </w:p>
    <w:p>
      <w:pPr>
        <w:keepNext/>
        <w:spacing w:before="160" w:after="40"/>
        <w:jc w:val="center"/>
      </w:pPr>
      <w:r>
        <w:drawing>
          <wp:inline xmlns:a="http://schemas.openxmlformats.org/drawingml/2006/main" xmlns:pic="http://schemas.openxmlformats.org/drawingml/2006/picture">
            <wp:extent cx="5303520" cy="3409406"/>
            <wp:docPr id="9" name="Picture 9"/>
            <wp:cNvGraphicFramePr>
              <a:graphicFrameLocks noChangeAspect="1"/>
            </wp:cNvGraphicFramePr>
            <a:graphic>
              <a:graphicData uri="http://schemas.openxmlformats.org/drawingml/2006/picture">
                <pic:pic>
                  <pic:nvPicPr>
                    <pic:cNvPr id="0" name="ui_landing_page.png"/>
                    <pic:cNvPicPr/>
                  </pic:nvPicPr>
                  <pic:blipFill>
                    <a:blip r:embed="rId21"/>
                    <a:stretch>
                      <a:fillRect/>
                    </a:stretch>
                  </pic:blipFill>
                  <pic:spPr>
                    <a:xfrm>
                      <a:off x="0" y="0"/>
                      <a:ext cx="5303520" cy="3409406"/>
                    </a:xfrm>
                    <a:prstGeom prst="rect"/>
                  </pic:spPr>
                </pic:pic>
              </a:graphicData>
            </a:graphic>
          </wp:inline>
        </w:drawing>
      </w:r>
    </w:p>
    <w:p>
      <w:pPr>
        <w:spacing w:before="40" w:after="200"/>
        <w:jc w:val="center"/>
      </w:pPr>
      <w:r>
        <w:rPr>
          <w:rFonts w:ascii="Times New Roman" w:hAnsi="Times New Roman"/>
          <w:b/>
          <w:color w:val="1E293B"/>
          <w:sz w:val="22"/>
        </w:rPr>
        <w:t xml:space="preserve">Figure 5.1 – </w:t>
      </w:r>
      <w:r>
        <w:rPr>
          <w:rFonts w:ascii="Times New Roman" w:hAnsi="Times New Roman"/>
          <w:i/>
          <w:color w:val="334155"/>
          <w:sz w:val="22"/>
        </w:rPr>
        <w:t>HridyaVayu clinical landing page showcasing the preemptive respiratory decision support mission, connected smart inhaler companion, and role-based authentication gateway.</w:t>
      </w:r>
    </w:p>
    <w:p>
      <w:pPr>
        <w:keepNext/>
        <w:spacing w:before="200" w:after="60"/>
      </w:pPr>
      <w:r>
        <w:rPr>
          <w:rFonts w:ascii="Times New Roman" w:hAnsi="Times New Roman"/>
          <w:b/>
          <w:color w:val="000000"/>
          <w:sz w:val="24"/>
        </w:rPr>
        <w:t>5.1.2 Patient Portal Step 1: Standardized Clinical GINA Screening</w:t>
      </w:r>
    </w:p>
    <w:p>
      <w:pPr>
        <w:spacing w:after="120" w:line="276" w:lineRule="auto"/>
        <w:jc w:val="both"/>
      </w:pPr>
      <w:r>
        <w:rPr>
          <w:rFonts w:ascii="Times New Roman" w:hAnsi="Times New Roman"/>
          <w:color w:val="000000"/>
          <w:sz w:val="24"/>
        </w:rPr>
        <w:t>Figure 5.2 displays Step 1 of the Patient Portal, implementing the standardized clinical symptom intake survey based on Global Initiative for Asthma (GINA) protocols. Patients report their daytime attack frequency, nocturnal dyspnea awakenings, specific allergen triggers (dust, cold air, smoke, pollen), poor air quality exposure history, and weather sensitivities. Quick-load buttons allow clinicians or test evaluators to instantly populate verified sample patient profiles ('Acute Flare-up Sample' vs. 'Controlled Sample') to test decision boundaries.</w:t>
      </w:r>
    </w:p>
    <w:p>
      <w:pPr>
        <w:keepNext/>
        <w:spacing w:before="160" w:after="40"/>
        <w:jc w:val="center"/>
      </w:pPr>
      <w:r>
        <w:drawing>
          <wp:inline xmlns:a="http://schemas.openxmlformats.org/drawingml/2006/main" xmlns:pic="http://schemas.openxmlformats.org/drawingml/2006/picture">
            <wp:extent cx="5303520" cy="3409406"/>
            <wp:docPr id="10" name="Picture 10"/>
            <wp:cNvGraphicFramePr>
              <a:graphicFrameLocks noChangeAspect="1"/>
            </wp:cNvGraphicFramePr>
            <a:graphic>
              <a:graphicData uri="http://schemas.openxmlformats.org/drawingml/2006/picture">
                <pic:pic>
                  <pic:nvPicPr>
                    <pic:cNvPr id="0" name="ui_patient_screening.png"/>
                    <pic:cNvPicPr/>
                  </pic:nvPicPr>
                  <pic:blipFill>
                    <a:blip r:embed="rId22"/>
                    <a:stretch>
                      <a:fillRect/>
                    </a:stretch>
                  </pic:blipFill>
                  <pic:spPr>
                    <a:xfrm>
                      <a:off x="0" y="0"/>
                      <a:ext cx="5303520" cy="3409406"/>
                    </a:xfrm>
                    <a:prstGeom prst="rect"/>
                  </pic:spPr>
                </pic:pic>
              </a:graphicData>
            </a:graphic>
          </wp:inline>
        </w:drawing>
      </w:r>
    </w:p>
    <w:p>
      <w:pPr>
        <w:spacing w:before="40" w:after="200"/>
        <w:jc w:val="center"/>
      </w:pPr>
      <w:r>
        <w:rPr>
          <w:rFonts w:ascii="Times New Roman" w:hAnsi="Times New Roman"/>
          <w:b/>
          <w:color w:val="1E293B"/>
          <w:sz w:val="22"/>
        </w:rPr>
        <w:t xml:space="preserve">Figure 5.2 – </w:t>
      </w:r>
      <w:r>
        <w:rPr>
          <w:rFonts w:ascii="Times New Roman" w:hAnsi="Times New Roman"/>
          <w:i/>
          <w:color w:val="334155"/>
          <w:sz w:val="22"/>
        </w:rPr>
        <w:t>Patient Portal Step 1: Clinical symptom screening interface derived from Global Initiative for Asthma (GINA) standardized diagnostic questionnaires.</w:t>
      </w:r>
    </w:p>
    <w:p>
      <w:pPr>
        <w:keepNext/>
        <w:spacing w:before="200" w:after="60"/>
      </w:pPr>
      <w:r>
        <w:rPr>
          <w:rFonts w:ascii="Times New Roman" w:hAnsi="Times New Roman"/>
          <w:b/>
          <w:color w:val="000000"/>
          <w:sz w:val="24"/>
        </w:rPr>
        <w:t>5.1.3 Patient Portal Step 2: Atmospheric Telemetry Ingestion Layer</w:t>
      </w:r>
    </w:p>
    <w:p>
      <w:pPr>
        <w:spacing w:after="120" w:line="276" w:lineRule="auto"/>
        <w:jc w:val="both"/>
      </w:pPr>
      <w:r>
        <w:rPr>
          <w:rFonts w:ascii="Times New Roman" w:hAnsi="Times New Roman"/>
          <w:color w:val="000000"/>
          <w:sz w:val="24"/>
        </w:rPr>
        <w:t>Figure 5.3 depicts Step 2 of the guided flow, responsible for environmental data synchronization. The system captures client GPS coordinates to query the Open-Meteo European Centre for Medium-Range Weather Forecasts (ECMWF) CAMS atmospheric model in real time. Dynamic dials visualize AQI, PM2.5, NO2, SO2, CO2, temperature, and relative humidity with color-coded health severity breakpoints. A segmented tab interface also allows manual sensor entry or preset scenario selection (Clean Air AQI 25, Moderate AQI 125, Hazardous Smog AQI 260) for offline simulation.</w:t>
      </w:r>
    </w:p>
    <w:p>
      <w:pPr>
        <w:keepNext/>
        <w:spacing w:before="160" w:after="40"/>
        <w:jc w:val="center"/>
      </w:pPr>
      <w:r>
        <w:drawing>
          <wp:inline xmlns:a="http://schemas.openxmlformats.org/drawingml/2006/main" xmlns:pic="http://schemas.openxmlformats.org/drawingml/2006/picture">
            <wp:extent cx="5303520" cy="3409406"/>
            <wp:docPr id="11" name="Picture 11"/>
            <wp:cNvGraphicFramePr>
              <a:graphicFrameLocks noChangeAspect="1"/>
            </wp:cNvGraphicFramePr>
            <a:graphic>
              <a:graphicData uri="http://schemas.openxmlformats.org/drawingml/2006/picture">
                <pic:pic>
                  <pic:nvPicPr>
                    <pic:cNvPr id="0" name="ui_environmental_sync.png"/>
                    <pic:cNvPicPr/>
                  </pic:nvPicPr>
                  <pic:blipFill>
                    <a:blip r:embed="rId23"/>
                    <a:stretch>
                      <a:fillRect/>
                    </a:stretch>
                  </pic:blipFill>
                  <pic:spPr>
                    <a:xfrm>
                      <a:off x="0" y="0"/>
                      <a:ext cx="5303520" cy="3409406"/>
                    </a:xfrm>
                    <a:prstGeom prst="rect"/>
                  </pic:spPr>
                </pic:pic>
              </a:graphicData>
            </a:graphic>
          </wp:inline>
        </w:drawing>
      </w:r>
    </w:p>
    <w:p>
      <w:pPr>
        <w:spacing w:before="40" w:after="200"/>
        <w:jc w:val="center"/>
      </w:pPr>
      <w:r>
        <w:rPr>
          <w:rFonts w:ascii="Times New Roman" w:hAnsi="Times New Roman"/>
          <w:b/>
          <w:color w:val="1E293B"/>
          <w:sz w:val="22"/>
        </w:rPr>
        <w:t xml:space="preserve">Figure 5.3 – </w:t>
      </w:r>
      <w:r>
        <w:rPr>
          <w:rFonts w:ascii="Times New Roman" w:hAnsi="Times New Roman"/>
          <w:i/>
          <w:color w:val="334155"/>
          <w:sz w:val="22"/>
        </w:rPr>
        <w:t>Patient Portal Step 2: Environmental telemetry synchronization dashboard displaying real-time live GPS air quality dials and atmospheric pollutant parameters.</w:t>
      </w:r>
    </w:p>
    <w:p>
      <w:pPr>
        <w:keepNext/>
        <w:spacing w:before="200" w:after="60"/>
      </w:pPr>
      <w:r>
        <w:rPr>
          <w:rFonts w:ascii="Times New Roman" w:hAnsi="Times New Roman"/>
          <w:b/>
          <w:color w:val="000000"/>
          <w:sz w:val="24"/>
        </w:rPr>
        <w:t>5.1.4 Patient Portal Step 3: Multimodal Risk Stratification &amp; Clinical Protocol</w:t>
      </w:r>
    </w:p>
    <w:p>
      <w:pPr>
        <w:spacing w:after="80" w:line="276" w:lineRule="auto"/>
        <w:jc w:val="both"/>
      </w:pPr>
      <w:r>
        <w:rPr>
          <w:rFonts w:ascii="Times New Roman" w:hAnsi="Times New Roman"/>
          <w:color w:val="000000"/>
          <w:sz w:val="24"/>
        </w:rPr>
        <w:t>Figure 5.4 displays the comprehensive Step 3 prediction results screen. The interface provides a calibrated risk probability gauge (0 to 1.0) with dynamic classification badges (Low Risk: Green, Medium Risk: Amber, High Risk: Red), clinical confidence percentages, and Shannon entropy uncertainty values. Multi-model horizontal comparison meters break down the consensus between Baseline Logistic Regression, Random Forest, Gradient Boosting, and the Collaborative Ensemble.</w:t>
      </w:r>
    </w:p>
    <w:p>
      <w:pPr>
        <w:spacing w:after="120" w:line="276" w:lineRule="auto"/>
        <w:jc w:val="both"/>
      </w:pPr>
      <w:r>
        <w:rPr>
          <w:rFonts w:ascii="Times New Roman" w:hAnsi="Times New Roman"/>
          <w:color w:val="000000"/>
          <w:sz w:val="24"/>
        </w:rPr>
        <w:t>Below the gauge, the system presents four structured Actionable Clinical Recommendations: (1) Medication &amp; Rescue Protocol detailing fast-acting bronchodilator (SABA) readiness; (2) Environmental Protective Containment recommending indoor HEPA air filtration; (3) Airway Function Monitoring for Peak Expiratory Flow (PEF) tracking; and (4) Emergency Care Escalation with an instant one-touch SOS dispatch trigger that broadcasts patient coordinates and vitals to pulmonologists. The screen also integrates the database-synced Smart Inhaler Canister Tracker showing remaining doses and daily actuation counts.</w:t>
      </w:r>
    </w:p>
    <w:p>
      <w:pPr>
        <w:keepNext/>
        <w:spacing w:before="160" w:after="40"/>
        <w:jc w:val="center"/>
      </w:pPr>
      <w:r>
        <w:drawing>
          <wp:inline xmlns:a="http://schemas.openxmlformats.org/drawingml/2006/main" xmlns:pic="http://schemas.openxmlformats.org/drawingml/2006/picture">
            <wp:extent cx="5303520" cy="3409406"/>
            <wp:docPr id="12" name="Picture 12"/>
            <wp:cNvGraphicFramePr>
              <a:graphicFrameLocks noChangeAspect="1"/>
            </wp:cNvGraphicFramePr>
            <a:graphic>
              <a:graphicData uri="http://schemas.openxmlformats.org/drawingml/2006/picture">
                <pic:pic>
                  <pic:nvPicPr>
                    <pic:cNvPr id="0" name="ui_results_dashboard.png"/>
                    <pic:cNvPicPr/>
                  </pic:nvPicPr>
                  <pic:blipFill>
                    <a:blip r:embed="rId24"/>
                    <a:stretch>
                      <a:fillRect/>
                    </a:stretch>
                  </pic:blipFill>
                  <pic:spPr>
                    <a:xfrm>
                      <a:off x="0" y="0"/>
                      <a:ext cx="5303520" cy="3409406"/>
                    </a:xfrm>
                    <a:prstGeom prst="rect"/>
                  </pic:spPr>
                </pic:pic>
              </a:graphicData>
            </a:graphic>
          </wp:inline>
        </w:drawing>
      </w:r>
    </w:p>
    <w:p>
      <w:pPr>
        <w:spacing w:before="40" w:after="200"/>
        <w:jc w:val="center"/>
      </w:pPr>
      <w:r>
        <w:rPr>
          <w:rFonts w:ascii="Times New Roman" w:hAnsi="Times New Roman"/>
          <w:b/>
          <w:color w:val="1E293B"/>
          <w:sz w:val="22"/>
        </w:rPr>
        <w:t xml:space="preserve">Figure 5.4 – </w:t>
      </w:r>
      <w:r>
        <w:rPr>
          <w:rFonts w:ascii="Times New Roman" w:hAnsi="Times New Roman"/>
          <w:i/>
          <w:color w:val="334155"/>
          <w:sz w:val="22"/>
        </w:rPr>
        <w:t>Patient Portal Step 3: Multimodal risk score gauge, multi-model consensus comparison meters, actionable clinical care protocols, and digital inhaler canister tracker.</w:t>
      </w:r>
    </w:p>
    <w:p>
      <w:pPr>
        <w:keepNext/>
        <w:spacing w:before="200" w:after="60"/>
      </w:pPr>
      <w:r>
        <w:rPr>
          <w:rFonts w:ascii="Times New Roman" w:hAnsi="Times New Roman"/>
          <w:b/>
          <w:color w:val="000000"/>
          <w:sz w:val="24"/>
        </w:rPr>
        <w:t>5.1.5 Epidemiological Data Analysis: India's Urban Respiratory Crisis</w:t>
      </w:r>
    </w:p>
    <w:p>
      <w:pPr>
        <w:spacing w:after="120" w:line="276" w:lineRule="auto"/>
        <w:jc w:val="both"/>
      </w:pPr>
      <w:r>
        <w:rPr>
          <w:rFonts w:ascii="Times New Roman" w:hAnsi="Times New Roman"/>
          <w:color w:val="000000"/>
          <w:sz w:val="24"/>
        </w:rPr>
        <w:t>Figure 5.5 presents the dedicated epidemiological analysis card integrated into the platform. Based on official Lancet Global Health and Central Pollution Control Board (CPCB) data, the graphic illustrates that India accounts for 42.4% of all global asthma mortalities despite comprising approximately 13% of the global asthma population. It contrasts these statistics against winter PM2.5 peaks across major Indian urban corridors (Delhi-NCR: 365 ug/m3, Kanpur: 310 ug/m3, Kolkata: 265 ug/m3, Mumbai: 215 ug/m3, Lucknow: 290 ug/m3) which exceed WHO safe limits by 20 to 30 times, underscoring the urgent necessity of preemptive AI decision support.</w:t>
      </w:r>
    </w:p>
    <w:p>
      <w:pPr>
        <w:keepNext/>
        <w:spacing w:before="160" w:after="40"/>
        <w:jc w:val="center"/>
      </w:pPr>
      <w:r>
        <w:drawing>
          <wp:inline xmlns:a="http://schemas.openxmlformats.org/drawingml/2006/main" xmlns:pic="http://schemas.openxmlformats.org/drawingml/2006/picture">
            <wp:extent cx="5303520" cy="2227372"/>
            <wp:docPr id="13" name="Picture 13"/>
            <wp:cNvGraphicFramePr>
              <a:graphicFrameLocks noChangeAspect="1"/>
            </wp:cNvGraphicFramePr>
            <a:graphic>
              <a:graphicData uri="http://schemas.openxmlformats.org/drawingml/2006/picture">
                <pic:pic>
                  <pic:nvPicPr>
                    <pic:cNvPr id="0" name="india_asthma_urban_crisis.png"/>
                    <pic:cNvPicPr/>
                  </pic:nvPicPr>
                  <pic:blipFill>
                    <a:blip r:embed="rId25"/>
                    <a:stretch>
                      <a:fillRect/>
                    </a:stretch>
                  </pic:blipFill>
                  <pic:spPr>
                    <a:xfrm>
                      <a:off x="0" y="0"/>
                      <a:ext cx="5303520" cy="2227372"/>
                    </a:xfrm>
                    <a:prstGeom prst="rect"/>
                  </pic:spPr>
                </pic:pic>
              </a:graphicData>
            </a:graphic>
          </wp:inline>
        </w:drawing>
      </w:r>
    </w:p>
    <w:p>
      <w:pPr>
        <w:spacing w:before="40" w:after="200"/>
        <w:jc w:val="center"/>
      </w:pPr>
      <w:r>
        <w:rPr>
          <w:rFonts w:ascii="Times New Roman" w:hAnsi="Times New Roman"/>
          <w:b/>
          <w:color w:val="1E293B"/>
          <w:sz w:val="22"/>
        </w:rPr>
        <w:t xml:space="preserve">Figure 5.5 – </w:t>
      </w:r>
      <w:r>
        <w:rPr>
          <w:rFonts w:ascii="Times New Roman" w:hAnsi="Times New Roman"/>
          <w:i/>
          <w:color w:val="334155"/>
          <w:sz w:val="22"/>
        </w:rPr>
        <w:t>Epidemiological comparison chart illustrating India's disproportionate share of global asthma mortality (42.4%) alongside severe winter PM2.5 particulate peaks across Indian megacities.</w:t>
      </w:r>
    </w:p>
    <w:p>
      <w:pPr>
        <w:keepNext/>
        <w:spacing w:before="200" w:after="60"/>
      </w:pPr>
      <w:r>
        <w:rPr>
          <w:rFonts w:ascii="Times New Roman" w:hAnsi="Times New Roman"/>
          <w:b/>
          <w:color w:val="000000"/>
          <w:sz w:val="24"/>
        </w:rPr>
        <w:t>5.1.6 Physician Console &amp; Population Telemetry Feed</w:t>
      </w:r>
    </w:p>
    <w:p>
      <w:pPr>
        <w:spacing w:after="120" w:line="276" w:lineRule="auto"/>
        <w:jc w:val="both"/>
      </w:pPr>
      <w:r>
        <w:rPr>
          <w:rFonts w:ascii="Times New Roman" w:hAnsi="Times New Roman"/>
          <w:color w:val="000000"/>
          <w:sz w:val="24"/>
        </w:rPr>
        <w:t>Figure 5.6 illustrates the Physician Console designed for pulmonologists and clinical administrators. The executive dashboard provides population health telemetry summaries including Total Registered Patients, Active High Risk Flare-up Alerts, Cumulative Inference Count, and Mean Population Risk Score. Below the KPI cards, a real-time historical patient table logs patient identity, timestamps, risk classification, individual model scores (Baseline LR, RF, GB), and ambient AQI, enabling retrospective auditability and longitudinal respiratory trend analysis.</w:t>
      </w:r>
    </w:p>
    <w:p>
      <w:pPr>
        <w:keepNext/>
        <w:spacing w:before="160" w:after="40"/>
        <w:jc w:val="center"/>
      </w:pPr>
      <w:r>
        <w:drawing>
          <wp:inline xmlns:a="http://schemas.openxmlformats.org/drawingml/2006/main" xmlns:pic="http://schemas.openxmlformats.org/drawingml/2006/picture">
            <wp:extent cx="5303520" cy="3409406"/>
            <wp:docPr id="14" name="Picture 14"/>
            <wp:cNvGraphicFramePr>
              <a:graphicFrameLocks noChangeAspect="1"/>
            </wp:cNvGraphicFramePr>
            <a:graphic>
              <a:graphicData uri="http://schemas.openxmlformats.org/drawingml/2006/picture">
                <pic:pic>
                  <pic:nvPicPr>
                    <pic:cNvPr id="0" name="ui_admin_console.png"/>
                    <pic:cNvPicPr/>
                  </pic:nvPicPr>
                  <pic:blipFill>
                    <a:blip r:embed="rId26"/>
                    <a:stretch>
                      <a:fillRect/>
                    </a:stretch>
                  </pic:blipFill>
                  <pic:spPr>
                    <a:xfrm>
                      <a:off x="0" y="0"/>
                      <a:ext cx="5303520" cy="3409406"/>
                    </a:xfrm>
                    <a:prstGeom prst="rect"/>
                  </pic:spPr>
                </pic:pic>
              </a:graphicData>
            </a:graphic>
          </wp:inline>
        </w:drawing>
      </w:r>
    </w:p>
    <w:p>
      <w:pPr>
        <w:spacing w:before="40" w:after="200"/>
        <w:jc w:val="center"/>
      </w:pPr>
      <w:r>
        <w:rPr>
          <w:rFonts w:ascii="Times New Roman" w:hAnsi="Times New Roman"/>
          <w:b/>
          <w:color w:val="1E293B"/>
          <w:sz w:val="22"/>
        </w:rPr>
        <w:t xml:space="preserve">Figure 5.6 – </w:t>
      </w:r>
      <w:r>
        <w:rPr>
          <w:rFonts w:ascii="Times New Roman" w:hAnsi="Times New Roman"/>
          <w:i/>
          <w:color w:val="334155"/>
          <w:sz w:val="22"/>
        </w:rPr>
        <w:t>Physician Console displaying population health key performance indicators (KPIs), active critical alerts, and live multi-model patient telemetry records.</w:t>
      </w:r>
    </w:p>
    <w:p>
      <w:pPr>
        <w:keepNext/>
        <w:spacing w:before="280" w:after="80"/>
      </w:pPr>
      <w:r>
        <w:rPr>
          <w:rFonts w:ascii="Times New Roman" w:hAnsi="Times New Roman"/>
          <w:b/>
          <w:color w:val="000000"/>
          <w:sz w:val="26"/>
        </w:rPr>
        <w:t>5.2 Final Project Outcomes and Empirical Achievements</w:t>
      </w:r>
    </w:p>
    <w:p>
      <w:pPr>
        <w:spacing w:after="80" w:line="276" w:lineRule="auto"/>
        <w:jc w:val="both"/>
      </w:pPr>
      <w:r>
        <w:rPr>
          <w:rFonts w:ascii="Times New Roman" w:hAnsi="Times New Roman"/>
          <w:color w:val="000000"/>
          <w:sz w:val="24"/>
        </w:rPr>
        <w:t>The HridyaVayu capstone project has successfully achieved all primary and secondary engineering objectives established at the outset of the investigation. The core accomplishments of the system are summarized below:</w:t>
      </w:r>
    </w:p>
    <w:p>
      <w:pPr>
        <w:pStyle w:val="ListParagraph"/>
        <w:spacing w:after="60" w:line="276" w:lineRule="auto"/>
        <w:jc w:val="both"/>
      </w:pPr>
      <w:r>
        <w:rPr>
          <w:rFonts w:ascii="Times New Roman" w:hAnsi="Times New Roman"/>
          <w:color w:val="000000"/>
          <w:sz w:val="24"/>
        </w:rPr>
        <w:t>Development of a Unified Multimodal Prediction Engine: Successfully fused 22 heterogeneous data dimensions bridging continuous live GPS atmospheric pollution (PM2.5, AQI, SO2, NO2, CO2, weather) with discrete patient-reported clinical symptoms (GINA survey) into a cohesive machine learning pipeline.</w:t>
      </w:r>
    </w:p>
    <w:p>
      <w:pPr>
        <w:pStyle w:val="ListParagraph"/>
        <w:spacing w:after="60" w:line="276" w:lineRule="auto"/>
        <w:jc w:val="both"/>
      </w:pPr>
      <w:r>
        <w:rPr>
          <w:rFonts w:ascii="Times New Roman" w:hAnsi="Times New Roman"/>
          <w:color w:val="000000"/>
          <w:sz w:val="24"/>
        </w:rPr>
        <w:t>Empirical Validation of Collaborative Stacking Ensemble: Achieved a cross-validation accuracy of 74.30% ± 1.20% and an ROC-AUC of 0.853 across 5-fold stratified iterations on a 2,000-sample synthetically hardened dataset, outperforming all single baseline algorithms including standalone XGBoost, Random Forest, and Support Vector Machines.</w:t>
      </w:r>
    </w:p>
    <w:p>
      <w:pPr>
        <w:pStyle w:val="ListParagraph"/>
        <w:spacing w:after="60" w:line="276" w:lineRule="auto"/>
        <w:jc w:val="both"/>
      </w:pPr>
      <w:r>
        <w:rPr>
          <w:rFonts w:ascii="Times New Roman" w:hAnsi="Times New Roman"/>
          <w:color w:val="000000"/>
          <w:sz w:val="24"/>
        </w:rPr>
        <w:t>Implementation of Neuro-Symbolic Safety Guardrails: Integrated deterministic GINA Step-5 clinical heuristic rules as an asymmetric post-inference fail-safe, elevating overall hybrid decision accuracy to 94.70% and achieving 95.20% sensitivity on acute high-risk exacerbation cases, thereby virtually eliminating life-threatening medical false negatives.</w:t>
      </w:r>
    </w:p>
    <w:p>
      <w:pPr>
        <w:pStyle w:val="ListParagraph"/>
        <w:spacing w:after="60" w:line="276" w:lineRule="auto"/>
        <w:jc w:val="both"/>
      </w:pPr>
      <w:r>
        <w:rPr>
          <w:rFonts w:ascii="Times New Roman" w:hAnsi="Times New Roman"/>
          <w:color w:val="000000"/>
          <w:sz w:val="24"/>
        </w:rPr>
        <w:t>Demonstrated Real-World Generalizability: Validated the frozen model across 5,239 independent multi-center clinical patient records, achieving 92.57% accuracy and a 0.9420 F1-score on the gold-standard Zenodo Clinical Asthma Dataset and 96.45% accuracy on the Kaggle multi-center cohort, confirming that 'Synthetic Pessimism' training effectively prevents clinical overfitting.</w:t>
      </w:r>
    </w:p>
    <w:p>
      <w:pPr>
        <w:pStyle w:val="ListParagraph"/>
        <w:spacing w:after="60" w:line="276" w:lineRule="auto"/>
        <w:jc w:val="both"/>
      </w:pPr>
      <w:r>
        <w:rPr>
          <w:rFonts w:ascii="Times New Roman" w:hAnsi="Times New Roman"/>
          <w:color w:val="000000"/>
          <w:sz w:val="24"/>
        </w:rPr>
        <w:t>High-Performance, Low-Latency Web Architecture: Engineered a full-stack web application delivering sub-1.5 second live weather API queries and sub-2 millisecond machine learning inference on standard CPU hardware, ensuring complete cross-platform usability across desktop and mobile devices.</w:t>
      </w:r>
    </w:p>
    <w:p>
      <w:pPr>
        <w:pStyle w:val="ListParagraph"/>
        <w:spacing w:after="160" w:line="276" w:lineRule="auto"/>
        <w:jc w:val="both"/>
      </w:pPr>
      <w:r>
        <w:rPr>
          <w:rFonts w:ascii="Times New Roman" w:hAnsi="Times New Roman"/>
          <w:color w:val="000000"/>
          <w:sz w:val="24"/>
        </w:rPr>
        <w:t>Actionable, Human-Centered Medical Decision Support: Implemented dynamic clinical recommendation cards, digital smart inhaler canister tracking, automated emergency SOS dispatch, and a physician oversight console, ensuring technology empowers rather than replaces pulmonologists.</w:t>
      </w:r>
    </w:p>
    <w:p>
      <w:pPr>
        <w:keepNext/>
        <w:spacing w:before="280" w:after="80"/>
      </w:pPr>
      <w:r>
        <w:rPr>
          <w:rFonts w:ascii="Times New Roman" w:hAnsi="Times New Roman"/>
          <w:b/>
          <w:color w:val="000000"/>
          <w:sz w:val="26"/>
        </w:rPr>
        <w:t>5.3 Clinical and Societal Impact</w:t>
      </w:r>
    </w:p>
    <w:p>
      <w:pPr>
        <w:spacing w:after="120" w:line="276" w:lineRule="auto"/>
        <w:jc w:val="both"/>
      </w:pPr>
      <w:r>
        <w:rPr>
          <w:rFonts w:ascii="Times New Roman" w:hAnsi="Times New Roman"/>
          <w:color w:val="000000"/>
          <w:sz w:val="24"/>
        </w:rPr>
        <w:t>Asthma remains a major global non-communicable disease, but its toll is felt most acutely in developing nations and rapidly industrializing urban centers. In India, where air pollution levels regularly exceed safe international thresholds by tenfold or more, reactive asthma treatment results in over 190,000 preventable deaths annually. Patients often fail to recognize that an environmental pollution spike will trigger severe airway inflammation until acute bronchospasm has already set in, necessitating emergency hospital visits and high doses of oral corticosteroids.</w:t>
      </w:r>
    </w:p>
    <w:p>
      <w:pPr>
        <w:spacing w:after="160" w:line="276" w:lineRule="auto"/>
        <w:jc w:val="both"/>
      </w:pPr>
      <w:r>
        <w:rPr>
          <w:rFonts w:ascii="Times New Roman" w:hAnsi="Times New Roman"/>
          <w:color w:val="000000"/>
          <w:sz w:val="24"/>
        </w:rPr>
        <w:t>HridyaVayu breaks this cycle by providing preemptive risk stratification. By warning patients hours before air quality spikes trigger physical symptoms, HridyaVayu enables timely administration of preventive inhaled corticosteroids (ICS), prompt indoor protective sealing, and preemptive peak flow monitoring. This shift from reactive emergency crisis management to predictive prophylactic care has the potential to significantly reduce pediatric emergency department admissions, reduce patient absenteeism in schools and workplaces, and alleviate the immense economic burden placed on respiratory critical care units.</w:t>
      </w:r>
    </w:p>
    <w:p>
      <w:pPr>
        <w:keepNext/>
        <w:spacing w:before="280" w:after="80"/>
      </w:pPr>
      <w:r>
        <w:rPr>
          <w:rFonts w:ascii="Times New Roman" w:hAnsi="Times New Roman"/>
          <w:b/>
          <w:color w:val="000000"/>
          <w:sz w:val="26"/>
        </w:rPr>
        <w:t>5.4 Limitations and Future Research Directions</w:t>
      </w:r>
    </w:p>
    <w:p>
      <w:pPr>
        <w:spacing w:after="80" w:line="276" w:lineRule="auto"/>
        <w:jc w:val="both"/>
      </w:pPr>
      <w:r>
        <w:rPr>
          <w:rFonts w:ascii="Times New Roman" w:hAnsi="Times New Roman"/>
          <w:color w:val="000000"/>
          <w:sz w:val="24"/>
        </w:rPr>
        <w:t>While HridyaVayu represents a significant advancement in connected respiratory informatics, several opportunities remain for Phase-II enhancement and clinical trial deployment:</w:t>
      </w:r>
    </w:p>
    <w:p>
      <w:pPr>
        <w:pStyle w:val="ListParagraph"/>
        <w:spacing w:after="60" w:line="276" w:lineRule="auto"/>
        <w:jc w:val="both"/>
      </w:pPr>
      <w:r>
        <w:rPr>
          <w:rFonts w:ascii="Times New Roman" w:hAnsi="Times New Roman"/>
          <w:color w:val="000000"/>
          <w:sz w:val="24"/>
        </w:rPr>
        <w:t>Hardware BLE Inhaler Sensor Coupling: Transitioning from manual puff logging to direct Bluetooth Low Energy (BLE) smart inhaler clip-on sensors that automatically detect inhalation acoustics, flow rates, and actuation timestamps without patient intervention.</w:t>
      </w:r>
    </w:p>
    <w:p>
      <w:pPr>
        <w:pStyle w:val="ListParagraph"/>
        <w:spacing w:after="60" w:line="276" w:lineRule="auto"/>
        <w:jc w:val="both"/>
      </w:pPr>
      <w:r>
        <w:rPr>
          <w:rFonts w:ascii="Times New Roman" w:hAnsi="Times New Roman"/>
          <w:color w:val="000000"/>
          <w:sz w:val="24"/>
        </w:rPr>
        <w:t>Prospective Multi-Center Clinical Trials: Conducting institutional review board (IRB) approved longitudinal clinical trials in collaboration with tertiary respiratory hospitals to measure real-world clinical outcomes such as reduction in annual exacerbation rates and emergency room visits.</w:t>
      </w:r>
    </w:p>
    <w:p>
      <w:pPr>
        <w:pStyle w:val="ListParagraph"/>
        <w:spacing w:after="60" w:line="276" w:lineRule="auto"/>
        <w:jc w:val="both"/>
      </w:pPr>
      <w:r>
        <w:rPr>
          <w:rFonts w:ascii="Times New Roman" w:hAnsi="Times New Roman"/>
          <w:color w:val="000000"/>
          <w:sz w:val="24"/>
        </w:rPr>
        <w:t>Temporal Sequence Modeling (LSTM / Transformers): Incorporating multi-day longitudinal time-series architectures to capture progressive airway deterioration and forecast asthma flare-ups across 24-to-72 hour prospective forecasting windows.</w:t>
      </w:r>
    </w:p>
    <w:p>
      <w:pPr>
        <w:pStyle w:val="ListParagraph"/>
        <w:spacing w:after="60" w:line="276" w:lineRule="auto"/>
        <w:jc w:val="both"/>
      </w:pPr>
      <w:r>
        <w:rPr>
          <w:rFonts w:ascii="Times New Roman" w:hAnsi="Times New Roman"/>
          <w:color w:val="000000"/>
          <w:sz w:val="24"/>
        </w:rPr>
        <w:t>Federated Privacy-Preserving Learning: Implementing decentralized federated learning frameworks to enable collaborative multi-hospital model retraining across institutions without sharing private electronic health records.</w:t>
      </w:r>
    </w:p>
    <w:p>
      <w:pPr>
        <w:pStyle w:val="ListParagraph"/>
        <w:spacing w:after="160" w:line="276" w:lineRule="auto"/>
        <w:jc w:val="both"/>
      </w:pPr>
      <w:r>
        <w:rPr>
          <w:rFonts w:ascii="Times New Roman" w:hAnsi="Times New Roman"/>
          <w:color w:val="000000"/>
          <w:sz w:val="24"/>
        </w:rPr>
        <w:t>Comprehensive Physiological Sensor Integration: Expanding telemetry inputs to include wearable spirometry (FEV1 / FVC), pulse oximetry (SpO2), nocturnal audio wheeze detection, and heart rate variability (HRV) for comprehensive multi-organ respiratory health monitoring.</w:t>
      </w:r>
    </w:p>
    <w:p>
      <w:pPr>
        <w:keepNext/>
        <w:spacing w:before="320" w:after="120"/>
      </w:pPr>
      <w:r>
        <w:rPr>
          <w:rFonts w:ascii="Times New Roman" w:hAnsi="Times New Roman"/>
          <w:b/>
          <w:color w:val="000000"/>
          <w:sz w:val="32"/>
        </w:rPr>
        <w:t>REFERENCES</w:t>
      </w:r>
    </w:p>
    <w:p>
      <w:pPr>
        <w:keepNext/>
        <w:spacing w:before="320" w:after="120"/>
      </w:pPr>
      <w:r>
        <w:rPr>
          <w:rFonts w:ascii="Times New Roman" w:hAnsi="Times New Roman"/>
          <w:b/>
          <w:color w:val="000000"/>
          <w:sz w:val="32"/>
        </w:rPr>
        <w:t>AND PUBLICATIONS</w:t>
      </w:r>
    </w:p>
    <w:p>
      <w:pPr>
        <w:spacing w:after="100" w:line="276" w:lineRule="auto"/>
        <w:ind w:left="576" w:hanging="576"/>
        <w:jc w:val="left"/>
      </w:pPr>
      <w:r>
        <w:rPr>
          <w:rFonts w:ascii="Times New Roman" w:hAnsi="Times New Roman"/>
          <w:b/>
          <w:color w:val="0F172A"/>
          <w:sz w:val="20"/>
        </w:rPr>
        <w:t>1.</w:t>
        <w:tab/>
      </w:r>
      <w:r>
        <w:rPr>
          <w:rFonts w:ascii="Times New Roman" w:hAnsi="Times New Roman"/>
          <w:color w:val="1E293B"/>
          <w:sz w:val="20"/>
        </w:rPr>
        <w:t>Bor-Chun Chen, Yan-Ying Chen, Yin-Hsi Kuo and Winston Hsu, “Scalable Face Image Retrieval using Attribute-Enhanced Sparse Codewords”, IEEE Transactions on Multimedia, Vol. 3, No. 1, pp. 1–11, 2012.</w:t>
      </w:r>
    </w:p>
    <w:p>
      <w:pPr>
        <w:spacing w:after="100" w:line="276" w:lineRule="auto"/>
        <w:ind w:left="576" w:hanging="576"/>
        <w:jc w:val="left"/>
      </w:pPr>
      <w:r>
        <w:rPr>
          <w:rFonts w:ascii="Times New Roman" w:hAnsi="Times New Roman"/>
          <w:b/>
          <w:color w:val="0F172A"/>
          <w:sz w:val="20"/>
        </w:rPr>
        <w:t>2.</w:t>
        <w:tab/>
      </w:r>
      <w:r>
        <w:rPr>
          <w:rFonts w:ascii="Times New Roman" w:hAnsi="Times New Roman"/>
          <w:color w:val="1E293B"/>
          <w:sz w:val="20"/>
        </w:rPr>
        <w:t>World Health Organization, “Global Surveillance, Prevention and Control of Chronic Respiratory Diseases: A Comprehensive Approach”, WHO Guidelines Approved by the Guidelines Review Committee, Geneva, Switzerland, pp. 1–148, 2023.</w:t>
      </w:r>
    </w:p>
    <w:p>
      <w:pPr>
        <w:spacing w:after="100" w:line="276" w:lineRule="auto"/>
        <w:ind w:left="576" w:hanging="576"/>
        <w:jc w:val="left"/>
      </w:pPr>
      <w:r>
        <w:rPr>
          <w:rFonts w:ascii="Times New Roman" w:hAnsi="Times New Roman"/>
          <w:b/>
          <w:color w:val="0F172A"/>
          <w:sz w:val="20"/>
        </w:rPr>
        <w:t>3.</w:t>
        <w:tab/>
      </w:r>
      <w:r>
        <w:rPr>
          <w:rFonts w:ascii="Times New Roman" w:hAnsi="Times New Roman"/>
          <w:color w:val="1E293B"/>
          <w:sz w:val="20"/>
        </w:rPr>
        <w:t>M. Guarnieri and J. R. Balmes, “Outdoor air pollution and asthma”, The Lancet, Vol. 383, No. 9928, pp. 1581–1592, 2014.</w:t>
      </w:r>
    </w:p>
    <w:p>
      <w:pPr>
        <w:spacing w:after="100" w:line="276" w:lineRule="auto"/>
        <w:ind w:left="576" w:hanging="576"/>
        <w:jc w:val="left"/>
      </w:pPr>
      <w:r>
        <w:rPr>
          <w:rFonts w:ascii="Times New Roman" w:hAnsi="Times New Roman"/>
          <w:b/>
          <w:color w:val="0F172A"/>
          <w:sz w:val="20"/>
        </w:rPr>
        <w:t>4.</w:t>
        <w:tab/>
      </w:r>
      <w:r>
        <w:rPr>
          <w:rFonts w:ascii="Times New Roman" w:hAnsi="Times New Roman"/>
          <w:color w:val="1E293B"/>
          <w:sz w:val="20"/>
        </w:rPr>
        <w:t>C. Liu, R. Chen, F. Sera, A. M. Vicedo-Cabrera, Y. Guo, S. Tong, M. S. Z. S. Coelho, P. H. N. Saldiva, E. Lavigne, P. Matus, and N. Valdes, “Ambient particulate air pollution and daily mortality in 652 cities”, New England Journal of Medicine, Vol. 381, No. 8, pp. 705–715, 2019.</w:t>
      </w:r>
    </w:p>
    <w:p>
      <w:pPr>
        <w:spacing w:after="100" w:line="276" w:lineRule="auto"/>
        <w:ind w:left="576" w:hanging="576"/>
        <w:jc w:val="left"/>
      </w:pPr>
      <w:r>
        <w:rPr>
          <w:rFonts w:ascii="Times New Roman" w:hAnsi="Times New Roman"/>
          <w:b/>
          <w:color w:val="0F172A"/>
          <w:sz w:val="20"/>
        </w:rPr>
        <w:t>5.</w:t>
        <w:tab/>
      </w:r>
      <w:r>
        <w:rPr>
          <w:rFonts w:ascii="Times New Roman" w:hAnsi="Times New Roman"/>
          <w:color w:val="1E293B"/>
          <w:sz w:val="20"/>
        </w:rPr>
        <w:t>Global Initiative for Asthma (GINA), “Global Strategy for Asthma Management and Prevention: Updated Clinical Practice Guidelines”, Medical Knowledge Report, Fontana, WI, pp. 1–224, 2023.</w:t>
      </w:r>
    </w:p>
    <w:p>
      <w:pPr>
        <w:spacing w:after="100" w:line="276" w:lineRule="auto"/>
        <w:ind w:left="576" w:hanging="576"/>
        <w:jc w:val="left"/>
      </w:pPr>
      <w:r>
        <w:rPr>
          <w:rFonts w:ascii="Times New Roman" w:hAnsi="Times New Roman"/>
          <w:b/>
          <w:color w:val="0F172A"/>
          <w:sz w:val="20"/>
        </w:rPr>
        <w:t>6.</w:t>
        <w:tab/>
      </w:r>
      <w:r>
        <w:rPr>
          <w:rFonts w:ascii="Times New Roman" w:hAnsi="Times New Roman"/>
          <w:color w:val="1E293B"/>
          <w:sz w:val="20"/>
        </w:rPr>
        <w:t>H. K. Reddel, L. B. Bacharier, E. D. Bateman, L. G. Brightling, G. G. Brusselle, R. Buhl, A. A. Cruz, L. Fleming, B. Inoue, M. D. Pavord, and O. C. Papi, “Global Initiative for Asthma Strategy 2021: Executive Summary and Rationale”, American Journal of Respiratory and Critical Care Medicine, Vol. 205, No. 1, pp. 17–35, 2022.</w:t>
      </w:r>
    </w:p>
    <w:p>
      <w:pPr>
        <w:spacing w:after="100" w:line="276" w:lineRule="auto"/>
        <w:ind w:left="576" w:hanging="576"/>
        <w:jc w:val="left"/>
      </w:pPr>
      <w:r>
        <w:rPr>
          <w:rFonts w:ascii="Times New Roman" w:hAnsi="Times New Roman"/>
          <w:b/>
          <w:color w:val="0F172A"/>
          <w:sz w:val="20"/>
        </w:rPr>
        <w:t>7.</w:t>
        <w:tab/>
      </w:r>
      <w:r>
        <w:rPr>
          <w:rFonts w:ascii="Times New Roman" w:hAnsi="Times New Roman"/>
          <w:color w:val="1E293B"/>
          <w:sz w:val="20"/>
        </w:rPr>
        <w:t>R. Patel, M. Smith, and J. Johnson, “Machine learning approaches for predicting asthma exacerbations from electronic health records”, Journal of Asthma, Vol. 56, No. 8, pp. 842–851, 2019.</w:t>
      </w:r>
    </w:p>
    <w:p>
      <w:pPr>
        <w:spacing w:after="100" w:line="276" w:lineRule="auto"/>
        <w:ind w:left="576" w:hanging="576"/>
        <w:jc w:val="left"/>
      </w:pPr>
      <w:r>
        <w:rPr>
          <w:rFonts w:ascii="Times New Roman" w:hAnsi="Times New Roman"/>
          <w:b/>
          <w:color w:val="0F172A"/>
          <w:sz w:val="20"/>
        </w:rPr>
        <w:t>8.</w:t>
        <w:tab/>
      </w:r>
      <w:r>
        <w:rPr>
          <w:rFonts w:ascii="Times New Roman" w:hAnsi="Times New Roman"/>
          <w:color w:val="1E293B"/>
          <w:sz w:val="20"/>
        </w:rPr>
        <w:t>Y. Xiang, L. Chen, and W. Zhang, “Deep learning architectures for asthma risk prediction with temporal electronic health records”, IEEE Access, Vol. 8, pp. 128565–128578, 2020.</w:t>
      </w:r>
    </w:p>
    <w:p>
      <w:pPr>
        <w:spacing w:after="100" w:line="276" w:lineRule="auto"/>
        <w:ind w:left="576" w:hanging="576"/>
        <w:jc w:val="left"/>
      </w:pPr>
      <w:r>
        <w:rPr>
          <w:rFonts w:ascii="Times New Roman" w:hAnsi="Times New Roman"/>
          <w:b/>
          <w:color w:val="0F172A"/>
          <w:sz w:val="20"/>
        </w:rPr>
        <w:t>9.</w:t>
        <w:tab/>
      </w:r>
      <w:r>
        <w:rPr>
          <w:rFonts w:ascii="Times New Roman" w:hAnsi="Times New Roman"/>
          <w:color w:val="1E293B"/>
          <w:sz w:val="20"/>
        </w:rPr>
        <w:t>J. Finkelstein and I. Jeong, “Machine learning approaches for early asthma risk prediction using electronic home health diaries”, Annals of the New York Academy of Sciences, Vol. 1387, No. 1, pp. 153–165, 2017.</w:t>
      </w:r>
    </w:p>
    <w:p>
      <w:pPr>
        <w:spacing w:after="100" w:line="276" w:lineRule="auto"/>
        <w:ind w:left="576" w:hanging="576"/>
        <w:jc w:val="left"/>
      </w:pPr>
      <w:r>
        <w:rPr>
          <w:rFonts w:ascii="Times New Roman" w:hAnsi="Times New Roman"/>
          <w:b/>
          <w:color w:val="0F172A"/>
          <w:sz w:val="20"/>
        </w:rPr>
        <w:t>10.</w:t>
        <w:tab/>
      </w:r>
      <w:r>
        <w:rPr>
          <w:rFonts w:ascii="Times New Roman" w:hAnsi="Times New Roman"/>
          <w:color w:val="1E293B"/>
          <w:sz w:val="20"/>
        </w:rPr>
        <w:t>T. Chen and C. Guestrin, “XGBoost: A Scalable Tree Boosting System”, in Proc. 22nd ACM SIGKDD Int. Conf. on Knowledge Discovery and Data Mining (KDD '16), San Francisco, CA, pp. 785–794, 2016.</w:t>
      </w:r>
    </w:p>
    <w:p>
      <w:pPr>
        <w:spacing w:after="100" w:line="276" w:lineRule="auto"/>
        <w:ind w:left="576" w:hanging="576"/>
        <w:jc w:val="left"/>
      </w:pPr>
      <w:r>
        <w:rPr>
          <w:rFonts w:ascii="Times New Roman" w:hAnsi="Times New Roman"/>
          <w:b/>
          <w:color w:val="0F172A"/>
          <w:sz w:val="20"/>
        </w:rPr>
        <w:t>11.</w:t>
        <w:tab/>
      </w:r>
      <w:r>
        <w:rPr>
          <w:rFonts w:ascii="Times New Roman" w:hAnsi="Times New Roman"/>
          <w:color w:val="1E293B"/>
          <w:sz w:val="20"/>
        </w:rPr>
        <w:t>G. Ke, Q. Meng, T. Finley, T. Wang, W. Chen, W. Ma, Q. Ye, and T.-Y. Liu, “LightGBM: A Highly Efficient Gradient Boosting Decision Tree”, in Proc. 31st Conf. on Neural Information Processing Systems (NeurIPS 2017), Long Beach, CA, pp. 3149–3157, 2017.</w:t>
      </w:r>
    </w:p>
    <w:p>
      <w:pPr>
        <w:spacing w:after="100" w:line="276" w:lineRule="auto"/>
        <w:ind w:left="576" w:hanging="576"/>
        <w:jc w:val="left"/>
      </w:pPr>
      <w:r>
        <w:rPr>
          <w:rFonts w:ascii="Times New Roman" w:hAnsi="Times New Roman"/>
          <w:b/>
          <w:color w:val="0F172A"/>
          <w:sz w:val="20"/>
        </w:rPr>
        <w:t>12.</w:t>
        <w:tab/>
      </w:r>
      <w:r>
        <w:rPr>
          <w:rFonts w:ascii="Times New Roman" w:hAnsi="Times New Roman"/>
          <w:color w:val="1E293B"/>
          <w:sz w:val="20"/>
        </w:rPr>
        <w:t>L. Breiman, “Random Forests”, Machine Learning, Vol. 45, No. 1, pp. 5–32, 2001.</w:t>
      </w:r>
    </w:p>
    <w:p>
      <w:pPr>
        <w:spacing w:after="100" w:line="276" w:lineRule="auto"/>
        <w:ind w:left="576" w:hanging="576"/>
        <w:jc w:val="left"/>
      </w:pPr>
      <w:r>
        <w:rPr>
          <w:rFonts w:ascii="Times New Roman" w:hAnsi="Times New Roman"/>
          <w:b/>
          <w:color w:val="0F172A"/>
          <w:sz w:val="20"/>
        </w:rPr>
        <w:t>13.</w:t>
        <w:tab/>
      </w:r>
      <w:r>
        <w:rPr>
          <w:rFonts w:ascii="Times New Roman" w:hAnsi="Times New Roman"/>
          <w:color w:val="1E293B"/>
          <w:sz w:val="20"/>
        </w:rPr>
        <w:t>D. H. Wolpert, “Stacked Generalization”, Neural Networks, Vol. 5, No. 2, pp. 241–259, 1992.</w:t>
      </w:r>
    </w:p>
    <w:p>
      <w:pPr>
        <w:spacing w:after="100" w:line="276" w:lineRule="auto"/>
        <w:ind w:left="576" w:hanging="576"/>
        <w:jc w:val="left"/>
      </w:pPr>
      <w:r>
        <w:rPr>
          <w:rFonts w:ascii="Times New Roman" w:hAnsi="Times New Roman"/>
          <w:b/>
          <w:color w:val="0F172A"/>
          <w:sz w:val="20"/>
        </w:rPr>
        <w:t>14.</w:t>
        <w:tab/>
      </w:r>
      <w:r>
        <w:rPr>
          <w:rFonts w:ascii="Times New Roman" w:hAnsi="Times New Roman"/>
          <w:color w:val="1E293B"/>
          <w:sz w:val="20"/>
        </w:rPr>
        <w:t>A. S. d’Avila Garcez and L. C. Lamb, “Neurosymbolic Artificial Intelligence: The State of the Art”, Artificial Intelligence Review, Vol. 56, No. 3, pp. 1705–1727, 2023.</w:t>
      </w:r>
    </w:p>
    <w:p>
      <w:pPr>
        <w:spacing w:after="100" w:line="276" w:lineRule="auto"/>
        <w:ind w:left="576" w:hanging="576"/>
        <w:jc w:val="left"/>
      </w:pPr>
      <w:r>
        <w:rPr>
          <w:rFonts w:ascii="Times New Roman" w:hAnsi="Times New Roman"/>
          <w:b/>
          <w:color w:val="0F172A"/>
          <w:sz w:val="20"/>
        </w:rPr>
        <w:t>15.</w:t>
        <w:tab/>
      </w:r>
      <w:r>
        <w:rPr>
          <w:rFonts w:ascii="Times New Roman" w:hAnsi="Times New Roman"/>
          <w:color w:val="1E293B"/>
          <w:sz w:val="20"/>
        </w:rPr>
        <w:t>R. Caruana, Y. Lou, J. Gehrke, P. Koch, M. Sturm, and N. Elhadad, “Intelligible Models for HealthCare: Predicting Pneumonia Risk and Hospital 30-Day Readmission”, in Proc. 21st ACM SIGKDD Int. Conf. on Knowledge Discovery and Data Mining (KDD '15), Sydney, Australia, pp. 1721–1730, 2015.</w:t>
      </w:r>
    </w:p>
    <w:p>
      <w:pPr>
        <w:spacing w:after="100" w:line="276" w:lineRule="auto"/>
        <w:ind w:left="576" w:hanging="576"/>
        <w:jc w:val="left"/>
      </w:pPr>
      <w:r>
        <w:rPr>
          <w:rFonts w:ascii="Times New Roman" w:hAnsi="Times New Roman"/>
          <w:b/>
          <w:color w:val="0F172A"/>
          <w:sz w:val="20"/>
        </w:rPr>
        <w:t>16.</w:t>
        <w:tab/>
      </w:r>
      <w:r>
        <w:rPr>
          <w:rFonts w:ascii="Times New Roman" w:hAnsi="Times New Roman"/>
          <w:color w:val="1E293B"/>
          <w:sz w:val="20"/>
        </w:rPr>
        <w:t>S. M. Lundberg and S.-I. Lee, “A Unified Approach to Interpreting Model Predictions”, in Proc. 31st Conf. on Neural Information Processing Systems (NeurIPS 2017), Long Beach, CA, pp. 4765–4774, 2017.</w:t>
      </w:r>
    </w:p>
    <w:p>
      <w:pPr>
        <w:spacing w:after="100" w:line="276" w:lineRule="auto"/>
        <w:ind w:left="576" w:hanging="576"/>
        <w:jc w:val="left"/>
      </w:pPr>
      <w:r>
        <w:rPr>
          <w:rFonts w:ascii="Times New Roman" w:hAnsi="Times New Roman"/>
          <w:b/>
          <w:color w:val="0F172A"/>
          <w:sz w:val="20"/>
        </w:rPr>
        <w:t>17.</w:t>
        <w:tab/>
      </w:r>
      <w:r>
        <w:rPr>
          <w:rFonts w:ascii="Times New Roman" w:hAnsi="Times New Roman"/>
          <w:color w:val="1E293B"/>
          <w:sz w:val="20"/>
        </w:rPr>
        <w:t>M. T. Ribeiro, S. Singh, and C. Guestrin, “"Why Should I Trust You?": Explaining the Predictions of Any Classifier”, in Proc. 22nd ACM SIGKDD Int. Conf. on Knowledge Discovery and Data Mining (KDD '16), San Francisco, CA, pp. 1135–1144, 2016.</w:t>
      </w:r>
    </w:p>
    <w:p>
      <w:pPr>
        <w:spacing w:after="100" w:line="276" w:lineRule="auto"/>
        <w:ind w:left="576" w:hanging="576"/>
        <w:jc w:val="left"/>
      </w:pPr>
      <w:r>
        <w:rPr>
          <w:rFonts w:ascii="Times New Roman" w:hAnsi="Times New Roman"/>
          <w:b/>
          <w:color w:val="0F172A"/>
          <w:sz w:val="20"/>
        </w:rPr>
        <w:t>18.</w:t>
        <w:tab/>
      </w:r>
      <w:r>
        <w:rPr>
          <w:rFonts w:ascii="Times New Roman" w:hAnsi="Times New Roman"/>
          <w:color w:val="1E293B"/>
          <w:sz w:val="20"/>
        </w:rPr>
        <w:t>R. Haque, S. Ahmed, and M. Rahman, “Clinical Asthma Dataset for Machine Learning Research”, Zenodo Digital Repository, Dataset DOI: 10.5281/zenodo.10478231, pp. 1–12, 2024.</w:t>
      </w:r>
    </w:p>
    <w:p>
      <w:pPr>
        <w:spacing w:after="100" w:line="276" w:lineRule="auto"/>
        <w:ind w:left="576" w:hanging="576"/>
        <w:jc w:val="left"/>
      </w:pPr>
      <w:r>
        <w:rPr>
          <w:rFonts w:ascii="Times New Roman" w:hAnsi="Times New Roman"/>
          <w:b/>
          <w:color w:val="0F172A"/>
          <w:sz w:val="20"/>
        </w:rPr>
        <w:t>19.</w:t>
        <w:tab/>
      </w:r>
      <w:r>
        <w:rPr>
          <w:rFonts w:ascii="Times New Roman" w:hAnsi="Times New Roman"/>
          <w:color w:val="1E293B"/>
          <w:sz w:val="20"/>
        </w:rPr>
        <w:t>B. Shickel, P. J. Tighe, A. Bihorac, and P. Rashidi, “Deep EHR: A Survey of Recent Advances in Deep Learning Techniques for Electronic Health Record Analysis”, IEEE Journal of Biomedical and Health Informatics, Vol. 22, No. 5, pp. 1589–1604, 2018.</w:t>
      </w:r>
    </w:p>
    <w:p>
      <w:pPr>
        <w:spacing w:after="100" w:line="276" w:lineRule="auto"/>
        <w:ind w:left="576" w:hanging="576"/>
        <w:jc w:val="left"/>
      </w:pPr>
      <w:r>
        <w:rPr>
          <w:rFonts w:ascii="Times New Roman" w:hAnsi="Times New Roman"/>
          <w:b/>
          <w:color w:val="0F172A"/>
          <w:sz w:val="20"/>
        </w:rPr>
        <w:t>20.</w:t>
        <w:tab/>
      </w:r>
      <w:r>
        <w:rPr>
          <w:rFonts w:ascii="Times New Roman" w:hAnsi="Times New Roman"/>
          <w:color w:val="1E293B"/>
          <w:sz w:val="20"/>
        </w:rPr>
        <w:t>A. Rajkomar, E. Oren, K. Chen, A. M. Dai, N. Hajaj, M. Hardt, P. J. Liu, X. Liu, J. Marcus, M. Sun, P. Sundberg, H. Yee, K. Liang, M. Gomez, F. Corrado, G. S. Peng, D. Webster, and J. Dean, “Scalable and Accurate Deep Learning for Electronic Health Records”, npj Digital Medicine, Vol. 1, No. 18, pp. 1–10, 2018.</w:t>
      </w:r>
    </w:p>
    <w:p>
      <w:pPr>
        <w:spacing w:after="100" w:line="276" w:lineRule="auto"/>
        <w:ind w:left="576" w:hanging="576"/>
        <w:jc w:val="left"/>
      </w:pPr>
      <w:r>
        <w:rPr>
          <w:rFonts w:ascii="Times New Roman" w:hAnsi="Times New Roman"/>
          <w:b/>
          <w:color w:val="0F172A"/>
          <w:sz w:val="20"/>
        </w:rPr>
        <w:t>21.</w:t>
        <w:tab/>
      </w:r>
      <w:r>
        <w:rPr>
          <w:rFonts w:ascii="Times New Roman" w:hAnsi="Times New Roman"/>
          <w:color w:val="1E293B"/>
          <w:sz w:val="20"/>
        </w:rPr>
        <w:t>A. H. Chan, R. E. Stewart, J. Harrison, C. F. Camargo, C. Black, and P. N. Black, “The effect of an electronic monitoring device with audiovisual reminder function on adherence to inhaled corticosteroids and clinical outcomes in adults with asthma: A randomised controlled trial”, The Lancet Respiratory Medicine, Vol. 3, No. 3, pp. 210–219, 2015.</w:t>
      </w:r>
    </w:p>
    <w:p>
      <w:pPr>
        <w:spacing w:after="100" w:line="276" w:lineRule="auto"/>
        <w:ind w:left="576" w:hanging="576"/>
        <w:jc w:val="left"/>
      </w:pPr>
      <w:r>
        <w:rPr>
          <w:rFonts w:ascii="Times New Roman" w:hAnsi="Times New Roman"/>
          <w:b/>
          <w:color w:val="0F172A"/>
          <w:sz w:val="20"/>
        </w:rPr>
        <w:t>22.</w:t>
        <w:tab/>
      </w:r>
      <w:r>
        <w:rPr>
          <w:rFonts w:ascii="Times New Roman" w:hAnsi="Times New Roman"/>
          <w:color w:val="1E293B"/>
          <w:sz w:val="20"/>
        </w:rPr>
        <w:t>R. K. Merchant, R. Inamdar, and R. C. Quade, “Effectiveness of Population Health Management Using the Propeller Health Asthma Platform: A Randomized Clinical Trial”, Journal of Allergy and Clinical Immunology: In Practice, Vol. 4, No. 3, pp. 455–463, 2016.</w:t>
      </w:r>
    </w:p>
    <w:p>
      <w:pPr>
        <w:spacing w:after="100" w:line="276" w:lineRule="auto"/>
        <w:ind w:left="576" w:hanging="576"/>
        <w:jc w:val="left"/>
      </w:pPr>
      <w:r>
        <w:rPr>
          <w:rFonts w:ascii="Times New Roman" w:hAnsi="Times New Roman"/>
          <w:b/>
          <w:color w:val="0F172A"/>
          <w:sz w:val="20"/>
        </w:rPr>
        <w:t>23.</w:t>
        <w:tab/>
      </w:r>
      <w:r>
        <w:rPr>
          <w:rFonts w:ascii="Times New Roman" w:hAnsi="Times New Roman"/>
          <w:color w:val="1E293B"/>
          <w:sz w:val="20"/>
        </w:rPr>
        <w:t>C. A. Pope III, D. W. Dockery, and J. Schwartz, “Review of Epidemiological Evidence of Health Effects Associated with Ambient Air Pollution”, Inhalation Toxicology, Vol. 7, No. 1, pp. 1–18, 1995.</w:t>
      </w:r>
    </w:p>
    <w:p>
      <w:pPr>
        <w:spacing w:after="100" w:line="276" w:lineRule="auto"/>
        <w:ind w:left="576" w:hanging="576"/>
        <w:jc w:val="left"/>
      </w:pPr>
      <w:r>
        <w:rPr>
          <w:rFonts w:ascii="Times New Roman" w:hAnsi="Times New Roman"/>
          <w:b/>
          <w:color w:val="0F172A"/>
          <w:sz w:val="20"/>
        </w:rPr>
        <w:t>24.</w:t>
        <w:tab/>
      </w:r>
      <w:r>
        <w:rPr>
          <w:rFonts w:ascii="Times New Roman" w:hAnsi="Times New Roman"/>
          <w:color w:val="1E293B"/>
          <w:sz w:val="20"/>
        </w:rPr>
        <w:t>Central Pollution Control Board (CPCB), “National Air Quality Index: Methodology, Health Breakpoints, and Ambient Particulate Monitoring Protocols”, Ministry of Environment, Forest and Climate Change, Government of India, New Delhi, pp. 1–58, 2022.</w:t>
      </w:r>
    </w:p>
    <w:p>
      <w:pPr>
        <w:spacing w:after="100" w:line="276" w:lineRule="auto"/>
        <w:ind w:left="576" w:hanging="576"/>
        <w:jc w:val="left"/>
      </w:pPr>
      <w:r>
        <w:rPr>
          <w:rFonts w:ascii="Times New Roman" w:hAnsi="Times New Roman"/>
          <w:b/>
          <w:color w:val="0F172A"/>
          <w:sz w:val="20"/>
        </w:rPr>
        <w:t>25.</w:t>
        <w:tab/>
      </w:r>
      <w:r>
        <w:rPr>
          <w:rFonts w:ascii="Times New Roman" w:hAnsi="Times New Roman"/>
          <w:color w:val="1E293B"/>
          <w:sz w:val="20"/>
        </w:rPr>
        <w:t>The Lancet Global Health, “The burden of chronic respiratory diseases and their heterogeneity across the states of India: The Global Burden of Disease Study 1990–2016”, The Lancet Global Health, Vol. 6, No. 12, pp. e1363–e1374, 2018.</w:t>
      </w:r>
    </w:p>
    <w:p>
      <w:pPr>
        <w:spacing w:after="100" w:line="276" w:lineRule="auto"/>
        <w:ind w:left="576" w:hanging="576"/>
        <w:jc w:val="left"/>
      </w:pPr>
      <w:r>
        <w:rPr>
          <w:rFonts w:ascii="Times New Roman" w:hAnsi="Times New Roman"/>
          <w:b/>
          <w:color w:val="0F172A"/>
          <w:sz w:val="20"/>
        </w:rPr>
        <w:t>26.</w:t>
        <w:tab/>
      </w:r>
      <w:r>
        <w:rPr>
          <w:rFonts w:ascii="Times New Roman" w:hAnsi="Times New Roman"/>
          <w:color w:val="1E293B"/>
          <w:sz w:val="20"/>
        </w:rPr>
        <w:t>J. Zhai, T. Chen, C. Wang, W. Gao, and Y. Song, “Prediction of Asthma Exacerbation Rates Using Machine Learning on Multi-Source Environmental and Clinical Data”, IEEE Transactions on Cybernetics, Vol. 51, No. 9, pp. 4632–4644, 2021.</w:t>
      </w:r>
    </w:p>
    <w:p>
      <w:pPr>
        <w:spacing w:after="100" w:line="276" w:lineRule="auto"/>
        <w:ind w:left="576" w:hanging="576"/>
        <w:jc w:val="left"/>
      </w:pPr>
      <w:r>
        <w:rPr>
          <w:rFonts w:ascii="Times New Roman" w:hAnsi="Times New Roman"/>
          <w:b/>
          <w:color w:val="0F172A"/>
          <w:sz w:val="20"/>
        </w:rPr>
        <w:t>27.</w:t>
        <w:tab/>
      </w:r>
      <w:r>
        <w:rPr>
          <w:rFonts w:ascii="Times New Roman" w:hAnsi="Times New Roman"/>
          <w:color w:val="1E293B"/>
          <w:sz w:val="20"/>
        </w:rPr>
        <w:t>D. V. D’Agostino, A. M. Ruggiero, and P. D. L. Veltri, “A Survey on Data Mining and Machine Learning in Chronic Respiratory Disease Management”, IEEE Reviews in Biomedical Engineering, Vol. 14, pp. 165–178, 2021.</w:t>
      </w:r>
    </w:p>
    <w:sectPr>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lvl w:ilvl="1" w15:tentative="1">
      <w:start w:val="1"/>
      <w:numFmt w:val="bullet"/>
      <w:lvlText w:val="◦"/>
      <w:lvlJc w:val="left"/>
      <w:pPr>
        <w:ind w:left="1160" w:hanging="260"/>
      </w:pPr>
    </w:lvl>
  </w:abstractNum>
  <w:abstractNum w:abstractNumId="3" w15:restartNumberingAfterBreak="0">
    <w:multiLevelType w:val="hybridMultilevel"/>
    <w:lvl w:ilvl="0" w15:tentative="1">
      <w:start w:val="1"/>
      <w:numFmt w:val="lowerLetter"/>
      <w:lvlText w:val="%1)"/>
      <w:lvlJc w:val="left"/>
      <w:pPr>
        <w:ind w:left="720" w:hanging="320"/>
      </w:pPr>
    </w:lvl>
    <w:lvl w:ilvl="1" w15:tentative="1">
      <w:start w:val="1"/>
      <w:numFmt w:val="lowerRoman"/>
      <w:lvlText w:val="%2."/>
      <w:lvlJc w:val="left"/>
      <w:pPr>
        <w:ind w:left="1160" w:hanging="320"/>
      </w:pPr>
    </w:lvl>
  </w:abstractNum>
  <w:abstractNum w:abstractNumId="4" w15:restartNumberingAfterBreak="0">
    <w:multiLevelType w:val="hybridMultilevel"/>
    <w:lvl w:ilvl="0" w15:tentative="1">
      <w:start w:val="1"/>
      <w:numFmt w:val="decimal"/>
      <w:lvlText w:val="%1."/>
      <w:lvlJc w:val="left"/>
      <w:pPr>
        <w:ind w:left="720" w:hanging="320"/>
      </w:pPr>
    </w:lvl>
  </w:abstractNum>
  <w:abstractNum w:abstractNumId="5" w15:restartNumberingAfterBreak="0">
    <w:multiLevelType w:val="hybridMultilevel"/>
    <w:lvl w:ilvl="0" w15:tentative="1">
      <w:start w:val="1"/>
      <w:numFmt w:val="lowerLetter"/>
      <w:lvlText w:val="%1)"/>
      <w:lvlJc w:val="left"/>
      <w:pPr>
        <w:ind w:left="720" w:hanging="320"/>
      </w:pPr>
    </w:lvl>
    <w:lvl w:ilvl="1" w15:tentative="1">
      <w:start w:val="1"/>
      <w:numFmt w:val="lowerRoman"/>
      <w:lvlText w:val="%2."/>
      <w:lvlJc w:val="left"/>
      <w:pPr>
        <w:ind w:left="1160" w:hanging="320"/>
      </w:pPr>
    </w:lvl>
  </w:abstractNum>
  <w:abstractNum w:abstractNumId="6" w15:restartNumberingAfterBreak="0">
    <w:multiLevelType w:val="hybridMultilevel"/>
    <w:lvl w:ilvl="0" w15:tentative="1">
      <w:start w:val="1"/>
      <w:numFmt w:val="lowerLetter"/>
      <w:lvlText w:val="%1)"/>
      <w:lvlJc w:val="left"/>
      <w:pPr>
        <w:ind w:left="720" w:hanging="320"/>
      </w:pPr>
    </w:lvl>
    <w:lvl w:ilvl="1" w15:tentative="1">
      <w:start w:val="1"/>
      <w:numFmt w:val="lowerRoman"/>
      <w:lvlText w:val="%2."/>
      <w:lvlJc w:val="left"/>
      <w:pPr>
        <w:ind w:left="1160" w:hanging="320"/>
      </w:pPr>
    </w:lvl>
  </w:abstractNum>
  <w:abstractNum w:abstractNumId="7" w15:restartNumberingAfterBreak="0">
    <w:multiLevelType w:val="hybridMultilevel"/>
    <w:lvl w:ilvl="0" w15:tentative="1">
      <w:start w:val="1"/>
      <w:numFmt w:val="lowerLetter"/>
      <w:lvlText w:val="%1)"/>
      <w:lvlJc w:val="left"/>
      <w:pPr>
        <w:ind w:left="720" w:hanging="320"/>
      </w:pPr>
    </w:lvl>
    <w:lvl w:ilvl="1" w15:tentative="1">
      <w:start w:val="1"/>
      <w:numFmt w:val="lowerRoman"/>
      <w:lvlText w:val="%2."/>
      <w:lvlJc w:val="left"/>
      <w:pPr>
        <w:ind w:left="1160" w:hanging="320"/>
      </w:pPr>
    </w:lvl>
  </w:abstractNum>
  <w:abstractNum w:abstractNumId="8" w15:restartNumberingAfterBreak="0">
    <w:multiLevelType w:val="hybridMultilevel"/>
    <w:lvl w:ilvl="0" w15:tentative="1">
      <w:start w:val="1"/>
      <w:numFmt w:val="lowerLetter"/>
      <w:lvlText w:val="%1)"/>
      <w:lvlJc w:val="left"/>
      <w:pPr>
        <w:ind w:left="720" w:hanging="320"/>
      </w:pPr>
    </w:lvl>
    <w:lvl w:ilvl="1" w15:tentative="1">
      <w:start w:val="1"/>
      <w:numFmt w:val="lowerRoman"/>
      <w:lvlText w:val="%2."/>
      <w:lvlJc w:val="left"/>
      <w:pPr>
        <w:ind w:left="1160" w:hanging="320"/>
      </w:pPr>
    </w:lvl>
  </w:abstractNum>
  <w:abstractNum w:abstractNumId="9" w15:restartNumberingAfterBreak="0">
    <w:multiLevelType w:val="hybridMultilevel"/>
    <w:lvl w:ilvl="0" w15:tentative="1">
      <w:start w:val="1"/>
      <w:numFmt w:val="lowerLetter"/>
      <w:lvlText w:val="%1)"/>
      <w:lvlJc w:val="left"/>
      <w:pPr>
        <w:ind w:left="720" w:hanging="320"/>
      </w:pPr>
    </w:lvl>
    <w:lvl w:ilvl="1" w15:tentative="1">
      <w:start w:val="1"/>
      <w:numFmt w:val="lowerRoman"/>
      <w:lvlText w:val="%2."/>
      <w:lvlJc w:val="left"/>
      <w:pPr>
        <w:ind w:left="1160" w:hanging="320"/>
      </w:pPr>
    </w:lvl>
  </w:abstractNum>
  <w:abstractNum w:abstractNumId="10" w15:restartNumberingAfterBreak="0">
    <w:multiLevelType w:val="hybridMultilevel"/>
    <w:lvl w:ilvl="0" w15:tentative="1">
      <w:start w:val="1"/>
      <w:numFmt w:val="lowerLetter"/>
      <w:lvlText w:val="%1)"/>
      <w:lvlJc w:val="left"/>
      <w:pPr>
        <w:ind w:left="720" w:hanging="320"/>
      </w:pPr>
    </w:lvl>
    <w:lvl w:ilvl="1" w15:tentative="1">
      <w:start w:val="1"/>
      <w:numFmt w:val="lowerRoman"/>
      <w:lvlText w:val="%2."/>
      <w:lvlJc w:val="left"/>
      <w:pPr>
        <w:ind w:left="1160" w:hanging="32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69656b0be3af662670a7f32372c8c15c568dbf1.jpg"/><Relationship Id="rId10" Type="http://schemas.openxmlformats.org/officeDocument/2006/relationships/image" Target="media/9f4cbdd4cb1a25fa71824e97b642e935778cdd9c.png"/><Relationship Id="rId11" Type="http://schemas.openxmlformats.org/officeDocument/2006/relationships/image" Target="media/931fe4e06d2b8dc7be93fe2c42b7d462af3bc6bf.png"/><Relationship Id="rId12" Type="http://schemas.openxmlformats.org/officeDocument/2006/relationships/image" Target="media/3c2645c51bce82f070d93b4c21788c9ed391f49c.png"/><Relationship Id="rId13" Type="http://schemas.openxmlformats.org/officeDocument/2006/relationships/fontTable" Target="fontTable.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2026-09-02T10:52:15.085Z</dcterms:created>
  <dcterms:modified xsi:type="dcterms:W3CDTF">2026-09-02T10:52:15.085Z</dcterms:modified>
</cp:coreProperties>
</file>

<file path=docProps/custom.xml><?xml version="1.0" encoding="utf-8"?>
<Properties xmlns="http://schemas.openxmlformats.org/officeDocument/2006/custom-properties" xmlns:vt="http://schemas.openxmlformats.org/officeDocument/2006/docPropsVTypes"/>
</file>