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80"/>
      </w:pPr>
      <w:r>
        <w:t xml:space="preserve"/>
      </w:r>
    </w:p>
    <w:p>
      <w:pPr>
        <w:spacing w:after="80"/>
      </w:pPr>
      <w:r>
        <w:t xml:space="preserve"/>
      </w:r>
    </w:p>
    <w:p>
      <w:pPr>
        <w:spacing w:after="140" w:line="276"/>
        <w:jc w:val="center"/>
      </w:pPr>
      <w:r>
        <w:rPr>
          <w:rFonts w:ascii="Arial" w:cs="Arial" w:eastAsia="Arial" w:hAnsi="Arial"/>
          <w:b/>
          <w:bCs/>
          <w:color w:val="000000"/>
          <w:sz w:val="28"/>
          <w:szCs w:val="28"/>
        </w:rPr>
        <w:t xml:space="preserve">UNIVERSITY OF TECHNOLOGY SYDNEY</w:t>
      </w:r>
    </w:p>
    <w:p>
      <w:pPr>
        <w:spacing w:after="140" w:line="276"/>
        <w:jc w:val="center"/>
      </w:pPr>
      <w:r>
        <w:rPr>
          <w:rFonts w:ascii="Arial" w:cs="Arial" w:eastAsia="Arial" w:hAnsi="Arial"/>
          <w:color w:val="000000"/>
          <w:sz w:val="22"/>
          <w:szCs w:val="22"/>
        </w:rPr>
        <w:t xml:space="preserve">School of Civil and Environmental Engineering</w:t>
      </w:r>
    </w:p>
    <w:p>
      <w:pPr>
        <w:spacing w:after="80"/>
      </w:pPr>
      <w:r>
        <w:t xml:space="preserve"/>
      </w:r>
    </w:p>
    <w:p>
      <w:pPr>
        <w:spacing w:after="140" w:line="276"/>
        <w:jc w:val="center"/>
      </w:pPr>
      <w:r>
        <w:rPr>
          <w:rFonts w:ascii="Arial" w:cs="Arial" w:eastAsia="Arial" w:hAnsi="Arial"/>
          <w:color w:val="555555"/>
          <w:sz w:val="20"/>
          <w:szCs w:val="20"/>
        </w:rPr>
        <w:t xml:space="preserve">Engineering Graduate Project PG  (42003)  ·  Autumn 2026</w:t>
      </w:r>
    </w:p>
    <w:p>
      <w:pPr>
        <w:spacing w:after="80"/>
      </w:pPr>
      <w:r>
        <w:t xml:space="preserve"/>
      </w:r>
    </w:p>
    <w:p>
      <w:pPr>
        <w:spacing w:after="80"/>
      </w:pPr>
      <w:r>
        <w:t xml:space="preserve"/>
      </w:r>
    </w:p>
    <w:p>
      <w:pPr>
        <w:spacing w:after="200"/>
        <w:jc w:val="center"/>
      </w:pPr>
      <w:r>
        <w:rPr>
          <w:rFonts w:ascii="Arial" w:cs="Arial" w:eastAsia="Arial" w:hAnsi="Arial"/>
          <w:b/>
          <w:bCs/>
          <w:color w:val="1F3864"/>
          <w:sz w:val="36"/>
          <w:szCs w:val="36"/>
        </w:rPr>
        <w:t xml:space="preserve">Exploring LLM-Orchestrated AI Workflows for Seismic Vulnerability Assessment of Residential Buildings</w:t>
      </w:r>
    </w:p>
    <w:p>
      <w:pPr>
        <w:spacing w:after="80"/>
      </w:pPr>
      <w:r>
        <w:t xml:space="preserve"/>
      </w:r>
    </w:p>
    <w:p>
      <w:pPr>
        <w:spacing w:after="140" w:line="276"/>
        <w:jc w:val="center"/>
      </w:pPr>
      <w:r>
        <w:rPr>
          <w:rFonts w:ascii="Arial" w:cs="Arial" w:eastAsia="Arial" w:hAnsi="Arial"/>
          <w:b/>
          <w:bCs/>
          <w:color w:val="C0392B"/>
          <w:sz w:val="22"/>
          <w:szCs w:val="22"/>
        </w:rPr>
        <w:t xml:space="preserve">Incorporating AS 1170.4:2007  +  Amendment No. 2 (February 2018)</w:t>
      </w:r>
    </w:p>
    <w:p>
      <w:pPr>
        <w:spacing w:after="80"/>
      </w:pPr>
      <w:r>
        <w:t xml:space="preserve"/>
      </w:r>
    </w:p>
    <w:p>
      <w:pPr>
        <w:spacing w:after="80"/>
      </w:pPr>
      <w:r>
        <w:t xml:space="preserve"/>
      </w:r>
    </w:p>
    <w:p>
      <w:pPr>
        <w:spacing w:after="80"/>
      </w:pPr>
      <w:r>
        <w:t xml:space="preserve"/>
      </w:r>
    </w:p>
    <w:p>
      <w:pPr>
        <w:spacing w:after="140" w:line="276"/>
        <w:jc w:val="center"/>
      </w:pPr>
      <w:r>
        <w:rPr>
          <w:rFonts w:ascii="Arial" w:cs="Arial" w:eastAsia="Arial" w:hAnsi="Arial"/>
          <w:b/>
          <w:bCs/>
          <w:color w:val="000000"/>
          <w:sz w:val="24"/>
          <w:szCs w:val="24"/>
        </w:rPr>
        <w:t xml:space="preserve">Kabish Jung Thapa  ·  Student ID: 25631413</w:t>
      </w:r>
    </w:p>
    <w:p>
      <w:pPr>
        <w:spacing w:after="140" w:line="276"/>
        <w:jc w:val="center"/>
      </w:pPr>
      <w:r>
        <w:rPr>
          <w:rFonts w:ascii="Arial" w:cs="Arial" w:eastAsia="Arial" w:hAnsi="Arial"/>
          <w:color w:val="1155CC"/>
          <w:sz w:val="20"/>
          <w:szCs w:val="20"/>
        </w:rPr>
        <w:t xml:space="preserve">kabish.j.thapa@student.uts.edu.au</w:t>
      </w:r>
    </w:p>
    <w:p>
      <w:pPr>
        <w:spacing w:after="80"/>
      </w:pPr>
      <w:r>
        <w:t xml:space="preserve"/>
      </w:r>
    </w:p>
    <w:p>
      <w:pPr>
        <w:spacing w:after="140" w:line="276"/>
        <w:jc w:val="center"/>
      </w:pPr>
      <w:r>
        <w:rPr>
          <w:rFonts w:ascii="Arial" w:cs="Arial" w:eastAsia="Arial" w:hAnsi="Arial"/>
          <w:color w:val="000000"/>
          <w:sz w:val="22"/>
          <w:szCs w:val="22"/>
        </w:rPr>
        <w:t xml:space="preserve">Supervisor: Professor Jianchun Li</w:t>
      </w:r>
    </w:p>
    <w:p>
      <w:pPr>
        <w:spacing w:after="140" w:line="276"/>
        <w:jc w:val="center"/>
      </w:pPr>
      <w:r>
        <w:rPr>
          <w:rFonts w:ascii="Arial" w:cs="Arial" w:eastAsia="Arial" w:hAnsi="Arial"/>
          <w:color w:val="555555"/>
          <w:sz w:val="20"/>
          <w:szCs w:val="20"/>
        </w:rPr>
        <w:t xml:space="preserve">School of Civil and Environmental Engineering, UTS</w:t>
      </w:r>
    </w:p>
    <w:p>
      <w:pPr>
        <w:spacing w:after="80"/>
      </w:pPr>
      <w:r>
        <w:t xml:space="preserve"/>
      </w:r>
    </w:p>
    <w:p>
      <w:pPr>
        <w:spacing w:after="80"/>
      </w:pPr>
      <w:r>
        <w:t xml:space="preserve"/>
      </w:r>
    </w:p>
    <w:p>
      <w:pPr>
        <w:spacing w:after="140" w:line="276"/>
        <w:jc w:val="center"/>
      </w:pPr>
      <w:r>
        <w:rPr>
          <w:rFonts w:ascii="Arial" w:cs="Arial" w:eastAsia="Arial" w:hAnsi="Arial"/>
          <w:color w:val="666666"/>
          <w:sz w:val="20"/>
          <w:szCs w:val="20"/>
        </w:rPr>
        <w:t xml:space="preserve">Submission: July 2026  ·  Subject: 42003 Engineering Graduate Project PG</w:t>
      </w:r>
    </w:p>
    <w:p>
      <w:pPr>
        <w:spacing w:after="140" w:line="276"/>
        <w:jc w:val="center"/>
      </w:pPr>
      <w:r>
        <w:rPr>
          <w:rFonts w:ascii="Arial" w:cs="Arial" w:eastAsia="Arial" w:hAnsi="Arial"/>
          <w:color w:val="1155CC"/>
          <w:sz w:val="18"/>
          <w:szCs w:val="18"/>
        </w:rPr>
        <w:t xml:space="preserve">GitHub: github.com/YOUR_USERNAME/seismic-llm-assessment</w:t>
      </w:r>
    </w:p>
    <w:p>
      <w:r>
        <w:br w:type="page"/>
      </w:r>
    </w:p>
    <w:p>
      <w:pPr>
        <w:pStyle w:val="Heading1"/>
        <w:pageBreakBefore/>
      </w:pPr>
      <w:r>
        <w:rPr>
          <w:rFonts w:ascii="Arial" w:cs="Arial" w:eastAsia="Arial" w:hAnsi="Arial"/>
          <w:b/>
          <w:bCs/>
          <w:color w:val="1F3864"/>
          <w:sz w:val="32"/>
          <w:szCs w:val="32"/>
        </w:rPr>
        <w:t xml:space="preserve">Abstract</w:t>
      </w:r>
    </w:p>
    <w:p>
      <w:pPr>
        <w:spacing w:after="140" w:line="276"/>
        <w:jc w:val="both"/>
      </w:pPr>
      <w:r>
        <w:rPr>
          <w:rFonts w:ascii="Arial" w:cs="Arial" w:eastAsia="Arial" w:hAnsi="Arial"/>
          <w:color w:val="000000"/>
          <w:sz w:val="22"/>
          <w:szCs w:val="22"/>
        </w:rPr>
        <w:t xml:space="preserve">Seismic vulnerability assessment of residential buildings in Australia is a computationally intensive challenge that creates significant barriers to timely, portfolio-scale risk management. Traditional nonlinear time-history analysis workflows require days per building, limiting the ability of engineers and policy-makers to screen the large stock of pre-code residential buildings concentrated in earthquake-prone regions such as Newcastle and Sydney. This study develops and evaluates a proof-of-concept LLM-orchestrated workflow for automated seismic vulnerability assessment of low- to mid-rise reinforced concrete (RC) frame residential buildings under AS 1170.4:2007 incorporating Amendment No. 2 (February 2018), representing the first application of this approach specifically targeting Australian residential building stock.</w:t>
      </w:r>
    </w:p>
    <w:p>
      <w:pPr>
        <w:spacing w:after="140" w:line="276"/>
        <w:jc w:val="both"/>
      </w:pPr>
      <w:r>
        <w:rPr>
          <w:rFonts w:ascii="Arial" w:cs="Arial" w:eastAsia="Arial" w:hAnsi="Arial"/>
          <w:color w:val="000000"/>
          <w:sz w:val="22"/>
          <w:szCs w:val="22"/>
        </w:rPr>
        <w:t xml:space="preserve">The system integrates Claude (Anthropic, claude-sonnet-4-6) as the natural language interface for structural parameter extraction, OpenSeesPy for nonlinear fibre-element time-history analysis, and automated AS 1170.4 compliance verification, with a mandatory human verification checkpoint at critical decision points. Three representative case study buildings spanning pre-1990, post-1990, and post-2010 construction eras are defined and analysed. Amendment No. 2 (Standards Australia, 2018) is fully implemented, including the minimum kpZ = 0.08 product requirement per Clause 3.3, the updated terminology (hazard design factor Z), and the revised hazard maps.</w:t>
      </w:r>
    </w:p>
    <w:p>
      <w:pPr>
        <w:spacing w:after="140" w:line="276"/>
        <w:jc w:val="both"/>
      </w:pPr>
      <w:r>
        <w:rPr>
          <w:rFonts w:ascii="Arial" w:cs="Arial" w:eastAsia="Arial" w:hAnsi="Arial"/>
          <w:color w:val="000000"/>
          <w:sz w:val="22"/>
          <w:szCs w:val="22"/>
        </w:rPr>
        <w:t xml:space="preserve">Eleven engineering demand parameters are computed per building: inter-storey drift ratio (PIDR), storey shear profile, overturning moment profile, P-Delta stability coefficient, storey stiffness and soft-storey detection, absolute peak floor acceleration, pushover capacity curve and ductility ratio, column axial load ratio (N/Nuo), modal mass participation, performance level (ASCE 41), and HAZUS damage state. Key results: Building 1 (pre-1990) T1 = 0.610 s (2.12× code approximation), PIDR_max = 0.317% — Immediate Occupancy, COMPLIANT; Building 2 (post-1990) T1 = 0.521 s, PIDR_max = 0.271% — Immediate Occupancy, COMPLIANT; Building 3 (post-2010) T1 = 0.468 s, PIDR_max = 0.226% — Immediate Occupancy, COMPLIANT. All P-Delta stability coefficients θ &lt; 0.10, confirming negligible second-order effects. Static base shear design demand for pre-1990 buildings (V/W = 0.0285) is 2.19 times that of post-2010 buildings (V/W = 0.0130), directly reflecting the lower ductility factor μ = 2.0 versus 4.0 — the fundamental code basis for differentiating seismic risk between construction eras.</w:t>
      </w:r>
    </w:p>
    <w:p>
      <w:pPr>
        <w:spacing w:after="140" w:line="276"/>
        <w:jc w:val="both"/>
      </w:pPr>
      <w:r>
        <w:rPr>
          <w:rFonts w:ascii="Arial" w:cs="Arial" w:eastAsia="Arial" w:hAnsi="Arial"/>
          <w:color w:val="000000"/>
          <w:sz w:val="22"/>
          <w:szCs w:val="22"/>
        </w:rPr>
        <w:t xml:space="preserve">A critical undocumented OpenSeesPy incompatibility — ARPACK eigenvalue solver failure with equalDOF rigid diaphragm constraints — was identified and resolved by switching to the fullGenLapack solver. The study provides the first systematic LLM-orchestrated seismic assessment workflow for Australian residential buildings, a comparative evaluation of Claude versus GPT-4o versus DeepSeek-R1, and comprehensive documentation of the Amendment 2 implementation for practising engineers.</w:t>
      </w:r>
    </w:p>
    <w:p>
      <w:pPr>
        <w:spacing w:after="80"/>
      </w:pPr>
      <w:r>
        <w:t xml:space="preserve"/>
      </w:r>
    </w:p>
    <w:p>
      <w:pPr>
        <w:spacing w:after="140" w:line="276"/>
        <w:jc w:val="both"/>
      </w:pPr>
      <w:r>
        <w:rPr>
          <w:rFonts w:ascii="Arial" w:cs="Arial" w:eastAsia="Arial" w:hAnsi="Arial"/>
          <w:color w:val="000000"/>
          <w:sz w:val="20"/>
          <w:szCs w:val="20"/>
        </w:rPr>
        <w:t xml:space="preserve">Keywords: seismic vulnerability assessment, LLM-orchestrated workflow, Claude AI, OpenSeesPy, AS 1170.4:2007 Amendment 2, residential buildings, reinforced concrete, nonlinear time-history, pushover analysis, P-Delta, Newcastle earthquake.</w:t>
      </w:r>
    </w:p>
    <w:p>
      <w:r>
        <w:br w:type="page"/>
      </w:r>
    </w:p>
    <w:p>
      <w:pPr>
        <w:pStyle w:val="Heading1"/>
        <w:pageBreakBefore/>
      </w:pPr>
      <w:r>
        <w:rPr>
          <w:rFonts w:ascii="Arial" w:cs="Arial" w:eastAsia="Arial" w:hAnsi="Arial"/>
          <w:b/>
          <w:bCs/>
          <w:color w:val="1F3864"/>
          <w:sz w:val="32"/>
          <w:szCs w:val="32"/>
        </w:rPr>
        <w:t xml:space="preserve">Table of 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Section</w:t>
            </w:r>
          </w:p>
        </w:tc>
        <w:tc>
          <w:tcPr>
            <w:tcW w:type="dxa" w:w="6226"/>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Page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  Introduction</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  Literature Review</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6</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  Methodology</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  Findings and Engineering Results</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  Discussion</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21</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6.  Conclusions</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24</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7.  Recommendations</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25</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References</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26</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Appendix A: Generative AI Usage Declaration</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Appendix B: AS 1170.4 Amendment No. 2 Implementation Summary</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31</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Appendix C: Supervisor Communication Log</w:t>
            </w:r>
          </w:p>
        </w:tc>
        <w:tc>
          <w:tcPr>
            <w:tcW w:type="dxa" w:w="62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32</w:t>
            </w:r>
          </w:p>
        </w:tc>
      </w:tr>
    </w:tbl>
    <w:p>
      <w:r>
        <w:br w:type="page"/>
      </w:r>
    </w:p>
    <w:p>
      <w:pPr>
        <w:pStyle w:val="Heading1"/>
        <w:pageBreakBefore/>
      </w:pPr>
      <w:r>
        <w:rPr>
          <w:rFonts w:ascii="Arial" w:cs="Arial" w:eastAsia="Arial" w:hAnsi="Arial"/>
          <w:b/>
          <w:bCs/>
          <w:color w:val="1F3864"/>
          <w:sz w:val="32"/>
          <w:szCs w:val="32"/>
        </w:rPr>
        <w:t xml:space="preserve">1. Introduction</w:t>
      </w:r>
    </w:p>
    <w:p>
      <w:pPr>
        <w:pStyle w:val="Heading2"/>
      </w:pPr>
      <w:r>
        <w:rPr>
          <w:rFonts w:ascii="Arial" w:cs="Arial" w:eastAsia="Arial" w:hAnsi="Arial"/>
          <w:b/>
          <w:bCs/>
          <w:color w:val="2E4057"/>
          <w:sz w:val="26"/>
          <w:szCs w:val="26"/>
        </w:rPr>
        <w:t xml:space="preserve">1.1 Background and Problem Statement</w:t>
      </w:r>
    </w:p>
    <w:p>
      <w:pPr>
        <w:spacing w:after="140" w:line="276"/>
        <w:jc w:val="both"/>
      </w:pPr>
      <w:r>
        <w:rPr>
          <w:rFonts w:ascii="Arial" w:cs="Arial" w:eastAsia="Arial" w:hAnsi="Arial"/>
          <w:color w:val="000000"/>
          <w:sz w:val="22"/>
          <w:szCs w:val="22"/>
        </w:rPr>
        <w:t xml:space="preserve">The 1989 Newcastle earthquake (ML 5.6) caused 13 deaths, 160 injuries, and economic losses estimated at AUD 4 billion, striking a city whose building stock had not been designed for seismic resistance (Menegon et al., 2018). Despite this event catalysing the development of AS 1170.4:1993 and its successor AS 1170.4:2007 — most recently amended by Amendment No. 2 (Standards Australia, 2018) — a substantial proportion of the existing residential building stock predates modern seismic design provisions. The 2023 National Seismic Hazard Assessment (Geoscience Australia, 2024) indicates moderate but non-negligible seismic hazard across coastal New South Wales, with this hazard not fully reflected in the code design values applicable to the pre-code building stock.</w:t>
      </w:r>
    </w:p>
    <w:p>
      <w:pPr>
        <w:spacing w:after="140" w:line="276"/>
        <w:jc w:val="both"/>
      </w:pPr>
      <w:r>
        <w:rPr>
          <w:rFonts w:ascii="Arial" w:cs="Arial" w:eastAsia="Arial" w:hAnsi="Arial"/>
          <w:color w:val="000000"/>
          <w:sz w:val="22"/>
          <w:szCs w:val="22"/>
        </w:rPr>
        <w:t xml:space="preserve">Traditional seismic vulnerability assessment using nonlinear time-history analysis is computationally and labour-intensive. Liang et al. (2025a) estimated that a structural engineer requires approximately two hours to set up and execute a single building analysis. For portfolio-scale assessment of the thousands of potentially vulnerable residential buildings in the Newcastle and Sydney regions, this represents a prohibitive barrier (Zhang et al., 2024). Under-resourced communities, smaller engineering practices, and local government authorities are disproportionately affected (Xie et al., 2020).</w:t>
      </w:r>
    </w:p>
    <w:p>
      <w:pPr>
        <w:pStyle w:val="Heading2"/>
      </w:pPr>
      <w:r>
        <w:rPr>
          <w:rFonts w:ascii="Arial" w:cs="Arial" w:eastAsia="Arial" w:hAnsi="Arial"/>
          <w:b/>
          <w:bCs/>
          <w:color w:val="2E4057"/>
          <w:sz w:val="26"/>
          <w:szCs w:val="26"/>
        </w:rPr>
        <w:t xml:space="preserve">1.2 AS 1170.4 Amendment No. 2 — Context</w:t>
      </w:r>
    </w:p>
    <w:p>
      <w:pPr>
        <w:spacing w:after="140" w:line="276"/>
        <w:jc w:val="both"/>
      </w:pPr>
      <w:r>
        <w:rPr>
          <w:rFonts w:ascii="Arial" w:cs="Arial" w:eastAsia="Arial" w:hAnsi="Arial"/>
          <w:color w:val="000000"/>
          <w:sz w:val="22"/>
          <w:szCs w:val="22"/>
        </w:rPr>
        <w:t xml:space="preserve">Amendment No. 2 to AS 1170.4:2007, published 22 February 2018 (Standards Australia, 2018), introduced a minimum hazard design factor product kpZ = 0.08 for the 500-year return period — a change with direct implications for cities such as Brisbane (Z = 0.05 → effective kpZ = 0.08, 60% increase in design base shear) and Hobart (same). The Amendment also renamed 'hazard factor (Z)' to 'hazard design factor (Z)' throughout. All calculations in this study implement the Amendment 2 minimum per Clause 3.3 and Table 3.3: kpZ = max(kp × Z, 0.08).</w:t>
      </w:r>
    </w:p>
    <w:p>
      <w:pPr>
        <w:pStyle w:val="Heading2"/>
      </w:pPr>
      <w:r>
        <w:rPr>
          <w:rFonts w:ascii="Arial" w:cs="Arial" w:eastAsia="Arial" w:hAnsi="Arial"/>
          <w:b/>
          <w:bCs/>
          <w:color w:val="2E4057"/>
          <w:sz w:val="26"/>
          <w:szCs w:val="26"/>
        </w:rPr>
        <w:t xml:space="preserve">1.3 Technological Context</w:t>
      </w:r>
    </w:p>
    <w:p>
      <w:pPr>
        <w:spacing w:after="140" w:line="276"/>
        <w:jc w:val="both"/>
      </w:pPr>
      <w:r>
        <w:rPr>
          <w:rFonts w:ascii="Arial" w:cs="Arial" w:eastAsia="Arial" w:hAnsi="Arial"/>
          <w:color w:val="000000"/>
          <w:sz w:val="22"/>
          <w:szCs w:val="22"/>
        </w:rPr>
        <w:t xml:space="preserve">Recent advances in large language models (LLMs) offer a potential pathway to democratising seismic assessment. Liang et al. (2025a) demonstrated that GPT-4o integrated with OpenSeesPy achieved 100% accuracy on 20 structural analysis word problems. The multi-agent MASSE system (Liang et al., 2025b) reduced expert workload from approximately two hours to minutes. DeepSeek-R1 (DeepSeek, 2025), released January 2025, achieves comparable performance at approximately 98% lower API cost. The present study uses Anthropic Claude (claude-sonnet-4-6) rather than GPT-4o, motivated by Constitutional AI alignment with safety-critical engineering, cost advantage (~6–10× cheaper than GPT-4o), research novelty through independent comparison, and more comprehensive assumption flagging in structured JSON output (Anthropic, 2022).</w:t>
      </w:r>
    </w:p>
    <w:p>
      <w:pPr>
        <w:pStyle w:val="Heading2"/>
      </w:pPr>
      <w:r>
        <w:rPr>
          <w:rFonts w:ascii="Arial" w:cs="Arial" w:eastAsia="Arial" w:hAnsi="Arial"/>
          <w:b/>
          <w:bCs/>
          <w:color w:val="2E4057"/>
          <w:sz w:val="26"/>
          <w:szCs w:val="26"/>
        </w:rPr>
        <w:t xml:space="preserve">1.4 Research Objectives and Scope</w:t>
      </w:r>
    </w:p>
    <w:p>
      <w:pPr>
        <w:spacing w:after="140" w:line="276"/>
        <w:jc w:val="both"/>
      </w:pPr>
      <w:r>
        <w:rPr>
          <w:rFonts w:ascii="Arial" w:cs="Arial" w:eastAsia="Arial" w:hAnsi="Arial"/>
          <w:color w:val="000000"/>
          <w:sz w:val="22"/>
          <w:szCs w:val="22"/>
        </w:rPr>
        <w:t xml:space="preserve">This study addresses the following objectives: (1) develop a proof-of-concept LLM-orchestrated workflow integrating Claude parameter extraction, OpenSeesPy nonlinear analysis, and AS 1170.4 + Amendment 2 compliance verification; (2) define and analyse three representative residential RC frame buildings across pre-1990, post-1990, and post-2010 construction eras; (3) implement eleven engineering demand parameters including pushover analysis and P-Delta stability assessment; (4) fully implement Amendment No. 2 requirements; and (5) make the prototype publicly available on GitHub. The scope is limited to two-storey symmetric 2D RC plane frames, with generalisation to n storeys implemented and documented (n = 1–8 supported). The LLM component operates in demo mode (keyword-based extraction) for reproducibility; Claude API integration is implemented for API-key holders.</w:t>
      </w:r>
    </w:p>
    <w:p>
      <w:pPr>
        <w:pStyle w:val="Heading2"/>
      </w:pPr>
      <w:r>
        <w:rPr>
          <w:rFonts w:ascii="Arial" w:cs="Arial" w:eastAsia="Arial" w:hAnsi="Arial"/>
          <w:b/>
          <w:bCs/>
          <w:color w:val="2E4057"/>
          <w:sz w:val="26"/>
          <w:szCs w:val="26"/>
        </w:rPr>
        <w:t xml:space="preserve">1.5 LLM Choice: Claude over GPT-4o</w:t>
      </w:r>
    </w:p>
    <w:p>
      <w:pPr>
        <w:spacing w:after="140" w:line="276"/>
        <w:jc w:val="both"/>
      </w:pPr>
      <w:r>
        <w:rPr>
          <w:rFonts w:ascii="Arial" w:cs="Arial" w:eastAsia="Arial" w:hAnsi="Arial"/>
          <w:color w:val="000000"/>
          <w:sz w:val="22"/>
          <w:szCs w:val="22"/>
        </w:rPr>
        <w:t xml:space="preserve">This study uses Anthropic Claude rather than GPT-4o (Liang et al., 2025a) for five documented reasons. First, Claude's Constitutional AI training (Anthropic, 2022) produces more explicit acknowledgment of uncertainty — critical when assumptions must be flagged before safety-critical analysis proceeds. Second, Claude Haiku (claude-haiku-4-5-20251001) costs approximately AUD 0.01–0.03 per assessment versus AUD 0.08–0.15 for GPT-4o, directly supporting the democratisation objective. Third, using a different model from the foundational study (Liang et al., 2025a) provides an independent comparative data point. Fourth, informal testing found Claude produced four explicit assumptions versus two for GPT-4o on the same Building 1 description. Fifth, Anthropic's published safety research (Anthropic, 2022) aligns with academic reproducibility norms. Full rationale is documented in docs/LLM_CHOICE.md in the project repository.</w:t>
      </w:r>
    </w:p>
    <w:p>
      <w:r>
        <w:br w:type="page"/>
      </w:r>
    </w:p>
    <w:p>
      <w:pPr>
        <w:pStyle w:val="Heading1"/>
        <w:pageBreakBefore/>
      </w:pPr>
      <w:r>
        <w:rPr>
          <w:rFonts w:ascii="Arial" w:cs="Arial" w:eastAsia="Arial" w:hAnsi="Arial"/>
          <w:b/>
          <w:bCs/>
          <w:color w:val="1F3864"/>
          <w:sz w:val="32"/>
          <w:szCs w:val="32"/>
        </w:rPr>
        <w:t xml:space="preserve">2. Literature Review</w:t>
      </w:r>
    </w:p>
    <w:p>
      <w:pPr>
        <w:pStyle w:val="Heading2"/>
      </w:pPr>
      <w:r>
        <w:rPr>
          <w:rFonts w:ascii="Arial" w:cs="Arial" w:eastAsia="Arial" w:hAnsi="Arial"/>
          <w:b/>
          <w:bCs/>
          <w:color w:val="2E4057"/>
          <w:sz w:val="26"/>
          <w:szCs w:val="26"/>
        </w:rPr>
        <w:t xml:space="preserve">2.1 Australian Seismic Context and AS 1170.4</w:t>
      </w:r>
    </w:p>
    <w:p>
      <w:pPr>
        <w:spacing w:after="140" w:line="276"/>
        <w:jc w:val="both"/>
      </w:pPr>
      <w:r>
        <w:rPr>
          <w:rFonts w:ascii="Arial" w:cs="Arial" w:eastAsia="Arial" w:hAnsi="Arial"/>
          <w:color w:val="000000"/>
          <w:sz w:val="22"/>
          <w:szCs w:val="22"/>
        </w:rPr>
        <w:t xml:space="preserve">Australia occupies a unique position in global seismicity — a stable continental interior with lower seismicity than plate-boundary nations, yet historically subject to damaging intraplate earthquakes (Menegon et al., 2018). The development of AS 1170.4:1993, catalysed by the 1989 Newcastle event, introduced the hazard design factor Z framework. The 2007 revision refined spectral shape factors and ductility provisions. Amendment No. 2 (Standards Australia, 2018) introduced the minimum kpZ = 0.08, updated hazard maps, and replaced the reference to the Building Code of Australia (BCA) with the National Construction Code (NCC) throughout. The 2024 revision (AS 1170.4:2024, released 21 June 2024) retained the 2018 hazard map with no change to Z = 0.11 for Newcastle (Geoscience Australia, 2024; Risk Frontiers, 2024).</w:t>
      </w:r>
    </w:p>
    <w:p>
      <w:pPr>
        <w:spacing w:after="140" w:line="276"/>
        <w:jc w:val="both"/>
      </w:pPr>
      <w:r>
        <w:rPr>
          <w:rFonts w:ascii="Arial" w:cs="Arial" w:eastAsia="Arial" w:hAnsi="Arial"/>
          <w:color w:val="000000"/>
          <w:sz w:val="22"/>
          <w:szCs w:val="22"/>
        </w:rPr>
        <w:t xml:space="preserve">Menegon et al. (2018) identified that a commonly held belief among Australian designers — that seismic actions can be ignored when wind governs — is technically incorrect, as seismic provisions govern specific detailing requirements regardless of which lateral action controls the force-based design. The 2023 National Seismic Hazard Assessment (Geoscience Australia, 2024) showed moderate increases in estimated hazard in eastern Australia, but AS 1170.4:2024 retains the 2018 hazard map, meaning the design Z-values have not changed. Risk Frontiers (2024) noted that the gap between code-prescribed hazard levels and probabilistic NSHA23 estimates raises questions about the long-term adequacy of the current design basis.</w:t>
      </w:r>
    </w:p>
    <w:p>
      <w:pPr>
        <w:pStyle w:val="Heading2"/>
      </w:pPr>
      <w:r>
        <w:rPr>
          <w:rFonts w:ascii="Arial" w:cs="Arial" w:eastAsia="Arial" w:hAnsi="Arial"/>
          <w:b/>
          <w:bCs/>
          <w:color w:val="2E4057"/>
          <w:sz w:val="26"/>
          <w:szCs w:val="26"/>
        </w:rPr>
        <w:t xml:space="preserve">2.2 Seismic Vulnerability Assessment Methodologies</w:t>
      </w:r>
    </w:p>
    <w:p>
      <w:pPr>
        <w:spacing w:after="140" w:line="276"/>
        <w:jc w:val="both"/>
      </w:pPr>
      <w:r>
        <w:rPr>
          <w:rFonts w:ascii="Arial" w:cs="Arial" w:eastAsia="Arial" w:hAnsi="Arial"/>
          <w:color w:val="000000"/>
          <w:sz w:val="22"/>
          <w:szCs w:val="22"/>
        </w:rPr>
        <w:t xml:space="preserve">Nonlinear time-history analysis is the most rigorous available method for seismic vulnerability assessment, providing probabilistic engineering demand parameters (EDPs) including peak inter-storey drift ratios (PIDR), peak floor accelerations (PFA), storey shear, and overturning moment that characterise building response at the element level (Zhang et al., 2024). The methodology requires a validated finite element model, site-appropriate ground motion records, and a comprehensive post-processing framework. The primary limitation for portfolio-scale assessment is computational intensity: Zhang et al. (2024) documented that single building analyses require hours to days of expert setup time. Xie et al. (2020) identified this barrier as the primary motivation for machine learning applications in earthquake engineering.</w:t>
      </w:r>
    </w:p>
    <w:p>
      <w:pPr>
        <w:spacing w:after="140" w:line="276"/>
        <w:jc w:val="both"/>
      </w:pPr>
      <w:r>
        <w:rPr>
          <w:rFonts w:ascii="Arial" w:cs="Arial" w:eastAsia="Arial" w:hAnsi="Arial"/>
          <w:color w:val="000000"/>
          <w:sz w:val="22"/>
          <w:szCs w:val="22"/>
        </w:rPr>
        <w:t xml:space="preserve">Pushover analysis (nonlinear static analysis) provides a computationally efficient complement to time-history analysis, generating the force-displacement capacity curve of the structure under a monotonically increasing lateral load pattern (Chopra, 2007). The capacity curve identifies the yield point, ultimate capacity V_max, and ductility ratio — key indicators of structural vulnerability that are not directly available from time-history analysis alone. The combined use of pushover and time-history analysis, as implemented in this study, follows the methodology of ATC-40 and ASCE 41-17, providing both capacity (pushover) and demand (time-history) information for comprehensive performance assessment.</w:t>
      </w:r>
    </w:p>
    <w:p>
      <w:pPr>
        <w:spacing w:after="140" w:line="276"/>
        <w:jc w:val="both"/>
      </w:pPr>
      <w:r>
        <w:rPr>
          <w:rFonts w:ascii="Arial" w:cs="Arial" w:eastAsia="Arial" w:hAnsi="Arial"/>
          <w:color w:val="000000"/>
          <w:sz w:val="22"/>
          <w:szCs w:val="22"/>
        </w:rPr>
        <w:t xml:space="preserve">The HAZUS-MH methodology (FEMA, 2003) provides probabilistic damage-state relationships as a function of ground motion intensity through lognormal fragility functions. The damage states — None, Slight, Moderate, Extensive, Complete — with PIDR thresholds adapted from FEMA (2003) are widely used in Australian earthquake risk assessment. The ASCE 41-17 performance levels — Immediate Occupancy (IO, PIDR &lt; 0.5%), Life Safety (LS, PIDR &lt; 1.5%), Collapse Prevention (CP, PIDR &lt; 2.5%) — provide a complementary framework aligned with the AS 1170.4 drift limit at the LS level.</w:t>
      </w:r>
    </w:p>
    <w:p>
      <w:pPr>
        <w:pStyle w:val="Heading2"/>
      </w:pPr>
      <w:r>
        <w:rPr>
          <w:rFonts w:ascii="Arial" w:cs="Arial" w:eastAsia="Arial" w:hAnsi="Arial"/>
          <w:b/>
          <w:bCs/>
          <w:color w:val="2E4057"/>
          <w:sz w:val="26"/>
          <w:szCs w:val="26"/>
        </w:rPr>
        <w:t xml:space="preserve">2.3 Large Language Models in Structural Engineering</w:t>
      </w:r>
    </w:p>
    <w:p>
      <w:pPr>
        <w:spacing w:after="140" w:line="276"/>
        <w:jc w:val="both"/>
      </w:pPr>
      <w:r>
        <w:rPr>
          <w:rFonts w:ascii="Arial" w:cs="Arial" w:eastAsia="Arial" w:hAnsi="Arial"/>
          <w:color w:val="000000"/>
          <w:sz w:val="22"/>
          <w:szCs w:val="22"/>
        </w:rPr>
        <w:t xml:space="preserve">Liang et al. (2025a) achieved 100% accuracy on a 20-problem structural analysis benchmark using GPT-4o with domain-specific prompt engineering, surpassing GPT-4 (85%), Gemini 1.5 Pro (80%), and Llama-3.3 (30%). The study identified performance degradation for asymmetric frame configurations. Avila et al. (2025) demonstrated GPT with Model Context Protocol (MCP) alignment with ETABS benchmarks within 1% using a modular three-layer architecture. The multi-agent MASSE system (Liang et al., 2025b) decomposed tasks across specialised agents, achieving higher execution success rates than single-agent approaches and reducing expert workload from approximately two hours to minutes.</w:t>
      </w:r>
    </w:p>
    <w:p>
      <w:pPr>
        <w:spacing w:after="140" w:line="276"/>
        <w:jc w:val="both"/>
      </w:pPr>
      <w:r>
        <w:rPr>
          <w:rFonts w:ascii="Arial" w:cs="Arial" w:eastAsia="Arial" w:hAnsi="Arial"/>
          <w:color w:val="000000"/>
          <w:sz w:val="22"/>
          <w:szCs w:val="22"/>
        </w:rPr>
        <w:t xml:space="preserve">DeepSeek-R1 (DeepSeek, 2025), trained via large-scale reinforcement learning, achieved performance comparable to OpenAI-o1 on mathematics and code generation at approximately 98% lower API cost (Lanz, 2025). Chen and Bao (2025) applied DeepSeek-R1 to concrete-filled steel tubular structural analysis code generation with consistently accurate results. The May 2025 update R1-0528 added structured JSON output and function-calling. A lightweight Llama-based multi-agent system achieved over 80% accuracy on 20 structural analysis benchmarks, outperforming both Gemini 2.5 Pro and GPT-4o (Liu et al., 2025), challenging the assumption that larger models are always superior for structured engineering tasks.</w:t>
      </w:r>
    </w:p>
    <w:p>
      <w:pPr>
        <w:pStyle w:val="Heading2"/>
      </w:pPr>
      <w:r>
        <w:rPr>
          <w:rFonts w:ascii="Arial" w:cs="Arial" w:eastAsia="Arial" w:hAnsi="Arial"/>
          <w:b/>
          <w:bCs/>
          <w:color w:val="2E4057"/>
          <w:sz w:val="26"/>
          <w:szCs w:val="26"/>
        </w:rPr>
        <w:t xml:space="preserve">2.4 Safety, Hallucination, and Human-in-the-Loop</w:t>
      </w:r>
    </w:p>
    <w:p>
      <w:pPr>
        <w:spacing w:after="140" w:line="276"/>
        <w:jc w:val="both"/>
      </w:pPr>
      <w:r>
        <w:rPr>
          <w:rFonts w:ascii="Arial" w:cs="Arial" w:eastAsia="Arial" w:hAnsi="Arial"/>
          <w:color w:val="000000"/>
          <w:sz w:val="22"/>
          <w:szCs w:val="22"/>
        </w:rPr>
        <w:t xml:space="preserve">Ahmad (2025) introduced the concept of Recursive Hallucination — propagation of structurally plausible but physically incorrect values through LLM-generated models — as a fundamental risk in automated structural analysis. Ahmad (2025) argued that relying on post-hoc human oversight to police stochastic LLM errors is insufficient for the strict liability requirements of seismic engineering, advocating for Retrieval-Augmented Generation (RAG) architectures grounded in verified regulatory documents. Wang et al. (2024) identified data governance and model interpretability as the primary barriers to embedding generative AI in AEC workflows. The present study addresses hallucination risk through a mandatory pre-analysis human verification checkpoint: no analysis proceeds without explicit engineer sign-off on all 24 extracted parameters.</w:t>
      </w:r>
    </w:p>
    <w:p>
      <w:pPr>
        <w:pStyle w:val="Heading2"/>
      </w:pPr>
      <w:r>
        <w:rPr>
          <w:rFonts w:ascii="Arial" w:cs="Arial" w:eastAsia="Arial" w:hAnsi="Arial"/>
          <w:b/>
          <w:bCs/>
          <w:color w:val="2E4057"/>
          <w:sz w:val="26"/>
          <w:szCs w:val="26"/>
        </w:rPr>
        <w:t xml:space="preserve">2.5 Research Contribution</w:t>
      </w:r>
    </w:p>
    <w:p>
      <w:pPr>
        <w:spacing w:after="140" w:line="276"/>
        <w:jc w:val="both"/>
      </w:pPr>
      <w:r>
        <w:rPr>
          <w:rFonts w:ascii="Arial" w:cs="Arial" w:eastAsia="Arial" w:hAnsi="Arial"/>
          <w:color w:val="000000"/>
          <w:sz w:val="22"/>
          <w:szCs w:val="22"/>
        </w:rPr>
        <w:t xml:space="preserve">This study makes four specific contributions. First, it provides the first implementation and evaluation of an LLM-orchestrated workflow for residential seismic vulnerability assessment under AS 1170.4 incorporating Amendment No. 2 (2018). Second, it provides the first comparative evaluation of Claude, GPT-4o, and DeepSeek-R1 specifically for structural parameter extraction in the seismic assessment context. Third, it documents and resolves a previously unreported OpenSeesPy solver incompatibility — ARPACK failure with equalDOF constraints — relevant to any researcher implementing rigid diaphragm models. Fourth, it implements eleven engineering demand parameters including pushover analysis and P-Delta stability assessment, extending beyond the basic PIDR check used in prior LLM structural engineering studies.</w:t>
      </w:r>
    </w:p>
    <w:p>
      <w:r>
        <w:br w:type="page"/>
      </w:r>
    </w:p>
    <w:p>
      <w:pPr>
        <w:pStyle w:val="Heading1"/>
        <w:pageBreakBefore/>
      </w:pPr>
      <w:r>
        <w:rPr>
          <w:rFonts w:ascii="Arial" w:cs="Arial" w:eastAsia="Arial" w:hAnsi="Arial"/>
          <w:b/>
          <w:bCs/>
          <w:color w:val="1F3864"/>
          <w:sz w:val="32"/>
          <w:szCs w:val="32"/>
        </w:rPr>
        <w:t xml:space="preserve">3. Methodology</w:t>
      </w:r>
    </w:p>
    <w:p>
      <w:pPr>
        <w:pStyle w:val="Heading2"/>
      </w:pPr>
      <w:r>
        <w:rPr>
          <w:rFonts w:ascii="Arial" w:cs="Arial" w:eastAsia="Arial" w:hAnsi="Arial"/>
          <w:b/>
          <w:bCs/>
          <w:color w:val="2E4057"/>
          <w:sz w:val="26"/>
          <w:szCs w:val="26"/>
        </w:rPr>
        <w:t xml:space="preserve">3.1 Research Design</w:t>
      </w:r>
    </w:p>
    <w:p>
      <w:pPr>
        <w:spacing w:after="140" w:line="276"/>
        <w:jc w:val="both"/>
      </w:pPr>
      <w:r>
        <w:rPr>
          <w:rFonts w:ascii="Arial" w:cs="Arial" w:eastAsia="Arial" w:hAnsi="Arial"/>
          <w:color w:val="000000"/>
          <w:sz w:val="22"/>
          <w:szCs w:val="22"/>
        </w:rPr>
        <w:t xml:space="preserve">This study adopts a computational design science research paradigm (Hevner et al., 2004), developing an innovative computational artefact — an LLM-orchestrated workflow system — and evaluating its performance against established analytical benchmarks. The proof-of-concept scope reflects the single-semester timeframe and the appropriate first step in a research programme that would need to demonstrate feasibility at small scale before scaling to portfolio applications. The term LLM-orchestrated workflow rather than autonomous agentic AI is used throughout: the system coordinates a structured sequence of deterministic computational tools using LLM natural language processing with human verification at critical decision points, without genuine autonomy in the engineering sense.</w:t>
      </w:r>
    </w:p>
    <w:p>
      <w:pPr>
        <w:pStyle w:val="Heading2"/>
      </w:pPr>
      <w:r>
        <w:rPr>
          <w:rFonts w:ascii="Arial" w:cs="Arial" w:eastAsia="Arial" w:hAnsi="Arial"/>
          <w:b/>
          <w:bCs/>
          <w:color w:val="2E4057"/>
          <w:sz w:val="26"/>
          <w:szCs w:val="26"/>
        </w:rPr>
        <w:t xml:space="preserve">3.2 Case Study Buildings</w:t>
      </w:r>
    </w:p>
    <w:p>
      <w:pPr>
        <w:spacing w:after="140" w:line="276"/>
        <w:jc w:val="both"/>
      </w:pPr>
      <w:r>
        <w:rPr>
          <w:rFonts w:ascii="Arial" w:cs="Arial" w:eastAsia="Arial" w:hAnsi="Arial"/>
          <w:color w:val="000000"/>
          <w:sz w:val="22"/>
          <w:szCs w:val="22"/>
        </w:rPr>
        <w:t xml:space="preserve">Three representative residential RC frame buildings are defined based on the construction eras and material standards typical of the Newcastle and Sydney residential stock. Geometry is held constant across all buildings to isolate the effect of era-specific material properties and reinforcement detailing on seismic performance. The buildings are modelled as 2D plane frames with three bays at 4.0 m spacing (floor plan 12 m × 8 m, 2 storeys at 3.0 m each). Seismic parameters are consistent: Z = 0.11 (Newcastle, AS 1170.4:2007), kpZ = max(1.0 × 0.11, 0.08) = 0.11 (Amendment 2 applied), Site Class De, Importance Level 2.</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8"/>
        <w:gridCol w:w="2410"/>
        <w:gridCol w:w="2408"/>
      </w:tblGrid>
      <w:tr>
        <w:trPr>
          <w:tblHeader/>
        </w:trPr>
        <w:tc>
          <w:tcPr>
            <w:tcW w:type="dxa" w:w="18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Parameter</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1 (Pre-1990)</w:t>
            </w:r>
          </w:p>
        </w:tc>
        <w:tc>
          <w:tcPr>
            <w:tcW w:type="dxa" w:w="241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2 (Post-1990)</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3 (Post-2010)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Code era</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Pre-AS 1170.4:1993
(no seismic code)</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 1170.4:1993
(moderate ductility)</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 1170.4:2007
(full ductility)</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f'c (MPa)</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fy (MPa)</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250 (R-grade)</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500 (D500N)</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500 (D500N)</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Ec (MPa, AS 3600)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22,610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28,566</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31,972</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Column (mm)</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300 × 300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350 × 350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400 × 400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Beam (mm)</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300 × 450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300 × 500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350 × 550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Column ρ (%)</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1.5</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ε_c0 core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−0.004</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−0.005</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−0.006</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ε_cu core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−0.012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−0.020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−0.030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Ductility μ</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2.0 (limited)</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 (moderate)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4.0 (full)</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Perf. factor Sp</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0.77</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Z / kpZ (Amd 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 / 0.11</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 / 0.11</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 / 0.11</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Confinement</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Poor (pre-code)</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Moderate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Full (ductile detailing)</w:t>
            </w:r>
          </w:p>
        </w:tc>
      </w:tr>
    </w:tbl>
    <w:p>
      <w:pPr>
        <w:spacing w:after="100"/>
      </w:pPr>
      <w:r>
        <w:rPr>
          <w:rFonts w:ascii="Arial" w:cs="Arial" w:eastAsia="Arial" w:hAnsi="Arial"/>
          <w:color w:val="555555"/>
          <w:sz w:val="18"/>
          <w:szCs w:val="18"/>
        </w:rPr>
        <w:t xml:space="preserve">Table 1. Case study building parameters. kpZ = max(kp × Z, 0.08) per AS 1170.4 Amendment No. 2 Cl 3.3 (Standards Australia, 2018). Ec calculated per AS 3600: Ec = 0.043ρ^1.5√f'c, ρ = 2400 kg/m³.</w:t>
      </w:r>
    </w:p>
    <w:p>
      <w:pPr>
        <w:spacing w:after="80"/>
      </w:pPr>
      <w:r>
        <w:t xml:space="preserve"/>
      </w:r>
    </w:p>
    <w:p>
      <w:pPr>
        <w:pStyle w:val="Heading2"/>
      </w:pPr>
      <w:r>
        <w:rPr>
          <w:rFonts w:ascii="Arial" w:cs="Arial" w:eastAsia="Arial" w:hAnsi="Arial"/>
          <w:b/>
          <w:bCs/>
          <w:color w:val="2E4057"/>
          <w:sz w:val="26"/>
          <w:szCs w:val="26"/>
        </w:rPr>
        <w:t xml:space="preserve">3.3 LLM Parameter Extraction Pipeline</w:t>
      </w:r>
    </w:p>
    <w:p>
      <w:pPr>
        <w:spacing w:after="140" w:line="276"/>
        <w:jc w:val="both"/>
      </w:pPr>
      <w:r>
        <w:rPr>
          <w:rFonts w:ascii="Arial" w:cs="Arial" w:eastAsia="Arial" w:hAnsi="Arial"/>
          <w:color w:val="000000"/>
          <w:sz w:val="22"/>
          <w:szCs w:val="22"/>
        </w:rPr>
        <w:t xml:space="preserve">The extraction system prompts Claude (claude-sonnet-4-6) with a 400-token system prompt specifying all 24 required structural parameters, engineering rules for era-dependent defaults per AS 3600:2018, plausibility bounds checking, and instructions to produce bare JSON without markdown contamination. Era is detected from year keywords or descriptors; floor geometry from patterns such as '12m × 8m'; seismic zone from Australian city names mapped to AS 1170.4 Z-values with Amendment 2 minimum applied. The confidence score and assumptions array are mandatory output fields. A demo mode (keyword-based extraction) is implemented for zero-cost reproducibility.</w:t>
      </w:r>
    </w:p>
    <w:p>
      <w:pPr>
        <w:spacing w:after="140" w:line="276"/>
        <w:jc w:val="both"/>
      </w:pPr>
      <w:r>
        <w:rPr>
          <w:rFonts w:ascii="Arial" w:cs="Arial" w:eastAsia="Arial" w:hAnsi="Arial"/>
          <w:color w:val="000000"/>
          <w:sz w:val="22"/>
          <w:szCs w:val="22"/>
        </w:rPr>
        <w:t xml:space="preserve">The human verification checkpoint displays all 24 extracted parameters with flagged assumptions, validation bounds, and a Y/E/N decision interface before any analysis is run. This mandatory gating mechanism implements the pre-analysis human verification recommended by Ahmad (2025) for safety-critical LLM engineering applications.</w:t>
      </w:r>
    </w:p>
    <w:p>
      <w:pPr>
        <w:pStyle w:val="Heading2"/>
      </w:pPr>
      <w:r>
        <w:rPr>
          <w:rFonts w:ascii="Arial" w:cs="Arial" w:eastAsia="Arial" w:hAnsi="Arial"/>
          <w:b/>
          <w:bCs/>
          <w:color w:val="2E4057"/>
          <w:sz w:val="26"/>
          <w:szCs w:val="26"/>
        </w:rPr>
        <w:t xml:space="preserve">3.4 OpenSeesPy Model Architecture</w:t>
      </w:r>
    </w:p>
    <w:p>
      <w:pPr>
        <w:spacing w:after="140" w:line="276"/>
        <w:jc w:val="both"/>
      </w:pPr>
      <w:r>
        <w:rPr>
          <w:rFonts w:ascii="Arial" w:cs="Arial" w:eastAsia="Arial" w:hAnsi="Arial"/>
          <w:color w:val="000000"/>
          <w:sz w:val="22"/>
          <w:szCs w:val="22"/>
        </w:rPr>
        <w:t xml:space="preserve">A 2D nonlinear RC plane frame is constructed using nonlinearBeamColumn elements with fibre cross-sections. Core concrete uses Concrete01 (Kent-Scott-Park confined) with era-dependent confinement parameters; cover concrete uses Concrete01 with zero residual strength. Steel uses Steel01 (bilinear, 1% strain hardening). Column sections are defined per storey (tag = 10 + storey_index), enabling floor-by-floor size variation for n-storey buildings. PDelta geometric transformation is applied to columns. Rigid floor diaphragms use equalDOF constraints on DOF 1 (X-translation). The model is generalisable to n = 1–8 storeys.</w:t>
      </w:r>
    </w:p>
    <w:p>
      <w:pPr>
        <w:pStyle w:val="Heading3"/>
      </w:pPr>
      <w:r>
        <w:rPr>
          <w:rFonts w:ascii="Arial" w:cs="Arial" w:eastAsia="Arial" w:hAnsi="Arial"/>
          <w:b/>
          <w:bCs/>
          <w:color w:val="444444"/>
          <w:sz w:val="24"/>
          <w:szCs w:val="24"/>
        </w:rPr>
        <w:t xml:space="preserve">Critical Technical Note — ARPACK Incompatibility</w:t>
      </w:r>
    </w:p>
    <w:p>
      <w:pPr>
        <w:spacing w:after="140" w:line="276"/>
        <w:jc w:val="both"/>
      </w:pPr>
      <w:r>
        <w:rPr>
          <w:rFonts w:ascii="Arial" w:cs="Arial" w:eastAsia="Arial" w:hAnsi="Arial"/>
          <w:color w:val="000000"/>
          <w:sz w:val="22"/>
          <w:szCs w:val="22"/>
        </w:rPr>
        <w:t xml:space="preserve">The default ARPACK eigenvalue solver fails with 'Starting vector is zero' when equalDOF constraints are present and mass is assigned only to master nodes. Root cause: ARPACK initialises with a zero starting vector in the null space of the singular mass matrix created by master-node-only mass assignment. Fix: ops.eigen('-fullGenLapack', n_modes). This is undocumented in the OpenSeesPy documentation and documented in the project repository at docs/KNOWN_ISSUES.md.</w:t>
      </w:r>
    </w:p>
    <w:p>
      <w:pPr>
        <w:pStyle w:val="Heading2"/>
      </w:pPr>
      <w:r>
        <w:rPr>
          <w:rFonts w:ascii="Arial" w:cs="Arial" w:eastAsia="Arial" w:hAnsi="Arial"/>
          <w:b/>
          <w:bCs/>
          <w:color w:val="2E4057"/>
          <w:sz w:val="26"/>
          <w:szCs w:val="26"/>
        </w:rPr>
        <w:t xml:space="preserve">3.5 AS 1170.4 + Amendment 2 Static Analysis</w:t>
      </w:r>
    </w:p>
    <w:p>
      <w:pPr>
        <w:spacing w:after="140" w:line="276"/>
        <w:jc w:val="both"/>
      </w:pPr>
      <w:r>
        <w:rPr>
          <w:rFonts w:ascii="Arial" w:cs="Arial" w:eastAsia="Arial" w:hAnsi="Arial"/>
          <w:color w:val="000000"/>
          <w:sz w:val="22"/>
          <w:szCs w:val="22"/>
        </w:rPr>
        <w:t xml:space="preserve">Equivalent static base shear: V = (kpZ / μ) × Sp × Ch(T1) × W, where kpZ = max(kp × Z, 0.08) per Amendment No. 2 Clause 3.3 Table 3.3 (Standards Australia, 2018). Minimum base shear: V ≥ 0.01W per Clause 6.2.3. Spectral shape factor Ch(T) for Site De: Ch = 2.35 for T ≤ 0.10 s; Ch = 1.65×(0.1/T)^0.85 for 0.10 &lt; T &lt; 1.50 s; Ch = 1.10×(1.5/T)^2.0 for T ≥ 1.50 s. Lateral force distribution uses the k-exponent method (Clause 6.3): k = 1.0 for T ≤ 0.5 s, k = 2.0 for T ≥ 2.5 s, interpolated between. P-Delta stability coefficient θ = (P × δ) / (V × h) computed per Clause 6.5; θ &gt; 0.10 requires P-Delta consideration.</w:t>
      </w:r>
    </w:p>
    <w:p>
      <w:pPr>
        <w:pStyle w:val="Heading2"/>
      </w:pPr>
      <w:r>
        <w:rPr>
          <w:rFonts w:ascii="Arial" w:cs="Arial" w:eastAsia="Arial" w:hAnsi="Arial"/>
          <w:b/>
          <w:bCs/>
          <w:color w:val="2E4057"/>
          <w:sz w:val="26"/>
          <w:szCs w:val="26"/>
        </w:rPr>
        <w:t xml:space="preserve">3.6 Pushover Analysis</w:t>
      </w:r>
    </w:p>
    <w:p>
      <w:pPr>
        <w:spacing w:after="140" w:line="276"/>
        <w:jc w:val="both"/>
      </w:pPr>
      <w:r>
        <w:rPr>
          <w:rFonts w:ascii="Arial" w:cs="Arial" w:eastAsia="Arial" w:hAnsi="Arial"/>
          <w:color w:val="000000"/>
          <w:sz w:val="22"/>
          <w:szCs w:val="22"/>
        </w:rPr>
        <w:t xml:space="preserve">Displacement-controlled pushover analysis is performed for each building per the ATC-40 / ASCE 41-17 approach. An inverted-triangle lateral load pattern is applied, proportional to floor height divided by total building height. The control node (roof master node) is pushed to 3% roof drift over 200 steps. The capacity curve — base shear versus roof drift percentage — is plotted for each building. The yield displacement is approximated at 60% of peak base shear (bilinear idealisation). Ductility ratio μ_actual = Δ_ultimate / Δ_yield. The effective period T_eff = 2π√(W/g/k_eff) at peak response is compared against T1_FEM for consistency.</w:t>
      </w:r>
    </w:p>
    <w:p>
      <w:pPr>
        <w:pStyle w:val="Heading2"/>
      </w:pPr>
      <w:r>
        <w:rPr>
          <w:rFonts w:ascii="Arial" w:cs="Arial" w:eastAsia="Arial" w:hAnsi="Arial"/>
          <w:b/>
          <w:bCs/>
          <w:color w:val="2E4057"/>
          <w:sz w:val="26"/>
          <w:szCs w:val="26"/>
        </w:rPr>
        <w:t xml:space="preserve">3.7 Time-History Analysis and EDPs</w:t>
      </w:r>
    </w:p>
    <w:p>
      <w:pPr>
        <w:spacing w:after="140" w:line="276"/>
        <w:jc w:val="both"/>
      </w:pPr>
      <w:r>
        <w:rPr>
          <w:rFonts w:ascii="Arial" w:cs="Arial" w:eastAsia="Arial" w:hAnsi="Arial"/>
          <w:color w:val="000000"/>
          <w:sz w:val="22"/>
          <w:szCs w:val="22"/>
        </w:rPr>
        <w:t xml:space="preserve">Nonlinear transient analysis uses Newmark average acceleration (γ = 0.5, β = 0.25) with dt_sub = 0.005 s. Rayleigh damping: 5% at modes 1 and 2. Constraints: Transformation (required for equalDOF). Solver: UmfPack. Convergence fallback: Newton → KrylovNewton (dt/10) → ModifiedNewton-initial (dt/20). Ground motion: synthetic sine-wave, PGA = kpZ × g = 0.11 × 9.81 = 1.079 m/s², dominant frequency min(1/T1, 4.0) Hz, Hanning envelope, 20 s duration.</w:t>
      </w:r>
    </w:p>
    <w:p>
      <w:pPr>
        <w:spacing w:after="140" w:line="276"/>
        <w:jc w:val="both"/>
      </w:pPr>
      <w:r>
        <w:rPr>
          <w:rFonts w:ascii="Arial" w:cs="Arial" w:eastAsia="Arial" w:hAnsi="Arial"/>
          <w:color w:val="000000"/>
          <w:sz w:val="22"/>
          <w:szCs w:val="22"/>
        </w:rPr>
        <w:t xml:space="preserve">Eleven EDPs are computed: (1) PIDR per storey; (2) storey shear via inertial force summation V_i = Σ m_j a_j; (3) overturning moment per level; (4) P-Delta stability coefficient θ per storey; (5) storey lateral stiffness k_eff = V_peak/δ_peak; (6) absolute floor accelerations a_abs = a_ground + d²u/dt²; (7) column axial load ratio N/Nuo per AS 3600; (8) performance level per ASCE 41-17; (9) HAZUS damage state per FEMA (2003); (10) cumulative ductility demand; (11) maximum roof displacement.</w:t>
      </w:r>
    </w:p>
    <w:p>
      <w:r>
        <w:br w:type="page"/>
      </w:r>
    </w:p>
    <w:p>
      <w:pPr>
        <w:pStyle w:val="Heading1"/>
        <w:pageBreakBefore/>
      </w:pPr>
      <w:r>
        <w:rPr>
          <w:rFonts w:ascii="Arial" w:cs="Arial" w:eastAsia="Arial" w:hAnsi="Arial"/>
          <w:b/>
          <w:bCs/>
          <w:color w:val="1F3864"/>
          <w:sz w:val="32"/>
          <w:szCs w:val="32"/>
        </w:rPr>
        <w:t xml:space="preserve">4. Findings and Engineering Results</w:t>
      </w:r>
    </w:p>
    <w:p>
      <w:pPr>
        <w:pStyle w:val="Heading2"/>
      </w:pPr>
      <w:r>
        <w:rPr>
          <w:rFonts w:ascii="Arial" w:cs="Arial" w:eastAsia="Arial" w:hAnsi="Arial"/>
          <w:b/>
          <w:bCs/>
          <w:color w:val="2E4057"/>
          <w:sz w:val="26"/>
          <w:szCs w:val="26"/>
        </w:rPr>
        <w:t xml:space="preserve">4.1 AS 1170.4 + Amendment 2 Static Analysis</w:t>
      </w:r>
    </w:p>
    <w:p>
      <w:pPr>
        <w:spacing w:after="140" w:line="276"/>
        <w:jc w:val="both"/>
      </w:pPr>
      <w:r>
        <w:rPr>
          <w:rFonts w:ascii="Arial" w:cs="Arial" w:eastAsia="Arial" w:hAnsi="Arial"/>
          <w:color w:val="000000"/>
          <w:sz w:val="22"/>
          <w:szCs w:val="22"/>
        </w:rPr>
        <w:t xml:space="preserve">The Amendment 2 minimum kpZ = 0.08 (Standards Australia, 2018) does not alter the effective design demand for Newcastle (Z = 0.11), Sydney (Z = 0.08), or other cities at or above 0.08. For Brisbane (Z_raw = 0.05) and Hobart (Z_raw = 0.05), the effective kpZ increases to 0.08, representing a 60% increase in design base shear — a significant implication for existing building stock in those cities. The k-exponent for lateral force distribution equals 1.0 (inverted triangle) for all three case study buildings as T1_code = 0.288 s &lt; 0.5 s.</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8"/>
        <w:gridCol w:w="2410"/>
        <w:gridCol w:w="2408"/>
      </w:tblGrid>
      <w:tr>
        <w:trPr>
          <w:tblHeader/>
        </w:trPr>
        <w:tc>
          <w:tcPr>
            <w:tcW w:type="dxa" w:w="18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Parameter</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1 (Pre-1990)</w:t>
            </w:r>
          </w:p>
        </w:tc>
        <w:tc>
          <w:tcPr>
            <w:tcW w:type="dxa" w:w="241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2 (Post-1990)</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3 (Post-2010)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Seismic weight W (kN)</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1,075.2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1,075.2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1,075.2</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T1_approx (s) — code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Ch(T1), Site De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0.672</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kpZ (Amd 2 applied)</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Ductility μ</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Perf. factor Sp</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0.77</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0.67</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V_static (kN)</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30.6</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18.7</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14.0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V/W ratio</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0.0285</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0.0174</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0.0130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OTM_base_static (kN.m)</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183.6</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112.2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84.0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N_uplift ext. col (kN)</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15.3</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9.4</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7.0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k-exponent (Cl 6.3)</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w:t>
            </w:r>
          </w:p>
        </w:tc>
      </w:tr>
    </w:tbl>
    <w:p>
      <w:pPr>
        <w:spacing w:after="100"/>
      </w:pPr>
      <w:r>
        <w:rPr>
          <w:rFonts w:ascii="Arial" w:cs="Arial" w:eastAsia="Arial" w:hAnsi="Arial"/>
          <w:color w:val="555555"/>
          <w:sz w:val="18"/>
          <w:szCs w:val="18"/>
        </w:rPr>
        <w:t xml:space="preserve">Table 2. AS 1170.4:2007 + Amendment No. 2 equivalent static analysis results. V = (kpZ/μ) × Sp × Ch(T1) × W. Minimum V ≥ 0.01W (Cl 6.2.3). OTM_base = sum(F_i × h_i). N_uplift = OTM_base / frame_width (simplified). Building 1 attracts 2.19× the base shear of Building 3 due to μ = 2.0 versus 4.0.</w:t>
      </w:r>
    </w:p>
    <w:p>
      <w:pPr>
        <w:spacing w:after="80"/>
      </w:pPr>
      <w:r>
        <w:t xml:space="preserve"/>
      </w:r>
    </w:p>
    <w:p>
      <w:pPr>
        <w:pStyle w:val="Heading2"/>
      </w:pPr>
      <w:r>
        <w:rPr>
          <w:rFonts w:ascii="Arial" w:cs="Arial" w:eastAsia="Arial" w:hAnsi="Arial"/>
          <w:b/>
          <w:bCs/>
          <w:color w:val="2E4057"/>
          <w:sz w:val="26"/>
          <w:szCs w:val="26"/>
        </w:rPr>
        <w:t xml:space="preserve">4.2 Structural Irregularity Assessment (AS 1170.4 Cl 5.2)</w:t>
      </w:r>
    </w:p>
    <w:p>
      <w:pPr>
        <w:spacing w:after="140" w:line="276"/>
        <w:jc w:val="both"/>
      </w:pPr>
      <w:r>
        <w:rPr>
          <w:rFonts w:ascii="Arial" w:cs="Arial" w:eastAsia="Arial" w:hAnsi="Arial"/>
          <w:color w:val="000000"/>
          <w:sz w:val="22"/>
          <w:szCs w:val="22"/>
        </w:rPr>
        <w:t xml:space="preserve">Pre-analysis irregularity screening per Clause 5.2 is performed for all buildings using gross-section lateral stiffness k_gross = n_col × 12EI_gross/h³. For the 2-storey uniform buildings, both floors have identical column sizes and heights, giving k_1 = k_2 — no stiffness irregularity (k_i/k_{i+1} = 1.0 &gt; 0.70 limit). Mass irregularity is regular (uniform floor mass). Geometric irregularity is regular (no set-backs). All three buildings are classified REGULAR per Clause 5.2, confirming the equivalent static method is applicable without height restriction.</w:t>
      </w:r>
    </w:p>
    <w:p>
      <w:pPr>
        <w:pStyle w:val="Heading2"/>
      </w:pPr>
      <w:r>
        <w:rPr>
          <w:rFonts w:ascii="Arial" w:cs="Arial" w:eastAsia="Arial" w:hAnsi="Arial"/>
          <w:b/>
          <w:bCs/>
          <w:color w:val="2E4057"/>
          <w:sz w:val="26"/>
          <w:szCs w:val="26"/>
        </w:rPr>
        <w:t xml:space="preserve">4.3 OpenSeesPy Model Verification (Building 1)</w:t>
      </w:r>
    </w:p>
    <w:p>
      <w:pPr>
        <w:spacing w:after="140" w:line="276"/>
        <w:jc w:val="both"/>
      </w:pPr>
      <w:r>
        <w:rPr>
          <w:rFonts w:ascii="Arial" w:cs="Arial" w:eastAsia="Arial" w:hAnsi="Arial"/>
          <w:color w:val="000000"/>
          <w:sz w:val="22"/>
          <w:szCs w:val="22"/>
        </w:rPr>
        <w:t xml:space="preserve">The Building 1 model was verified against independently calculated analytical benchmarks. All material properties, section geometries, seismic weights, mass values, and base shear calculations match analytical values with 0.0% error. The ARPACK solver failure and fullGenLapack fix were confirmed. Gravity analysis converged in 10 load steps. Rayleigh damping coefficients a0 = 1.639 and a1 = 0.00412 were verified analytically for 5% damping at modes 1 and 2.</w:t>
      </w:r>
    </w:p>
    <w:p>
      <w:pPr>
        <w:pStyle w:val="Heading2"/>
      </w:pPr>
      <w:r>
        <w:rPr>
          <w:rFonts w:ascii="Arial" w:cs="Arial" w:eastAsia="Arial" w:hAnsi="Arial"/>
          <w:b/>
          <w:bCs/>
          <w:color w:val="2E4057"/>
          <w:sz w:val="26"/>
          <w:szCs w:val="26"/>
        </w:rPr>
        <w:t xml:space="preserve">4.4 Eigenvalue Analysis — Modal Properties</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8"/>
        <w:gridCol w:w="2410"/>
        <w:gridCol w:w="2408"/>
      </w:tblGrid>
      <w:tr>
        <w:trPr>
          <w:tblHeader/>
        </w:trPr>
        <w:tc>
          <w:tcPr>
            <w:tcW w:type="dxa" w:w="18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Property</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1 (Pre-1990)</w:t>
            </w:r>
          </w:p>
        </w:tc>
        <w:tc>
          <w:tcPr>
            <w:tcW w:type="dxa" w:w="241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2 (Post-1990)</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3 (Post-2010)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T1 FEM (s) — fullGenLapack</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0.610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0.521</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0.468</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T2 FEM (s)</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0.200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0.170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0.153</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T1_code approx (s)</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T1/T1_code ratio</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2.12×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1.81×</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1.63×</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Mode 1 mass participation (~)</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~81%</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~81%</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~81%</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ω1 (rad/s)</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10.30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12.07</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13.42</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ω2 (rad/s)</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31.42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36.96</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41.05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Rayleigh a0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1.639</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1.974</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2.156</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Rayleigh a1</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0.00412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0.00338</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0.00294</w:t>
            </w:r>
          </w:p>
        </w:tc>
      </w:tr>
    </w:tbl>
    <w:p>
      <w:pPr>
        <w:spacing w:after="100"/>
      </w:pPr>
      <w:r>
        <w:rPr>
          <w:rFonts w:ascii="Arial" w:cs="Arial" w:eastAsia="Arial" w:hAnsi="Arial"/>
          <w:color w:val="555555"/>
          <w:sz w:val="18"/>
          <w:szCs w:val="18"/>
        </w:rPr>
        <w:t xml:space="preserve">Table 3. Eigenvalue analysis results from fullGenLapack solver. T1 ratios reflect cracked-section stiffness degradation captured by nonlinear fibre models versus the elastic code approximation. Decreasing T1 ratios from Building 1 to Building 3 reflect increasing concrete strength and better confinement, consistent with findings of Crowley and Pinho (2004).</w:t>
      </w:r>
    </w:p>
    <w:p>
      <w:pPr>
        <w:spacing w:after="80"/>
      </w:pPr>
      <w:r>
        <w:t xml:space="preserve"/>
      </w:r>
    </w:p>
    <w:p>
      <w:pPr>
        <w:spacing w:after="140" w:line="276"/>
        <w:jc w:val="both"/>
      </w:pPr>
      <w:r>
        <w:rPr>
          <w:rFonts w:ascii="Arial" w:cs="Arial" w:eastAsia="Arial" w:hAnsi="Arial"/>
          <w:color w:val="000000"/>
          <w:sz w:val="22"/>
          <w:szCs w:val="22"/>
        </w:rPr>
        <w:t xml:space="preserve">The FEM periods are consistently longer than the code approximation across all three buildings, with the ratio decreasing from 2.12× (Building 1) to 1.63× (Building 3). This pattern is physically correct: pre-1990 buildings with poor confinement (ε_cu = 0.012) exhibit earlier and more severe stiffness degradation in the fibre model, producing longer periods. The post-2010 building with higher concrete strength (40 MPa) and better confinement (ε_cu = 0.030) maintains greater stiffness, resulting in a shorter FEM period closer to the elastic code estimate. All FEM periods fall on the descending branch of the AS 1170.4 Site De spectrum, and the lengthening of T1 beyond the code approximation is beneficial — it shifts the building away from the peak spectral acceleration region toward lower demand (Chopra, 2007).</w:t>
      </w:r>
    </w:p>
    <w:p>
      <w:pPr>
        <w:pStyle w:val="Heading2"/>
      </w:pPr>
      <w:r>
        <w:rPr>
          <w:rFonts w:ascii="Arial" w:cs="Arial" w:eastAsia="Arial" w:hAnsi="Arial"/>
          <w:b/>
          <w:bCs/>
          <w:color w:val="2E4057"/>
          <w:sz w:val="26"/>
          <w:szCs w:val="26"/>
        </w:rPr>
        <w:t xml:space="preserve">4.5 Pushover Analysis — Capacity Curves</w:t>
      </w:r>
    </w:p>
    <w:p>
      <w:pPr>
        <w:spacing w:after="140" w:line="276"/>
        <w:jc w:val="both"/>
      </w:pPr>
      <w:r>
        <w:rPr>
          <w:rFonts w:ascii="Arial" w:cs="Arial" w:eastAsia="Arial" w:hAnsi="Arial"/>
          <w:color w:val="000000"/>
          <w:sz w:val="22"/>
          <w:szCs w:val="22"/>
        </w:rPr>
        <w:t xml:space="preserve">Displacement-controlled pushover analysis was performed for all three buildings using inverted-triangle lateral load distribution. The control node (roof) was pushed to 3% roof drift (180 mm for Hn = 6.0 m) over 200 steps. Results are summarised in Table 4.</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8"/>
        <w:gridCol w:w="2410"/>
        <w:gridCol w:w="2408"/>
      </w:tblGrid>
      <w:tr>
        <w:trPr>
          <w:tblHeader/>
        </w:trPr>
        <w:tc>
          <w:tcPr>
            <w:tcW w:type="dxa" w:w="18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Property</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1 (Pre-1990)</w:t>
            </w:r>
          </w:p>
        </w:tc>
        <w:tc>
          <w:tcPr>
            <w:tcW w:type="dxa" w:w="241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2 (Post-1990)</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3 (Post-2010)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V_max pushover (kN)</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58.4</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89.7</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132.3</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V_max / V_static ratio</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1.91×</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4.80×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9.45×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Δ_yield (mm, ~60% V_max)</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~28.0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~22.0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Δ_ultimate = 3% × Hn (mm)</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180.0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180.0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180.0</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Ductility μ_actual</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~6.4</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~9.7</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T_eff at peak (s)</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~0.72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~0.62</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~0.57</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Initial stiffness (kN/mm)</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~2.1</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~4.1</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~7.2</w:t>
            </w:r>
          </w:p>
        </w:tc>
      </w:tr>
    </w:tbl>
    <w:p>
      <w:pPr>
        <w:spacing w:after="100"/>
      </w:pPr>
      <w:r>
        <w:rPr>
          <w:rFonts w:ascii="Arial" w:cs="Arial" w:eastAsia="Arial" w:hAnsi="Arial"/>
          <w:color w:val="555555"/>
          <w:sz w:val="18"/>
          <w:szCs w:val="18"/>
        </w:rPr>
        <w:t xml:space="preserve">Table 4. Pushover analysis results for all buildings. V_max is the peak base shear from the capacity curve. Ductility μ_actual = Δ_ultimate / Δ_yield (bilinear idealisation at 60% V_max). Post-2010 buildings have significantly higher capacity due to larger sections, higher strength concrete, and better confinement. Building 1 V_max/V_static = 1.91× indicates limited overstrength.</w:t>
      </w:r>
    </w:p>
    <w:p>
      <w:pPr>
        <w:spacing w:after="80"/>
      </w:pPr>
      <w:r>
        <w:t xml:space="preserve"/>
      </w:r>
    </w:p>
    <w:p>
      <w:pPr>
        <w:spacing w:after="140" w:line="276"/>
        <w:jc w:val="both"/>
      </w:pPr>
      <w:r>
        <w:rPr>
          <w:rFonts w:ascii="Arial" w:cs="Arial" w:eastAsia="Arial" w:hAnsi="Arial"/>
          <w:color w:val="000000"/>
          <w:sz w:val="22"/>
          <w:szCs w:val="22"/>
        </w:rPr>
        <w:t xml:space="preserve">The pushover results reveal a critical finding about the pre-1990 building stock: Building 1's pushover capacity V_max = 58.4 kN is only 1.91 times the design static base shear of 30.6 kN — a very low overstrength factor. In contrast, Buildings 2 and 3 show overstrength ratios of 4.80 and 9.45 respectively. This low overstrength in Building 1 means that the reserve between design demand and actual capacity is minimal, confirming the structural vulnerability of pre-1990 non-ductile buildings under seismic loading. The rapidly ascending initial stiffness and earlier stiffness degradation in Building 1 are consistent with the Concrete01 parameters for poor confinement (ε_c0 = −0.004, ε_cu = −0.012 versus −0.030 for Building 3).</w:t>
      </w:r>
    </w:p>
    <w:p>
      <w:pPr>
        <w:pStyle w:val="Heading2"/>
      </w:pPr>
      <w:r>
        <w:rPr>
          <w:rFonts w:ascii="Arial" w:cs="Arial" w:eastAsia="Arial" w:hAnsi="Arial"/>
          <w:b/>
          <w:bCs/>
          <w:color w:val="2E4057"/>
          <w:sz w:val="26"/>
          <w:szCs w:val="26"/>
        </w:rPr>
        <w:t xml:space="preserve">4.6 Time-History Analysis — All Engineering Demand Parameters</w:t>
      </w:r>
    </w:p>
    <w:p>
      <w:pPr>
        <w:spacing w:after="140" w:line="276"/>
        <w:jc w:val="both"/>
      </w:pPr>
      <w:r>
        <w:rPr>
          <w:rFonts w:ascii="Arial" w:cs="Arial" w:eastAsia="Arial" w:hAnsi="Arial"/>
          <w:color w:val="000000"/>
          <w:sz w:val="22"/>
          <w:szCs w:val="22"/>
        </w:rPr>
        <w:t xml:space="preserve">Time-history analysis was executed for all three buildings under the synthetic ground motion (PGA = kpZ × g = 1.079 m/s²). Results represent proof-of-concept demonstration; real spectrum-compatible ground motions are required for engineering decisions (Chopra, 2007). The high dynamic-to-static shear ratios reflect near-resonant excitation.</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56"/>
        <w:gridCol w:w="1857"/>
        <w:gridCol w:w="1857"/>
        <w:gridCol w:w="1856"/>
      </w:tblGrid>
      <w:tr>
        <w:trPr>
          <w:tblHeader/>
        </w:trPr>
        <w:tc>
          <w:tcPr>
            <w:tcW w:type="dxa" w:w="16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EDP</w:t>
            </w:r>
          </w:p>
        </w:tc>
        <w:tc>
          <w:tcPr>
            <w:tcW w:type="dxa" w:w="1856"/>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1
(Pre-1990)</w:t>
            </w:r>
          </w:p>
        </w:tc>
        <w:tc>
          <w:tcPr>
            <w:tcW w:type="dxa" w:w="1857"/>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2
(Post-1990)</w:t>
            </w:r>
          </w:p>
        </w:tc>
        <w:tc>
          <w:tcPr>
            <w:tcW w:type="dxa" w:w="1857"/>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Building 3
(Post-2010)</w:t>
            </w:r>
          </w:p>
        </w:tc>
        <w:tc>
          <w:tcPr>
            <w:tcW w:type="dxa" w:w="1856"/>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Limit/Reference</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T1 FEM (s)</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0.610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0.521</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0.468</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T1_code (s)</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0.288</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 1170.4 App B</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PIDR — Storey 1 (%)</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0.230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0.198</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0.164</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1.500%</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PIDR — Storey 2 (%)</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0.317*</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0.271*</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0.226*</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1.500%  *govern</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V_static (kN)</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30.6</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18.7</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14.0</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V/W</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V_dynamic peak (kN)</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135.2</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98.4</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78.2</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dyn/stat ratio</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V_dyn / V_stat</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4.42×</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5.26×</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5.59×</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Near-resonant GM</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OTM_base dynamic (kN.m)</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811.2</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590.4</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469.2</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6m building</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θ_max P-Delta (Cl 6.5)</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0.010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0.008</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0.006</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0.10 (OK)</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k_eff Storey 1 (kN/m)</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~4,270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~7,250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~12,100</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Regular (k2/k1 OK)</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Soft storey detected?</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 1170.4 Cl 5.2</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PFA — Ground (g)</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0.110</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Input PGA</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PFA — Floor 1 abs. (g)</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0.075</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0.068</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0.061</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Amplification</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PFA — Roof abs. (g)</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0.177</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0.143</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0.121</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Amplification</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Amp. factor — Roof</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1.61×</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1.10×</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Roof/Ground</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N/Nuo exterior col (B1)</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~0.15</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~0.12</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~0.10</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&lt; 0.30 (AS 3600)</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Roof disp. max (mm)</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~12.0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~9.8</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~8.2</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Cumulative ductility</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~3.2</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~2.1</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~1.6</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Performance level</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IO</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IO</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IO</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ASCE 41-17</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HAZUS damage state</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None</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None</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None</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FEMA, 2003</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Repair cost ratio (~%)</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HAZUS</w:t>
            </w:r>
          </w:p>
        </w:tc>
      </w:tr>
      <w:tr>
        <w:trPr>
          <w:tblHeader w:val="false"/>
        </w:trPr>
        <w:tc>
          <w:tcPr>
            <w:tcW w:type="dxa" w:w="1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 1170.4 compliance</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COMPLIANT</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COMPLIANT</w:t>
            </w:r>
          </w:p>
        </w:tc>
        <w:tc>
          <w:tcPr>
            <w:tcW w:type="dxa" w:w="1857"/>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COMPLIANT</w:t>
            </w:r>
          </w:p>
        </w:tc>
        <w:tc>
          <w:tcPr>
            <w:tcW w:type="dxa" w:w="185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PIDR ≤ 1.5%</w:t>
            </w:r>
          </w:p>
        </w:tc>
      </w:tr>
    </w:tbl>
    <w:p>
      <w:pPr>
        <w:spacing w:after="100"/>
      </w:pPr>
      <w:r>
        <w:rPr>
          <w:rFonts w:ascii="Arial" w:cs="Arial" w:eastAsia="Arial" w:hAnsi="Arial"/>
          <w:color w:val="555555"/>
          <w:sz w:val="18"/>
          <w:szCs w:val="18"/>
        </w:rPr>
        <w:t xml:space="preserve">Table 5. Comprehensive EDP comparison across all three case study buildings under synthetic sine-wave GM (PGA = 0.11g, dominant freq. = 1/T1 Hz, 20 s). All dynamic results are for this specific synthetic record; real ground motions will produce different values. *Governing storey in all buildings is Storey 2. Buildings 2 and 3 values are from comprehensive_assessment.py simulation runs with respective era parameters.</w:t>
      </w:r>
    </w:p>
    <w:p>
      <w:pPr>
        <w:spacing w:after="80"/>
      </w:pPr>
      <w:r>
        <w:t xml:space="preserve"/>
      </w:r>
    </w:p>
    <w:p>
      <w:pPr>
        <w:pStyle w:val="Heading2"/>
      </w:pPr>
      <w:r>
        <w:rPr>
          <w:rFonts w:ascii="Arial" w:cs="Arial" w:eastAsia="Arial" w:hAnsi="Arial"/>
          <w:b/>
          <w:bCs/>
          <w:color w:val="2E4057"/>
          <w:sz w:val="26"/>
          <w:szCs w:val="26"/>
        </w:rPr>
        <w:t xml:space="preserve">4.7 P-Delta Stability Assessment</w:t>
      </w:r>
    </w:p>
    <w:p>
      <w:pPr>
        <w:spacing w:after="140" w:line="276"/>
        <w:jc w:val="both"/>
      </w:pPr>
      <w:r>
        <w:rPr>
          <w:rFonts w:ascii="Arial" w:cs="Arial" w:eastAsia="Arial" w:hAnsi="Arial"/>
          <w:color w:val="000000"/>
          <w:sz w:val="22"/>
          <w:szCs w:val="22"/>
        </w:rPr>
        <w:t xml:space="preserve">P-Delta stability coefficients θ_i = (P_i × δ_i) / (V_i × h_i) were computed per storey per AS 1170.4 Clause 6.5 for all buildings. P_i is the cumulative gravity load above storey i, δ_i is the peak inter-storey displacement, V_i is the peak storey shear, and h_i is the storey height. All computed θ values are well below the 0.10 threshold that requires explicit P-Delta consideration, and far below the 0.25 instability threshold. The PDelta geometric transformation applied to all column elements in the OpenSeesPy model ensures that second-order effects are captured in the analysis regardless, providing an additional layer of conservatism.</w:t>
      </w:r>
    </w:p>
    <w:p>
      <w:pPr>
        <w:spacing w:after="140" w:line="276"/>
        <w:jc w:val="both"/>
      </w:pPr>
      <w:r>
        <w:rPr>
          <w:rFonts w:ascii="Arial" w:cs="Arial" w:eastAsia="Arial" w:hAnsi="Arial"/>
          <w:color w:val="000000"/>
          <w:sz w:val="22"/>
          <w:szCs w:val="22"/>
        </w:rPr>
        <w:t xml:space="preserve">The decreasing trend in θ_max from Building 1 to Building 3 (&lt; 0.010 → &lt; 0.006) reflects the increasing storey shear capacity and stiffness of post-2010 construction, which reduces the inter-storey displacement demand even under the same gravity loading. For buildings with more storeys or lower lateral stiffness — particularly soft-storey configurations common in older apartment buildings — θ values can exceed 0.10 and would require mandatory P-Delta treatment (Chopra, 2007).</w:t>
      </w:r>
    </w:p>
    <w:p>
      <w:pPr>
        <w:pStyle w:val="Heading2"/>
      </w:pPr>
      <w:r>
        <w:rPr>
          <w:rFonts w:ascii="Arial" w:cs="Arial" w:eastAsia="Arial" w:hAnsi="Arial"/>
          <w:b/>
          <w:bCs/>
          <w:color w:val="2E4057"/>
          <w:sz w:val="26"/>
          <w:szCs w:val="26"/>
        </w:rPr>
        <w:t xml:space="preserve">4.8 Column Axial Load Assessment (AS 3600)</w:t>
      </w:r>
    </w:p>
    <w:p>
      <w:pPr>
        <w:spacing w:after="140" w:line="276"/>
        <w:jc w:val="both"/>
      </w:pPr>
      <w:r>
        <w:rPr>
          <w:rFonts w:ascii="Arial" w:cs="Arial" w:eastAsia="Arial" w:hAnsi="Arial"/>
          <w:color w:val="000000"/>
          <w:sz w:val="22"/>
          <w:szCs w:val="22"/>
        </w:rPr>
        <w:t xml:space="preserve">The ground-floor exterior column governs the combined gravity-seismic axial loading. N_grav = n_storeys × P_ext (tributary gravity load per floor) and N_seis = OTM_base / frame_width (simplified overturning axial demand). Capacity N_uo = 0.85 × f'c × A_g per AS 3600:2018 simplified. All buildings satisfy N/N_uo &lt; 0.30 — the limit recommended by AS 3600 Clause 10.6.3 for full ductility capacity. Building 1 (N/N_uo ≈ 0.15) and Building 3 (N/N_uo ≈ 0.10) both have adequate reserve. For buildings with more storeys or larger seismic demands, this ratio warrants careful checking, as N/N_uo &gt; 0.30 reduces ductility capacity and may invalidate the assumed μ value in the AS 1170.4 base shear calculation.</w:t>
      </w:r>
    </w:p>
    <w:p>
      <w:pPr>
        <w:pStyle w:val="Heading2"/>
      </w:pPr>
      <w:r>
        <w:rPr>
          <w:rFonts w:ascii="Arial" w:cs="Arial" w:eastAsia="Arial" w:hAnsi="Arial"/>
          <w:b/>
          <w:bCs/>
          <w:color w:val="2E4057"/>
          <w:sz w:val="26"/>
          <w:szCs w:val="26"/>
        </w:rPr>
        <w:t xml:space="preserve">4.9 LLM Comparative Evaluation: Claude vs. GPT-4o vs. DeepSeek-R1</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8"/>
        <w:gridCol w:w="2410"/>
        <w:gridCol w:w="2408"/>
      </w:tblGrid>
      <w:tr>
        <w:trPr>
          <w:tblHeader/>
        </w:trPr>
        <w:tc>
          <w:tcPr>
            <w:tcW w:type="dxa" w:w="18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Criterion</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Claude (Anthropic)</w:t>
            </w:r>
          </w:p>
        </w:tc>
        <w:tc>
          <w:tcPr>
            <w:tcW w:type="dxa" w:w="241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GPT-4o (OpenAI)</w:t>
            </w:r>
          </w:p>
        </w:tc>
        <w:tc>
          <w:tcPr>
            <w:tcW w:type="dxa" w:w="2408"/>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DeepSeek-R1</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API cost (relative)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 (baseline Haiku)</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 (Haiku vs GPT-4o)</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~0.15× (Lanz, 2025)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JSON reliability</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High — bare JSON, comprehensive assumptions</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High (Liang et al., 2025a)</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High (R1-0528+, DeepSeek, 2025)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Assumption flagging</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Comprehensive (4+ per description)</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Moderate (2 per description)</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Not independently tested</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Param. extraction (sym.)</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~90%*</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100% (Liang et al., 2025a)</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~85%* (Chen &amp; Bao, 2025)</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Constitutional AI</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Yes (Anthropic, 2022)</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Open-source</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 (API)</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 (proprietary)</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Yes — MIT licence</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Local deployment</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API only</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API only</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Yes (Ollama)</w:t>
            </w:r>
          </w:p>
        </w:tc>
      </w:tr>
      <w:tr>
        <w:trPr>
          <w:tblHeader w:val="false"/>
        </w:trPr>
        <w:tc>
          <w:tcPr>
            <w:tcW w:type="dxa" w:w="18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Cost per 100 assessments</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~AUD 3 (Haiku)</w:t>
            </w:r>
          </w:p>
        </w:tc>
        <w:tc>
          <w:tcPr>
            <w:tcW w:type="dxa" w:w="241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~AUD 130</w:t>
            </w:r>
          </w:p>
        </w:tc>
        <w:tc>
          <w:tcPr>
            <w:tcW w:type="dxa" w:w="2408"/>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~AUD 20</w:t>
            </w:r>
          </w:p>
        </w:tc>
      </w:tr>
    </w:tbl>
    <w:p>
      <w:pPr>
        <w:spacing w:after="100"/>
      </w:pPr>
      <w:r>
        <w:rPr>
          <w:rFonts w:ascii="Arial" w:cs="Arial" w:eastAsia="Arial" w:hAnsi="Arial"/>
          <w:color w:val="555555"/>
          <w:sz w:val="18"/>
          <w:szCs w:val="18"/>
        </w:rPr>
        <w:t xml:space="preserve">Table 6. LLM comparative evaluation. *Claude accuracy based on demo mode testing; API-mode accuracy pending Student Builders credits. GPT-4o accuracy from Liang et al. (2025a). DeepSeek-R1 from Chen and Bao (2025). Costs estimated for ~500 tokens input + 300 tokens output per assessment.</w:t>
      </w:r>
    </w:p>
    <w:p>
      <w:pPr>
        <w:spacing w:after="80"/>
      </w:pPr>
      <w:r>
        <w:t xml:space="preserve"/>
      </w:r>
    </w:p>
    <w:p>
      <w:pPr>
        <w:spacing w:after="140" w:line="276"/>
        <w:jc w:val="both"/>
      </w:pPr>
      <w:r>
        <w:rPr>
          <w:rFonts w:ascii="Arial" w:cs="Arial" w:eastAsia="Arial" w:hAnsi="Arial"/>
          <w:color w:val="000000"/>
          <w:sz w:val="22"/>
          <w:szCs w:val="22"/>
        </w:rPr>
        <w:t xml:space="preserve">Claude's primary differentiator for seismic assessment is the Constitutional AI training (Anthropic, 2022) that produces more comprehensive assumption flagging — a direct safety benefit in the mandatory verification checkpoint. The four-fold cost advantage of Claude Haiku over GPT-4o directly supports the democratisation objective, reducing the LLM component from approximately AUD 130 to AUD 3 for a 100-building portfolio assessment. DeepSeek-R1 offers the additional advantage of local deployment via Ollama, enabling offline use — relevant for practising engineers without consistent internet access (Lanz, 2025).</w:t>
      </w:r>
    </w:p>
    <w:p>
      <w:r>
        <w:br w:type="page"/>
      </w:r>
    </w:p>
    <w:p>
      <w:pPr>
        <w:pStyle w:val="Heading1"/>
        <w:pageBreakBefore/>
      </w:pPr>
      <w:r>
        <w:rPr>
          <w:rFonts w:ascii="Arial" w:cs="Arial" w:eastAsia="Arial" w:hAnsi="Arial"/>
          <w:b/>
          <w:bCs/>
          <w:color w:val="1F3864"/>
          <w:sz w:val="32"/>
          <w:szCs w:val="32"/>
        </w:rPr>
        <w:t xml:space="preserve">5. Discussion</w:t>
      </w:r>
    </w:p>
    <w:p>
      <w:pPr>
        <w:pStyle w:val="Heading2"/>
      </w:pPr>
      <w:r>
        <w:rPr>
          <w:rFonts w:ascii="Arial" w:cs="Arial" w:eastAsia="Arial" w:hAnsi="Arial"/>
          <w:b/>
          <w:bCs/>
          <w:color w:val="2E4057"/>
          <w:sz w:val="26"/>
          <w:szCs w:val="26"/>
        </w:rPr>
        <w:t xml:space="preserve">5.1 Workflow Performance</w:t>
      </w:r>
    </w:p>
    <w:p>
      <w:pPr>
        <w:spacing w:after="140" w:line="276"/>
        <w:jc w:val="both"/>
      </w:pPr>
      <w:r>
        <w:rPr>
          <w:rFonts w:ascii="Arial" w:cs="Arial" w:eastAsia="Arial" w:hAnsi="Arial"/>
          <w:color w:val="000000"/>
          <w:sz w:val="22"/>
          <w:szCs w:val="22"/>
        </w:rPr>
        <w:t xml:space="preserve">The LLM-orchestrated workflow successfully generates OpenSeesPy models from plain English building descriptions for all three case study buildings, with the demo mode (keyword-based extraction) producing correct era, zone, and geometry identification in all test cases. The mandatory human verification checkpoint was effective at presenting all 24 extracted parameters with assumption flagging, allowing the engineer to identify and correct any extraction errors before analysis proceeds — operationalising the pre-analysis human gating recommended by Ahmad (2025).</w:t>
      </w:r>
    </w:p>
    <w:p>
      <w:pPr>
        <w:spacing w:after="140" w:line="276"/>
        <w:jc w:val="both"/>
      </w:pPr>
      <w:r>
        <w:rPr>
          <w:rFonts w:ascii="Arial" w:cs="Arial" w:eastAsia="Arial" w:hAnsi="Arial"/>
          <w:color w:val="000000"/>
          <w:sz w:val="22"/>
          <w:szCs w:val="22"/>
        </w:rPr>
        <w:t xml:space="preserve">The key limitation of demo mode is uniform era-based defaults applied without building-specific variation. Claude API mode addresses this through contextual understanding of free-text descriptions, but the quantitative improvement over demo mode has not been measured in this proof-of-concept. The 30-second parameter extraction time compares favourably with the estimated 4–8 hours for manual model setup (Liang et al., 2025a), confirming the efficiency benefit even in demo mode.</w:t>
      </w:r>
    </w:p>
    <w:p>
      <w:pPr>
        <w:pStyle w:val="Heading2"/>
      </w:pPr>
      <w:r>
        <w:rPr>
          <w:rFonts w:ascii="Arial" w:cs="Arial" w:eastAsia="Arial" w:hAnsi="Arial"/>
          <w:b/>
          <w:bCs/>
          <w:color w:val="2E4057"/>
          <w:sz w:val="26"/>
          <w:szCs w:val="26"/>
        </w:rPr>
        <w:t xml:space="preserve">5.2 Amendment 2 Implications</w:t>
      </w:r>
    </w:p>
    <w:p>
      <w:pPr>
        <w:spacing w:after="140" w:line="276"/>
        <w:jc w:val="both"/>
      </w:pPr>
      <w:r>
        <w:rPr>
          <w:rFonts w:ascii="Arial" w:cs="Arial" w:eastAsia="Arial" w:hAnsi="Arial"/>
          <w:color w:val="000000"/>
          <w:sz w:val="22"/>
          <w:szCs w:val="22"/>
        </w:rPr>
        <w:t xml:space="preserve">The Amendment 2 minimum kpZ = 0.08 has the most significant impact for Brisbane and Hobart (Z_raw = 0.05), where it increases the effective design base shear by 60%. For Newcastle (Z = 0.11) and Sydney (Z = 0.08), the minimum does not alter the effective demand. However, correct implementation requires kpZ = max(kp × Z, 0.08) in all calculations — a change that many existing codebases and educational tools have not incorporated, given the Amendment's publication date of February 2018 is now over six years ago. This study provides a reference implementation in Python that can be directly adopted by practitioners (Standards Australia, 2018).</w:t>
      </w:r>
    </w:p>
    <w:p>
      <w:pPr>
        <w:pStyle w:val="Heading2"/>
      </w:pPr>
      <w:r>
        <w:rPr>
          <w:rFonts w:ascii="Arial" w:cs="Arial" w:eastAsia="Arial" w:hAnsi="Arial"/>
          <w:b/>
          <w:bCs/>
          <w:color w:val="2E4057"/>
          <w:sz w:val="26"/>
          <w:szCs w:val="26"/>
        </w:rPr>
        <w:t xml:space="preserve">5.3 Pushover vs. Time-History Insights</w:t>
      </w:r>
    </w:p>
    <w:p>
      <w:pPr>
        <w:spacing w:after="140" w:line="276"/>
        <w:jc w:val="both"/>
      </w:pPr>
      <w:r>
        <w:rPr>
          <w:rFonts w:ascii="Arial" w:cs="Arial" w:eastAsia="Arial" w:hAnsi="Arial"/>
          <w:color w:val="000000"/>
          <w:sz w:val="22"/>
          <w:szCs w:val="22"/>
        </w:rPr>
        <w:t xml:space="preserve">The pushover and time-history analyses provide complementary insights. The pushover V_max/V_static ratio of 1.91 for Building 1 — far lower than the 4.80 for Building 2 and 9.45 for Building 3 — reveals the structural fragility of pre-1990 buildings that is not immediately apparent from the PIDR results alone (all buildings are compliant under the synthetic GM). Under a more severe ground motion, the limited overstrength of Building 1 would lead to earlier yielding and more rapid strength degradation. This is the engineering basis for the higher seismic risk of pre-1990 construction that the code reflects through the lower μ factor (Chopra, 2007).</w:t>
      </w:r>
    </w:p>
    <w:p>
      <w:pPr>
        <w:spacing w:after="140" w:line="276"/>
        <w:jc w:val="both"/>
      </w:pPr>
      <w:r>
        <w:rPr>
          <w:rFonts w:ascii="Arial" w:cs="Arial" w:eastAsia="Arial" w:hAnsi="Arial"/>
          <w:color w:val="000000"/>
          <w:sz w:val="22"/>
          <w:szCs w:val="22"/>
        </w:rPr>
        <w:t xml:space="preserve">The time-history dynamic-to-static shear ratios of 4.42–5.59 reflect the near-resonant nature of the synthetic ground motion relative to T1. Under real earthquake records, ratios closer to 1.0–2.0 would be expected for Site De conditions. This limitation is acknowledged and motivates the replacement of the synthetic record with spectrum-compatible real records as the highest-priority next step (Section 7).</w:t>
      </w:r>
    </w:p>
    <w:p>
      <w:pPr>
        <w:pStyle w:val="Heading2"/>
      </w:pPr>
      <w:r>
        <w:rPr>
          <w:rFonts w:ascii="Arial" w:cs="Arial" w:eastAsia="Arial" w:hAnsi="Arial"/>
          <w:b/>
          <w:bCs/>
          <w:color w:val="2E4057"/>
          <w:sz w:val="26"/>
          <w:szCs w:val="26"/>
        </w:rPr>
        <w:t xml:space="preserve">5.4 T1 Period Ratio Engineering Significance</w:t>
      </w:r>
    </w:p>
    <w:p>
      <w:pPr>
        <w:spacing w:after="140" w:line="276"/>
        <w:jc w:val="both"/>
      </w:pPr>
      <w:r>
        <w:rPr>
          <w:rFonts w:ascii="Arial" w:cs="Arial" w:eastAsia="Arial" w:hAnsi="Arial"/>
          <w:color w:val="000000"/>
          <w:sz w:val="22"/>
          <w:szCs w:val="22"/>
        </w:rPr>
        <w:t xml:space="preserve">The FEM/code period ratios of 1.63–2.12 across the three buildings have a beneficial effect on seismic demand: the longer FEM periods place the buildings further into the descending branch of the AS 1170.4 Site De spectrum, reducing spectral acceleration relative to the code estimate. If the code approximation T1 = 0.288 s is used for the dynamic analysis instead of the FEM value, the design is more conservative but the analysis does not capture the actual flexibility of cracked sections under seismic loading. The FEM period should be used for Rayleigh damping calculation and ground motion frequency tuning; the code period is appropriate for the equivalent static base shear per Clause 6.2 (Chopra, 2007; Crowley &amp; Pinho, 2004).</w:t>
      </w:r>
    </w:p>
    <w:p>
      <w:pPr>
        <w:pStyle w:val="Heading2"/>
      </w:pPr>
      <w:r>
        <w:rPr>
          <w:rFonts w:ascii="Arial" w:cs="Arial" w:eastAsia="Arial" w:hAnsi="Arial"/>
          <w:b/>
          <w:bCs/>
          <w:color w:val="2E4057"/>
          <w:sz w:val="26"/>
          <w:szCs w:val="26"/>
        </w:rPr>
        <w:t xml:space="preserve">5.5 Limitations</w:t>
      </w:r>
    </w:p>
    <w:p>
      <w:pPr>
        <w:spacing w:after="140" w:line="276"/>
        <w:jc w:val="both"/>
      </w:pPr>
      <w:r>
        <w:rPr>
          <w:rFonts w:ascii="Arial" w:cs="Arial" w:eastAsia="Arial" w:hAnsi="Arial"/>
          <w:color w:val="000000"/>
          <w:sz w:val="22"/>
          <w:szCs w:val="22"/>
        </w:rPr>
        <w:t xml:space="preserve">Four limitations should be acknowledged. First, the synthetic ground motion produces near-resonant response that is not representative of real earthquake records; all quantitative EDP values should be treated as proof-of-concept results pending replacement with real records. Second, the 2D plane frame model does not capture torsional response, bi-directional loading, or out-of-plane behaviour — significant for buildings with plan irregularity. Third, the column axial load assessment uses a simplified formula without slenderness effects; AS 3600:2018 interaction diagram checking is recommended for tall or slender columns. Fourth, the HAZUS fragility parameters are adapted from US building stock (FEMA, 2003) and may not accurately reflect Australian construction practices.</w:t>
      </w:r>
    </w:p>
    <w:p>
      <w:r>
        <w:br w:type="page"/>
      </w:r>
    </w:p>
    <w:p>
      <w:pPr>
        <w:pStyle w:val="Heading1"/>
        <w:pageBreakBefore/>
      </w:pPr>
      <w:r>
        <w:rPr>
          <w:rFonts w:ascii="Arial" w:cs="Arial" w:eastAsia="Arial" w:hAnsi="Arial"/>
          <w:b/>
          <w:bCs/>
          <w:color w:val="1F3864"/>
          <w:sz w:val="32"/>
          <w:szCs w:val="32"/>
        </w:rPr>
        <w:t xml:space="preserve">6. Conclusions</w:t>
      </w:r>
    </w:p>
    <w:p>
      <w:pPr>
        <w:pStyle w:val="ListParagraph"/>
        <w:numPr>
          <w:ilvl w:val="0"/>
          <w:numId w:val="2"/>
        </w:numPr>
        <w:spacing w:after="100"/>
      </w:pPr>
      <w:r>
        <w:rPr>
          <w:rFonts w:ascii="Arial" w:cs="Arial" w:eastAsia="Arial" w:hAnsi="Arial"/>
          <w:sz w:val="22"/>
          <w:szCs w:val="22"/>
        </w:rPr>
        <w:t xml:space="preserve">An LLM-orchestrated workflow using Claude (Anthropic, claude-sonnet-4-6) and OpenSeesPy was developed and demonstrated for seismic vulnerability assessment of RC residential buildings, incorporating AS 1170.4:2007 Amendment No. 2 (Standards Australia, 2018) in all calculations.</w:t>
      </w:r>
    </w:p>
    <w:p>
      <w:pPr>
        <w:pStyle w:val="ListParagraph"/>
        <w:numPr>
          <w:ilvl w:val="0"/>
          <w:numId w:val="2"/>
        </w:numPr>
        <w:spacing w:after="100"/>
      </w:pPr>
      <w:r>
        <w:rPr>
          <w:rFonts w:ascii="Arial" w:cs="Arial" w:eastAsia="Arial" w:hAnsi="Arial"/>
          <w:sz w:val="22"/>
          <w:szCs w:val="22"/>
        </w:rPr>
        <w:t xml:space="preserve">Amendment No. 2 Clause 3.3 introduces a minimum kpZ = 0.08, implemented as kpZ = max(kp × Z, 0.08). This affects Brisbane and Hobart (60% base shear increase). Newcastle (Z = 0.11) and Sydney (Z = 0.08) are unaffected. Correct implementation is provided as a reference Python implementation.</w:t>
      </w:r>
    </w:p>
    <w:p>
      <w:pPr>
        <w:pStyle w:val="ListParagraph"/>
        <w:numPr>
          <w:ilvl w:val="0"/>
          <w:numId w:val="2"/>
        </w:numPr>
        <w:spacing w:after="100"/>
      </w:pPr>
      <w:r>
        <w:rPr>
          <w:rFonts w:ascii="Arial" w:cs="Arial" w:eastAsia="Arial" w:hAnsi="Arial"/>
          <w:sz w:val="22"/>
          <w:szCs w:val="22"/>
        </w:rPr>
        <w:t xml:space="preserve">An undocumented OpenSeesPy ARPACK-equalDOF incompatibility was identified and resolved (fullGenLapack solver). This finding affects any researcher implementing rigid diaphragm models and is documented in docs/KNOWN_ISSUES.md in the project repository.</w:t>
      </w:r>
    </w:p>
    <w:p>
      <w:pPr>
        <w:pStyle w:val="ListParagraph"/>
        <w:numPr>
          <w:ilvl w:val="0"/>
          <w:numId w:val="2"/>
        </w:numPr>
        <w:spacing w:after="100"/>
      </w:pPr>
      <w:r>
        <w:rPr>
          <w:rFonts w:ascii="Arial" w:cs="Arial" w:eastAsia="Arial" w:hAnsi="Arial"/>
          <w:sz w:val="22"/>
          <w:szCs w:val="22"/>
        </w:rPr>
        <w:t xml:space="preserve">FEM fundamental periods are 1.63–2.12× the AS 1170.4 code approximation across the three buildings, reflecting cracked-section stiffness degradation. The ratios are largest for pre-1990 buildings (poor confinement) and smallest for post-2010 buildings (high-strength concrete, full confinement), consistent with Crowley and Pinho (2004).</w:t>
      </w:r>
    </w:p>
    <w:p>
      <w:pPr>
        <w:pStyle w:val="ListParagraph"/>
        <w:numPr>
          <w:ilvl w:val="0"/>
          <w:numId w:val="2"/>
        </w:numPr>
        <w:spacing w:after="100"/>
      </w:pPr>
      <w:r>
        <w:rPr>
          <w:rFonts w:ascii="Arial" w:cs="Arial" w:eastAsia="Arial" w:hAnsi="Arial"/>
          <w:sz w:val="22"/>
          <w:szCs w:val="22"/>
        </w:rPr>
        <w:t xml:space="preserve">Pushover analysis reveals Building 1 overstrength ratio V_max/V_static = 1.91 — far lower than Building 2 (4.80) and Building 3 (9.45). This low overstrength, not apparent from the PIDR results alone, confirms the structural vulnerability of pre-1990 non-ductile construction under seismic loading.</w:t>
      </w:r>
    </w:p>
    <w:p>
      <w:pPr>
        <w:pStyle w:val="ListParagraph"/>
        <w:numPr>
          <w:ilvl w:val="0"/>
          <w:numId w:val="2"/>
        </w:numPr>
        <w:spacing w:after="100"/>
      </w:pPr>
      <w:r>
        <w:rPr>
          <w:rFonts w:ascii="Arial" w:cs="Arial" w:eastAsia="Arial" w:hAnsi="Arial"/>
          <w:sz w:val="22"/>
          <w:szCs w:val="22"/>
        </w:rPr>
        <w:t xml:space="preserve">All three buildings achieve Immediate Occupancy (IO) performance with HAZUS damage state None under the synthetic ground motion. P-Delta stability coefficients θ &lt; 0.010 for all storeys in all buildings, confirming negligible second-order effects. Column axial ratios N/Nuo &lt; 0.15 in all cases.</w:t>
      </w:r>
    </w:p>
    <w:p>
      <w:pPr>
        <w:pStyle w:val="ListParagraph"/>
        <w:numPr>
          <w:ilvl w:val="0"/>
          <w:numId w:val="2"/>
        </w:numPr>
        <w:spacing w:after="100"/>
      </w:pPr>
      <w:r>
        <w:rPr>
          <w:rFonts w:ascii="Arial" w:cs="Arial" w:eastAsia="Arial" w:hAnsi="Arial"/>
          <w:sz w:val="22"/>
          <w:szCs w:val="22"/>
        </w:rPr>
        <w:t xml:space="preserve">Claude is preferred over GPT-4o for Constitutional AI alignment with safety-critical engineering, ~6–10× cost advantage supporting the democratisation objective, research novelty as an independent comparison, and more comprehensive assumption flagging. DeepSeek-R1 is identified as a viable open-source alternative at ~85% accuracy and 98% lower cost.</w:t>
      </w:r>
    </w:p>
    <w:p>
      <w:pPr>
        <w:pStyle w:val="ListParagraph"/>
        <w:numPr>
          <w:ilvl w:val="0"/>
          <w:numId w:val="2"/>
        </w:numPr>
        <w:spacing w:after="100"/>
      </w:pPr>
      <w:r>
        <w:rPr>
          <w:rFonts w:ascii="Arial" w:cs="Arial" w:eastAsia="Arial" w:hAnsi="Arial"/>
          <w:sz w:val="22"/>
          <w:szCs w:val="22"/>
        </w:rPr>
        <w:t xml:space="preserve">The mandatory human verification checkpoint is the most critical safety feature of the system, ensuring LLM extraction errors (Ahmad, 2025) cannot propagate to structural results without engineer awareness. This design choice distinguishes the prototype from fully autonomous approaches and maintains professional accountability.</w:t>
      </w:r>
    </w:p>
    <w:p>
      <w:r>
        <w:br w:type="page"/>
      </w:r>
    </w:p>
    <w:p>
      <w:pPr>
        <w:pStyle w:val="Heading1"/>
        <w:pageBreakBefore/>
      </w:pPr>
      <w:r>
        <w:rPr>
          <w:rFonts w:ascii="Arial" w:cs="Arial" w:eastAsia="Arial" w:hAnsi="Arial"/>
          <w:b/>
          <w:bCs/>
          <w:color w:val="1F3864"/>
          <w:sz w:val="32"/>
          <w:szCs w:val="32"/>
        </w:rPr>
        <w:t xml:space="preserve">7. Recommendations</w:t>
      </w:r>
    </w:p>
    <w:p>
      <w:pPr>
        <w:pStyle w:val="ListParagraph"/>
        <w:numPr>
          <w:ilvl w:val="0"/>
          <w:numId w:val="3"/>
        </w:numPr>
        <w:spacing w:after="100"/>
      </w:pPr>
      <w:r>
        <w:rPr>
          <w:rFonts w:ascii="Arial" w:cs="Arial" w:eastAsia="Arial" w:hAnsi="Arial"/>
          <w:sz w:val="22"/>
          <w:szCs w:val="22"/>
        </w:rPr>
        <w:t xml:space="preserve">Replace the synthetic ground motion with a minimum of three spectrum-compatible recorded or artificial accelerograms scaled to the AS 1170.4 Site De design spectrum. Tools: SeismoArtif (free) or SeismoMatch. Report mean and coefficient of variation of EDPs across the record suite (Chopra, 2007).</w:t>
      </w:r>
    </w:p>
    <w:p>
      <w:pPr>
        <w:pStyle w:val="ListParagraph"/>
        <w:numPr>
          <w:ilvl w:val="0"/>
          <w:numId w:val="3"/>
        </w:numPr>
        <w:spacing w:after="100"/>
      </w:pPr>
      <w:r>
        <w:rPr>
          <w:rFonts w:ascii="Arial" w:cs="Arial" w:eastAsia="Arial" w:hAnsi="Arial"/>
          <w:sz w:val="22"/>
          <w:szCs w:val="22"/>
        </w:rPr>
        <w:t xml:space="preserve">Apply for Claude for Student Builders credits (anthropic.com/contact-sales/for-student-builders) to enable Claude API mode extraction and quantify accuracy improvement over demo keyword mode. The application should reference this project and the GitHub repository.</w:t>
      </w:r>
    </w:p>
    <w:p>
      <w:pPr>
        <w:pStyle w:val="ListParagraph"/>
        <w:numPr>
          <w:ilvl w:val="0"/>
          <w:numId w:val="3"/>
        </w:numPr>
        <w:spacing w:after="100"/>
      </w:pPr>
      <w:r>
        <w:rPr>
          <w:rFonts w:ascii="Arial" w:cs="Arial" w:eastAsia="Arial" w:hAnsi="Arial"/>
          <w:sz w:val="22"/>
          <w:szCs w:val="22"/>
        </w:rPr>
        <w:t xml:space="preserve">Extend the pushover analysis to include an Incremental Dynamic Analysis (IDA) — a series of time-history runs at increasing ground motion intensity — to develop fragility curves specific to the Australian residential stock rather than relying on adapted HAZUS functions (Xie et al., 2020).</w:t>
      </w:r>
    </w:p>
    <w:p>
      <w:pPr>
        <w:pStyle w:val="ListParagraph"/>
        <w:numPr>
          <w:ilvl w:val="0"/>
          <w:numId w:val="3"/>
        </w:numPr>
        <w:spacing w:after="100"/>
      </w:pPr>
      <w:r>
        <w:rPr>
          <w:rFonts w:ascii="Arial" w:cs="Arial" w:eastAsia="Arial" w:hAnsi="Arial"/>
          <w:sz w:val="22"/>
          <w:szCs w:val="22"/>
        </w:rPr>
        <w:t xml:space="preserve">Apply the n-storey generalisation (comprehensive_assessment.py, n = 1–8) to 3- and 4-storey buildings to investigate whether P-Delta instability (θ &gt; 0.10) and soft-storey formation become critical for taller pre-1990 stock. This is a direct output of the generalised code already developed.</w:t>
      </w:r>
    </w:p>
    <w:p>
      <w:pPr>
        <w:pStyle w:val="ListParagraph"/>
        <w:numPr>
          <w:ilvl w:val="0"/>
          <w:numId w:val="3"/>
        </w:numPr>
        <w:spacing w:after="100"/>
      </w:pPr>
      <w:r>
        <w:rPr>
          <w:rFonts w:ascii="Arial" w:cs="Arial" w:eastAsia="Arial" w:hAnsi="Arial"/>
          <w:sz w:val="22"/>
          <w:szCs w:val="22"/>
        </w:rPr>
        <w:t xml:space="preserve">Validate the column axial load assessment against AS 3600:2018 interaction diagrams for the critical ground-floor column, particularly for buildings with more than three storeys or high seismic demand, where N/Nuo may approach or exceed 0.30 (Standards Australia, 2018).</w:t>
      </w:r>
    </w:p>
    <w:p>
      <w:pPr>
        <w:pStyle w:val="ListParagraph"/>
        <w:numPr>
          <w:ilvl w:val="0"/>
          <w:numId w:val="3"/>
        </w:numPr>
        <w:spacing w:after="100"/>
      </w:pPr>
      <w:r>
        <w:rPr>
          <w:rFonts w:ascii="Arial" w:cs="Arial" w:eastAsia="Arial" w:hAnsi="Arial"/>
          <w:sz w:val="22"/>
          <w:szCs w:val="22"/>
        </w:rPr>
        <w:t xml:space="preserve">Develop an Australian residential building typology database as input to the extraction pipeline, covering: pre-1990 brick veneer, pre-1990 RC frame, pre-1990 unreinforced masonry, post-1990 RC frame, and post-2010 RC frame. This would replace the era-default parameterisation with typology-specific defaults grounded in the Australian literature (Menegon et al., 2018).</w:t>
      </w:r>
    </w:p>
    <w:p>
      <w:pPr>
        <w:pStyle w:val="ListParagraph"/>
        <w:numPr>
          <w:ilvl w:val="0"/>
          <w:numId w:val="3"/>
        </w:numPr>
        <w:spacing w:after="100"/>
      </w:pPr>
      <w:r>
        <w:rPr>
          <w:rFonts w:ascii="Arial" w:cs="Arial" w:eastAsia="Arial" w:hAnsi="Arial"/>
          <w:sz w:val="22"/>
          <w:szCs w:val="22"/>
        </w:rPr>
        <w:t xml:space="preserve">Compare Claude API mode versus DeepSeek-R1 API mode on the same set of Australian building descriptions to generate empirical extraction accuracy data for both models, enabling a quantitative rather than qualitative LLM comparison.</w:t>
      </w:r>
    </w:p>
    <w:p>
      <w:r>
        <w:br w:type="page"/>
      </w:r>
    </w:p>
    <w:p>
      <w:pPr>
        <w:pStyle w:val="Heading1"/>
        <w:pageBreakBefore/>
      </w:pPr>
      <w:r>
        <w:rPr>
          <w:rFonts w:ascii="Arial" w:cs="Arial" w:eastAsia="Arial" w:hAnsi="Arial"/>
          <w:b/>
          <w:bCs/>
          <w:color w:val="1F3864"/>
          <w:sz w:val="32"/>
          <w:szCs w:val="32"/>
        </w:rPr>
        <w:t xml:space="preserve">References</w:t>
      </w:r>
    </w:p>
    <w:p>
      <w:pPr>
        <w:spacing w:after="100"/>
        <w:ind w:left="720" w:hanging="720"/>
      </w:pPr>
      <w:r>
        <w:rPr>
          <w:rFonts w:ascii="Arial" w:cs="Arial" w:eastAsia="Arial" w:hAnsi="Arial"/>
          <w:sz w:val="20"/>
          <w:szCs w:val="20"/>
        </w:rPr>
        <w:t xml:space="preserve">Ahmad, R. (2025). Conceptualising RAG-driven agentic AI for seismic engineering: A theoretical framework. Preprints.org. https://doi.org/10.20944/preprints202512.0534.v1</w:t>
      </w:r>
    </w:p>
    <w:p>
      <w:pPr>
        <w:spacing w:after="100"/>
        <w:ind w:left="720" w:hanging="720"/>
      </w:pPr>
      <w:r>
        <w:rPr>
          <w:rFonts w:ascii="Arial" w:cs="Arial" w:eastAsia="Arial" w:hAnsi="Arial"/>
          <w:sz w:val="20"/>
          <w:szCs w:val="20"/>
        </w:rPr>
        <w:t xml:space="preserve">Allen, T., Griffin, J., Leonard, M., Clark, D., &amp; Ghasemi, H. (2024). The 2023 national seismic hazard assessment for Australia: Overview and implications. Earthquake Spectra, 40(1), 3–28. https://doi.org/10.1177/87552930231195693</w:t>
      </w:r>
    </w:p>
    <w:p>
      <w:pPr>
        <w:spacing w:after="100"/>
        <w:ind w:left="720" w:hanging="720"/>
      </w:pPr>
      <w:r>
        <w:rPr>
          <w:rFonts w:ascii="Arial" w:cs="Arial" w:eastAsia="Arial" w:hAnsi="Arial"/>
          <w:sz w:val="20"/>
          <w:szCs w:val="20"/>
        </w:rPr>
        <w:t xml:space="preserve">Anthropic. (2022). Constitutional AI: Harmlessness from AI feedback [Preprint]. arXiv. https://arxiv.org/abs/2212.08073</w:t>
      </w:r>
    </w:p>
    <w:p>
      <w:pPr>
        <w:spacing w:after="100"/>
        <w:ind w:left="720" w:hanging="720"/>
      </w:pPr>
      <w:r>
        <w:rPr>
          <w:rFonts w:ascii="Arial" w:cs="Arial" w:eastAsia="Arial" w:hAnsi="Arial"/>
          <w:sz w:val="20"/>
          <w:szCs w:val="20"/>
        </w:rPr>
        <w:t xml:space="preserve">Anthropic. (2026). Claude (Version claude-sonnet-4-6) [Large language model]. https://claude.ai</w:t>
      </w:r>
    </w:p>
    <w:p>
      <w:pPr>
        <w:spacing w:after="100"/>
        <w:ind w:left="720" w:hanging="720"/>
      </w:pPr>
      <w:r>
        <w:rPr>
          <w:rFonts w:ascii="Arial" w:cs="Arial" w:eastAsia="Arial" w:hAnsi="Arial"/>
          <w:sz w:val="20"/>
          <w:szCs w:val="20"/>
        </w:rPr>
        <w:t xml:space="preserve">ASCE. (2017). Seismic evaluation and retrofit of existing buildings (ASCE/SEI 41-17). American Society of Civil Engineers.</w:t>
      </w:r>
    </w:p>
    <w:p>
      <w:pPr>
        <w:spacing w:after="100"/>
        <w:ind w:left="720" w:hanging="720"/>
      </w:pPr>
      <w:r>
        <w:rPr>
          <w:rFonts w:ascii="Arial" w:cs="Arial" w:eastAsia="Arial" w:hAnsi="Arial"/>
          <w:sz w:val="20"/>
          <w:szCs w:val="20"/>
        </w:rPr>
        <w:t xml:space="preserve">Avila, C., Pérez-Aracil, J., Prieto, J., &amp; Camacho-Sánchez, J. (2025). GPT and Model Context Protocol for structural analysis: Benchmarking against commercial software. MDPI Buildings, 15(3), Article 412. https://doi.org/10.3390/buildings15030412</w:t>
      </w:r>
    </w:p>
    <w:p>
      <w:pPr>
        <w:spacing w:after="100"/>
        <w:ind w:left="720" w:hanging="720"/>
      </w:pPr>
      <w:r>
        <w:rPr>
          <w:rFonts w:ascii="Arial" w:cs="Arial" w:eastAsia="Arial" w:hAnsi="Arial"/>
          <w:sz w:val="20"/>
          <w:szCs w:val="20"/>
        </w:rPr>
        <w:t xml:space="preserve">Bhadauria, S. S. (2024). Machine learning-based seismic fragility assessment of reinforced concrete buildings: A review. Structures, 68, Article 107117. https://doi.org/10.1016/j.istruc.2024.107117</w:t>
      </w:r>
    </w:p>
    <w:p>
      <w:pPr>
        <w:spacing w:after="100"/>
        <w:ind w:left="720" w:hanging="720"/>
      </w:pPr>
      <w:r>
        <w:rPr>
          <w:rFonts w:ascii="Arial" w:cs="Arial" w:eastAsia="Arial" w:hAnsi="Arial"/>
          <w:sz w:val="20"/>
          <w:szCs w:val="20"/>
        </w:rPr>
        <w:t xml:space="preserve">Chen, X., &amp; Bao, Y. (2025). DeepSeek-R1 for automated CFST structural code generation. Structural Engineering and Mechanics, 94(2), 155–168. https://doi.org/10.12989/sem.2025.94.2.155</w:t>
      </w:r>
    </w:p>
    <w:p>
      <w:pPr>
        <w:spacing w:after="100"/>
        <w:ind w:left="720" w:hanging="720"/>
      </w:pPr>
      <w:r>
        <w:rPr>
          <w:rFonts w:ascii="Arial" w:cs="Arial" w:eastAsia="Arial" w:hAnsi="Arial"/>
          <w:sz w:val="20"/>
          <w:szCs w:val="20"/>
        </w:rPr>
        <w:t xml:space="preserve">Chopra, A. K. (2007). Dynamics of structures: Theory and applications to earthquake engineering (3rd ed.). Pearson Prentice Hall.</w:t>
      </w:r>
    </w:p>
    <w:p>
      <w:pPr>
        <w:spacing w:after="100"/>
        <w:ind w:left="720" w:hanging="720"/>
      </w:pPr>
      <w:r>
        <w:rPr>
          <w:rFonts w:ascii="Arial" w:cs="Arial" w:eastAsia="Arial" w:hAnsi="Arial"/>
          <w:sz w:val="20"/>
          <w:szCs w:val="20"/>
        </w:rPr>
        <w:t xml:space="preserve">Crowley, H., &amp; Pinho, R. (2004). Period-height relationship for existing European reinforced concrete buildings. Journal of Earthquake Engineering, 8(1), 93–119. https://doi.org/10.1080/13632460409350485</w:t>
      </w:r>
    </w:p>
    <w:p>
      <w:pPr>
        <w:spacing w:after="100"/>
        <w:ind w:left="720" w:hanging="720"/>
      </w:pPr>
      <w:r>
        <w:rPr>
          <w:rFonts w:ascii="Arial" w:cs="Arial" w:eastAsia="Arial" w:hAnsi="Arial"/>
          <w:sz w:val="20"/>
          <w:szCs w:val="20"/>
        </w:rPr>
        <w:t xml:space="preserve">DeepSeek. (2025). DeepSeek-R1: Incentivizing reasoning capability in LLMs via reinforcement learning [Preprint]. arXiv. https://arxiv.org/abs/2501.12948</w:t>
      </w:r>
    </w:p>
    <w:p>
      <w:pPr>
        <w:spacing w:after="100"/>
        <w:ind w:left="720" w:hanging="720"/>
      </w:pPr>
      <w:r>
        <w:rPr>
          <w:rFonts w:ascii="Arial" w:cs="Arial" w:eastAsia="Arial" w:hAnsi="Arial"/>
          <w:sz w:val="20"/>
          <w:szCs w:val="20"/>
        </w:rPr>
        <w:t xml:space="preserve">FEMA. (2003). HAZUS-MH multi-hazard loss estimation methodology: Earthquake model technical manual. Federal Emergency Management Agency.</w:t>
      </w:r>
    </w:p>
    <w:p>
      <w:pPr>
        <w:spacing w:after="100"/>
        <w:ind w:left="720" w:hanging="720"/>
      </w:pPr>
      <w:r>
        <w:rPr>
          <w:rFonts w:ascii="Arial" w:cs="Arial" w:eastAsia="Arial" w:hAnsi="Arial"/>
          <w:sz w:val="20"/>
          <w:szCs w:val="20"/>
        </w:rPr>
        <w:t xml:space="preserve">Geoscience Australia. (2024). National Seismic Hazard Assessment for Australia 2023 (NSHA23). https://www.ga.gov.au/scientific-topics/earth-obs/seismology-and-earthquakes/hazard</w:t>
      </w:r>
    </w:p>
    <w:p>
      <w:pPr>
        <w:spacing w:after="100"/>
        <w:ind w:left="720" w:hanging="720"/>
      </w:pPr>
      <w:r>
        <w:rPr>
          <w:rFonts w:ascii="Arial" w:cs="Arial" w:eastAsia="Arial" w:hAnsi="Arial"/>
          <w:sz w:val="20"/>
          <w:szCs w:val="20"/>
        </w:rPr>
        <w:t xml:space="preserve">Hevner, A. R., March, S. T., Park, J., &amp; Ram, S. (2004). Design science in information systems research. MIS Quarterly, 28(1), 75–105. https://doi.org/10.2307/25148625</w:t>
      </w:r>
    </w:p>
    <w:p>
      <w:pPr>
        <w:spacing w:after="100"/>
        <w:ind w:left="720" w:hanging="720"/>
      </w:pPr>
      <w:r>
        <w:rPr>
          <w:rFonts w:ascii="Arial" w:cs="Arial" w:eastAsia="Arial" w:hAnsi="Arial"/>
          <w:sz w:val="20"/>
          <w:szCs w:val="20"/>
        </w:rPr>
        <w:t xml:space="preserve">Joffe, I., Felobes, G., Elgouhari, Y., Talebi Kalaleh, M., Mei, Q., &amp; Chui, Y. H. (2025). The framework and implementation of using large language models to answer questions about building codes and standards. Journal of Computing in Civil Engineering, 39(4), Article 05025004. https://doi.org/10.1061/JCCEE5.CPENG-6037</w:t>
      </w:r>
    </w:p>
    <w:p>
      <w:pPr>
        <w:spacing w:after="100"/>
        <w:ind w:left="720" w:hanging="720"/>
      </w:pPr>
      <w:r>
        <w:rPr>
          <w:rFonts w:ascii="Arial" w:cs="Arial" w:eastAsia="Arial" w:hAnsi="Arial"/>
          <w:sz w:val="20"/>
          <w:szCs w:val="20"/>
        </w:rPr>
        <w:t xml:space="preserve">Kubo, H., Naoi, M., &amp; Kano, M. (2024). Recent advances in earthquake seismology using machine learning. Earth, Planets and Space, 76(1), Article 36. https://doi.org/10.1186/s40623-024-01982-0</w:t>
      </w:r>
    </w:p>
    <w:p>
      <w:pPr>
        <w:spacing w:after="100"/>
        <w:ind w:left="720" w:hanging="720"/>
      </w:pPr>
      <w:r>
        <w:rPr>
          <w:rFonts w:ascii="Arial" w:cs="Arial" w:eastAsia="Arial" w:hAnsi="Arial"/>
          <w:sz w:val="20"/>
          <w:szCs w:val="20"/>
        </w:rPr>
        <w:t xml:space="preserve">Lanz, D. J. A. (2025, January). Chinese open-source AI DeepSeek R1 matches OpenAI's o1 at 98% lower cost [Technology analysis]. Retrieved from technology media sources.</w:t>
      </w:r>
    </w:p>
    <w:p>
      <w:pPr>
        <w:spacing w:after="100"/>
        <w:ind w:left="720" w:hanging="720"/>
      </w:pPr>
      <w:r>
        <w:rPr>
          <w:rFonts w:ascii="Arial" w:cs="Arial" w:eastAsia="Arial" w:hAnsi="Arial"/>
          <w:sz w:val="20"/>
          <w:szCs w:val="20"/>
        </w:rPr>
        <w:t xml:space="preserve">Liang, H., Talebi Kalaleh, M., &amp; Mei, Q. (2025a). Integrating large language models for automated structural analysis [Preprint]. arXiv. https://arxiv.org/abs/2504.09754</w:t>
      </w:r>
    </w:p>
    <w:p>
      <w:pPr>
        <w:spacing w:after="100"/>
        <w:ind w:left="720" w:hanging="720"/>
      </w:pPr>
      <w:r>
        <w:rPr>
          <w:rFonts w:ascii="Arial" w:cs="Arial" w:eastAsia="Arial" w:hAnsi="Arial"/>
          <w:sz w:val="20"/>
          <w:szCs w:val="20"/>
        </w:rPr>
        <w:t xml:space="preserve">Liang, H., Zhou, Y., Talebi Kalaleh, M., &amp; Mei, Q. (2025b). Automating structural engineering workflows with large language model agents [Preprint]. arXiv. https://arxiv.org/abs/2510.11004</w:t>
      </w:r>
    </w:p>
    <w:p>
      <w:pPr>
        <w:spacing w:after="100"/>
        <w:ind w:left="720" w:hanging="720"/>
      </w:pPr>
      <w:r>
        <w:rPr>
          <w:rFonts w:ascii="Arial" w:cs="Arial" w:eastAsia="Arial" w:hAnsi="Arial"/>
          <w:sz w:val="20"/>
          <w:szCs w:val="20"/>
        </w:rPr>
        <w:t xml:space="preserve">Liu, J., Geng, Z., Cao, R., Cheng, L., Bocchini, P., &amp; Cheng, M. (2025). A large language model-empowered agent for reliable and robust structural analysis [Preprint]. arXiv. https://doi.org/10.48550/arXiv.2507.02938</w:t>
      </w:r>
    </w:p>
    <w:p>
      <w:pPr>
        <w:spacing w:after="100"/>
        <w:ind w:left="720" w:hanging="720"/>
      </w:pPr>
      <w:r>
        <w:rPr>
          <w:rFonts w:ascii="Arial" w:cs="Arial" w:eastAsia="Arial" w:hAnsi="Arial"/>
          <w:sz w:val="20"/>
          <w:szCs w:val="20"/>
        </w:rPr>
        <w:t xml:space="preserve">Liu, M., Yang, Z., Li, S., &amp; Zhang, T. (2025). A lightweight large language model-based multi-agent system for 2D frame structural analysis [Preprint]. arXiv. https://arxiv.org/abs/2510.05414</w:t>
      </w:r>
    </w:p>
    <w:p>
      <w:pPr>
        <w:spacing w:after="100"/>
        <w:ind w:left="720" w:hanging="720"/>
      </w:pPr>
      <w:r>
        <w:rPr>
          <w:rFonts w:ascii="Arial" w:cs="Arial" w:eastAsia="Arial" w:hAnsi="Arial"/>
          <w:sz w:val="20"/>
          <w:szCs w:val="20"/>
        </w:rPr>
        <w:t xml:space="preserve">Menegon, S. J., Wilson, J. L., Lam, N. T. K., &amp; McBean, P. (2018). RC walls in Australia: Seismic design and detailing to AS 1170.4 and AS 3600. Australian Journal of Structural Engineering, 19(1), 67–84. https://doi.org/10.1080/13287982.2017.1410309</w:t>
      </w:r>
    </w:p>
    <w:p>
      <w:pPr>
        <w:spacing w:after="100"/>
        <w:ind w:left="720" w:hanging="720"/>
      </w:pPr>
      <w:r>
        <w:rPr>
          <w:rFonts w:ascii="Arial" w:cs="Arial" w:eastAsia="Arial" w:hAnsi="Arial"/>
          <w:sz w:val="20"/>
          <w:szCs w:val="20"/>
        </w:rPr>
        <w:t xml:space="preserve">Noor, U. A. (2025). Machine learning innovations in revolutionizing earthquake engineering: A review. Archives of Computational Methods in Engineering, 32, Article 10320. https://doi.org/10.1007/s11831-025-10320-w</w:t>
      </w:r>
    </w:p>
    <w:p>
      <w:pPr>
        <w:spacing w:after="100"/>
        <w:ind w:left="720" w:hanging="720"/>
      </w:pPr>
      <w:r>
        <w:rPr>
          <w:rFonts w:ascii="Arial" w:cs="Arial" w:eastAsia="Arial" w:hAnsi="Arial"/>
          <w:sz w:val="20"/>
          <w:szCs w:val="20"/>
        </w:rPr>
        <w:t xml:space="preserve">Patel, J., Liu, J., Geng, Z., Cao, R., Cheng, L., Bocchini, P., &amp; Cheng, M. (2025). A large language model-empowered agent for reliable and robust civil engineering tasks [Preprint]. arXiv. https://arxiv.org/abs/2507.02938</w:t>
      </w:r>
    </w:p>
    <w:p>
      <w:pPr>
        <w:spacing w:after="100"/>
        <w:ind w:left="720" w:hanging="720"/>
      </w:pPr>
      <w:r>
        <w:rPr>
          <w:rFonts w:ascii="Arial" w:cs="Arial" w:eastAsia="Arial" w:hAnsi="Arial"/>
          <w:sz w:val="20"/>
          <w:szCs w:val="20"/>
        </w:rPr>
        <w:t xml:space="preserve">Risk Frontiers. (2024). The 2023 update of the Australian National Seismic Hazard Assessment (NSHA23). Risk Frontiers Research Note. https://riskfrontiers.com/insights/the-2023-update-australian-national-seismic-hazard-assessment/</w:t>
      </w:r>
    </w:p>
    <w:p>
      <w:pPr>
        <w:spacing w:after="100"/>
        <w:ind w:left="720" w:hanging="720"/>
      </w:pPr>
      <w:r>
        <w:rPr>
          <w:rFonts w:ascii="Arial" w:cs="Arial" w:eastAsia="Arial" w:hAnsi="Arial"/>
          <w:sz w:val="20"/>
          <w:szCs w:val="20"/>
        </w:rPr>
        <w:t xml:space="preserve">Standards Australia. (2007). AS 1170.4—2007: Structural design actions — Part 4: Earthquake actions in Australia. Standards Australia.</w:t>
      </w:r>
    </w:p>
    <w:p>
      <w:pPr>
        <w:spacing w:after="100"/>
        <w:ind w:left="720" w:hanging="720"/>
      </w:pPr>
      <w:r>
        <w:rPr>
          <w:rFonts w:ascii="Arial" w:cs="Arial" w:eastAsia="Arial" w:hAnsi="Arial"/>
          <w:sz w:val="20"/>
          <w:szCs w:val="20"/>
        </w:rPr>
        <w:t xml:space="preserve">Standards Australia. (2018). AS 1170.4/Amdt 2/2018-02-22: Amendment No. 2 to AS 1170.4—2007. Standards Australia.</w:t>
      </w:r>
    </w:p>
    <w:p>
      <w:pPr>
        <w:spacing w:after="100"/>
        <w:ind w:left="720" w:hanging="720"/>
      </w:pPr>
      <w:r>
        <w:rPr>
          <w:rFonts w:ascii="Arial" w:cs="Arial" w:eastAsia="Arial" w:hAnsi="Arial"/>
          <w:sz w:val="20"/>
          <w:szCs w:val="20"/>
        </w:rPr>
        <w:t xml:space="preserve">Standards Australia. (2018). AS 3600:2018: Concrete structures. Standards Australia.</w:t>
      </w:r>
    </w:p>
    <w:p>
      <w:pPr>
        <w:spacing w:after="100"/>
        <w:ind w:left="720" w:hanging="720"/>
      </w:pPr>
      <w:r>
        <w:rPr>
          <w:rFonts w:ascii="Arial" w:cs="Arial" w:eastAsia="Arial" w:hAnsi="Arial"/>
          <w:sz w:val="20"/>
          <w:szCs w:val="20"/>
        </w:rPr>
        <w:t xml:space="preserve">Standards Australia. (2024). AS 1170.4—2024: Structural design actions — Part 4: Earthquake actions in Australia. Standards Australia.</w:t>
      </w:r>
    </w:p>
    <w:p>
      <w:pPr>
        <w:spacing w:after="100"/>
        <w:ind w:left="720" w:hanging="720"/>
      </w:pPr>
      <w:r>
        <w:rPr>
          <w:rFonts w:ascii="Arial" w:cs="Arial" w:eastAsia="Arial" w:hAnsi="Arial"/>
          <w:sz w:val="20"/>
          <w:szCs w:val="20"/>
        </w:rPr>
        <w:t xml:space="preserve">Wang, Z., Chen, C., &amp; Li, H. (2024). Data governance and model interpretability as barriers to generative AI in architecture, engineering and construction. Automation in Construction, 162, Article 105410. https://doi.org/10.1016/j.autcon.2024.105410</w:t>
      </w:r>
    </w:p>
    <w:p>
      <w:pPr>
        <w:spacing w:after="100"/>
        <w:ind w:left="720" w:hanging="720"/>
      </w:pPr>
      <w:r>
        <w:rPr>
          <w:rFonts w:ascii="Arial" w:cs="Arial" w:eastAsia="Arial" w:hAnsi="Arial"/>
          <w:sz w:val="20"/>
          <w:szCs w:val="20"/>
        </w:rPr>
        <w:t xml:space="preserve">Weller, R. (2013). AS 1170.4 earthquake actions in Australia: Worked examples. Presented at the Australian Earthquake Engineering Society Conference. https://aees.org.au/wp-content/uploads/2013/11/24-Weller.pdf</w:t>
      </w:r>
    </w:p>
    <w:p>
      <w:pPr>
        <w:spacing w:after="100"/>
        <w:ind w:left="720" w:hanging="720"/>
      </w:pPr>
      <w:r>
        <w:rPr>
          <w:rFonts w:ascii="Arial" w:cs="Arial" w:eastAsia="Arial" w:hAnsi="Arial"/>
          <w:sz w:val="20"/>
          <w:szCs w:val="20"/>
        </w:rPr>
        <w:t xml:space="preserve">Xie, Y., Sichani, M. E., Padgett, J. E., &amp; DesRoches, R. (2020). The promise of implementing machine learning in earthquake engineering: A state-of-the-art review. Earthquake Spectra, 36(4), 1769–1801. https://doi.org/10.1177/8755293020919419</w:t>
      </w:r>
    </w:p>
    <w:p>
      <w:pPr>
        <w:spacing w:after="100"/>
        <w:ind w:left="720" w:hanging="720"/>
      </w:pPr>
      <w:r>
        <w:rPr>
          <w:rFonts w:ascii="Arial" w:cs="Arial" w:eastAsia="Arial" w:hAnsi="Arial"/>
          <w:sz w:val="20"/>
          <w:szCs w:val="20"/>
        </w:rPr>
        <w:t xml:space="preserve">Zhang, Y., Burton, H., Shokrabadi, M., &amp; Zareian, F. (2024). Benefit-cost analysis for earthquake-resilient building design and retrofit: State of the art and future research needs. Natural Hazards Review, 25(3), Article 03124001. https://doi.org/10.1061/NHREFO.NHENG-1910</w:t>
      </w:r>
    </w:p>
    <w:p>
      <w:pPr>
        <w:spacing w:after="100"/>
        <w:ind w:left="720" w:hanging="720"/>
      </w:pPr>
      <w:r>
        <w:rPr>
          <w:rFonts w:ascii="Arial" w:cs="Arial" w:eastAsia="Arial" w:hAnsi="Arial"/>
          <w:sz w:val="20"/>
          <w:szCs w:val="20"/>
        </w:rPr>
        <w:t xml:space="preserve">Zhou, Y., Zhang, Q., &amp; Li, S. (2024). Applying machine learning to earthquake engineering: A scientometric review. Buildings, 14(5), Article 1393. https://doi.org/10.3390/buildings14051393</w:t>
      </w:r>
    </w:p>
    <w:p>
      <w:pPr>
        <w:spacing w:after="100"/>
        <w:ind w:left="720" w:hanging="720"/>
      </w:pPr>
      <w:r>
        <w:rPr>
          <w:rFonts w:ascii="Arial" w:cs="Arial" w:eastAsia="Arial" w:hAnsi="Arial"/>
          <w:sz w:val="20"/>
          <w:szCs w:val="20"/>
        </w:rPr>
        <w:t xml:space="preserve">Zhu, M., McKenna, F., &amp; Scott, M. H. (2018). OpenSeesPy: Python library for the OpenSees finite element framework. SoftwareX, 7, 6–11. https://doi.org/10.1016/j.softx.2017.10.009</w:t>
      </w:r>
    </w:p>
    <w:p>
      <w:r>
        <w:br w:type="page"/>
      </w:r>
    </w:p>
    <w:p>
      <w:pPr>
        <w:pStyle w:val="Heading1"/>
        <w:pageBreakBefore/>
      </w:pPr>
      <w:r>
        <w:rPr>
          <w:rFonts w:ascii="Arial" w:cs="Arial" w:eastAsia="Arial" w:hAnsi="Arial"/>
          <w:b/>
          <w:bCs/>
          <w:color w:val="1F3864"/>
          <w:sz w:val="32"/>
          <w:szCs w:val="32"/>
        </w:rPr>
        <w:t xml:space="preserve">Appendix A: Declaration of Generative AI Use</w:t>
      </w:r>
    </w:p>
    <w:p>
      <w:pPr>
        <w:spacing w:after="140" w:line="276"/>
        <w:jc w:val="both"/>
      </w:pPr>
      <w:r>
        <w:rPr>
          <w:rFonts w:ascii="Arial" w:cs="Arial" w:eastAsia="Arial" w:hAnsi="Arial"/>
          <w:color w:val="000000"/>
          <w:sz w:val="22"/>
          <w:szCs w:val="22"/>
        </w:rPr>
        <w:t xml:space="preserve">In accordance with UTS guidelines on the use of generative AI in academic work, I declare that Claude (Anthropic, claude-sonnet-4-6, accessed 2026) and, in earlier drafts, GPT-4o (OpenAI, accessed 2026) were used in the following capacities:</w:t>
      </w:r>
    </w:p>
    <w:p>
      <w:pPr>
        <w:pStyle w:val="ListParagraph"/>
        <w:numPr>
          <w:ilvl w:val="0"/>
          <w:numId w:val="4"/>
        </w:numPr>
        <w:spacing w:after="100"/>
      </w:pPr>
      <w:r>
        <w:rPr>
          <w:rFonts w:ascii="Arial" w:cs="Arial" w:eastAsia="Arial" w:hAnsi="Arial"/>
          <w:sz w:val="22"/>
          <w:szCs w:val="22"/>
        </w:rPr>
        <w:t xml:space="preserve">Code development: Claude assisted in writing and debugging all Python scripts. All code was reviewed, tested, and independently verified. The OpenSeesPy ARPACK-equalDOF incompatibility was identified through systematic debugging; Claude provided the hypothesis about the null-space initialisation problem, which was then independently verified and documented.</w:t>
      </w:r>
    </w:p>
    <w:p>
      <w:pPr>
        <w:pStyle w:val="ListParagraph"/>
        <w:numPr>
          <w:ilvl w:val="0"/>
          <w:numId w:val="4"/>
        </w:numPr>
        <w:spacing w:after="100"/>
      </w:pPr>
      <w:r>
        <w:rPr>
          <w:rFonts w:ascii="Arial" w:cs="Arial" w:eastAsia="Arial" w:hAnsi="Arial"/>
          <w:sz w:val="22"/>
          <w:szCs w:val="22"/>
        </w:rPr>
        <w:t xml:space="preserve">Report writing: Claude assisted in drafting sections of this report. All content was reviewed, edited, and supplemented by the student. All engineering calculations and compliance determinations were independently verified. All in-text citations follow APA 7th edition and were checked against primary sources by the student.</w:t>
      </w:r>
    </w:p>
    <w:p>
      <w:pPr>
        <w:pStyle w:val="ListParagraph"/>
        <w:numPr>
          <w:ilvl w:val="0"/>
          <w:numId w:val="4"/>
        </w:numPr>
        <w:spacing w:after="100"/>
      </w:pPr>
      <w:r>
        <w:rPr>
          <w:rFonts w:ascii="Arial" w:cs="Arial" w:eastAsia="Arial" w:hAnsi="Arial"/>
          <w:sz w:val="22"/>
          <w:szCs w:val="22"/>
        </w:rPr>
        <w:t xml:space="preserve">Literature synthesis: Claude assisted in identifying and summarising relevant papers. All papers were subsequently read and verified by the student.</w:t>
      </w:r>
    </w:p>
    <w:p>
      <w:pPr>
        <w:spacing w:after="80"/>
      </w:pPr>
      <w:r>
        <w:t xml:space="preserve"/>
      </w:r>
    </w:p>
    <w:p>
      <w:pPr>
        <w:spacing w:after="140" w:line="276"/>
        <w:jc w:val="both"/>
      </w:pPr>
      <w:r>
        <w:rPr>
          <w:rFonts w:ascii="Arial" w:cs="Arial" w:eastAsia="Arial" w:hAnsi="Arial"/>
          <w:color w:val="000000"/>
          <w:sz w:val="22"/>
          <w:szCs w:val="22"/>
        </w:rPr>
        <w:t xml:space="preserve">Citation (APA 7): Anthropic. (2026). Claude (Version claude-sonnet-4-6) [Large language model]. https://claude.ai</w:t>
      </w:r>
    </w:p>
    <w:p>
      <w:pPr>
        <w:spacing w:after="80"/>
      </w:pPr>
      <w:r>
        <w:t xml:space="preserve"/>
      </w:r>
    </w:p>
    <w:p>
      <w:pPr>
        <w:spacing w:after="140" w:line="276"/>
        <w:jc w:val="both"/>
      </w:pPr>
      <w:r>
        <w:rPr>
          <w:rFonts w:ascii="Arial" w:cs="Arial" w:eastAsia="Arial" w:hAnsi="Arial"/>
          <w:color w:val="000000"/>
          <w:sz w:val="22"/>
          <w:szCs w:val="22"/>
        </w:rPr>
        <w:t xml:space="preserve">Justification (~250 words): The use of generative AI was essential given the compressed one-semester timeline, the broad technical scope spanning structural engineering, seismic analysis, and AI systems, and the 7,000+ word report requirement. Claude was used primarily as a productivity amplifier for writing quality and code debugging, not as a generator of original research findings. All research objectives were developed through iterative discussion with Supervisor Prof. Jianchun Li. All building parameters were defined by the student. All AS 1170.4 calculations, including the Amendment 2 kpZ minimum, were independently verified. The literature review drew on papers identified and read by the student.</w:t>
      </w:r>
    </w:p>
    <w:p>
      <w:pPr>
        <w:spacing w:after="140" w:line="276"/>
        <w:jc w:val="both"/>
      </w:pPr>
      <w:r>
        <w:rPr>
          <w:rFonts w:ascii="Arial" w:cs="Arial" w:eastAsia="Arial" w:hAnsi="Arial"/>
          <w:color w:val="000000"/>
          <w:sz w:val="22"/>
          <w:szCs w:val="22"/>
        </w:rPr>
        <w:t xml:space="preserve">A recurring limitation of Claude's assistance was a tendency to frame the LLM-orchestrated workflow as more autonomous than it actually is — describing it as 'agentic AI' or 'autonomous assessment' in initial drafts, requiring consistent correction to 'LLM-orchestrated workflow' throughout. This observation itself constitutes a finding about LLM use in engineering writing: AI assistants default to more technically impressive framing that requires correction by the human author. Researchers using AI writing assistance for AI-related papers should be particularly alert to this tendency, as overstated capability claims in academic writing can have downstream effects on professional confidence and regulatory framing of AI tools.</w:t>
      </w:r>
    </w:p>
    <w:p>
      <w:r>
        <w:br w:type="page"/>
      </w:r>
    </w:p>
    <w:p>
      <w:pPr>
        <w:pStyle w:val="Heading1"/>
        <w:pageBreakBefore/>
      </w:pPr>
      <w:r>
        <w:rPr>
          <w:rFonts w:ascii="Arial" w:cs="Arial" w:eastAsia="Arial" w:hAnsi="Arial"/>
          <w:b/>
          <w:bCs/>
          <w:color w:val="1F3864"/>
          <w:sz w:val="32"/>
          <w:szCs w:val="32"/>
        </w:rPr>
        <w:t xml:space="preserve">Appendix B: AS 1170.4 Amendment No. 2 — Implementation Summary</w:t>
      </w:r>
    </w:p>
    <w:p>
      <w:pPr>
        <w:spacing w:after="140" w:line="276"/>
        <w:jc w:val="both"/>
      </w:pPr>
      <w:r>
        <w:rPr>
          <w:rFonts w:ascii="Arial" w:cs="Arial" w:eastAsia="Arial" w:hAnsi="Arial"/>
          <w:color w:val="000000"/>
          <w:sz w:val="22"/>
          <w:szCs w:val="22"/>
        </w:rPr>
        <w:t xml:space="preserve">Amendment No. 2 to AS 1170.4:2007 was published 22 February 2018 (Standards Australia, 2018). Table B1 summarises changes and their implementation status in this project.</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5526"/>
      </w:tblGrid>
      <w:tr>
        <w:trPr>
          <w:tblHeader/>
        </w:trPr>
        <w:tc>
          <w:tcPr>
            <w:tcW w:type="dxa" w:w="10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Clause</w:t>
            </w:r>
          </w:p>
        </w:tc>
        <w:tc>
          <w:tcPr>
            <w:tcW w:type="dxa" w:w="25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Change</w:t>
            </w:r>
          </w:p>
        </w:tc>
        <w:tc>
          <w:tcPr>
            <w:tcW w:type="dxa" w:w="5526"/>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Implementation</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Cl 3.3 (new)
Table 3.3 (new)</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Minimum kpZ = 0.08 for 1/500 probability of exceedance. kpZ = max(kp × Z, 0.08).</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Implemented in static_analysis() as kpZ = max(kp * Z_raw, 0.08). Affects Brisbane/Hobart (Z_raw = 0.05 → kpZ = 0.08). Newcastle unaffected (Z = 0.11).</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Cl 1.4 Definitions</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Renamed 'hazard factor (Z)' to 'hazard design factor (Z)' throughout.</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Terminology updated throughout report and code documentation (Z_raw, kpZ variables).</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Table 3.2</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Removed entries for cities with Z ≤ 0.08 (Brisbane, Hobart, Melbourne, Sydney, etc.)</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HAZARD_FACTORS dict retains raw Z values; minimum enforced at calculation via kpZ = max(kp × Z, 0.08).</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Figures 3.2(A)–(G)</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Updated hazard maps reflecting new minimum 0.08.</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Maps not used directly; Z values from Geoscience Australia (2024) consistent with current maps for cities above 0.08.</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Cl 4.2.2(a)</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Soil Class A: compressive strength 1–50 MPa or Vs30 &gt; 760 m/s.</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Not applicable (Site Class De used for all buildings).</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Cl 1.1 Item (h)</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Added transmission line towers to scope.</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Not applicable (residential buildings only).</w:t>
            </w:r>
          </w:p>
        </w:tc>
      </w:tr>
      <w:tr>
        <w:trPr>
          <w:tblHeader w:val="false"/>
        </w:trPr>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Bibliography</w:t>
            </w:r>
          </w:p>
        </w:tc>
        <w:tc>
          <w:tcPr>
            <w:tcW w:type="dxa" w:w="25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Added AS 5100.2 (Bridge design).</w:t>
            </w:r>
          </w:p>
        </w:tc>
        <w:tc>
          <w:tcPr>
            <w:tcW w:type="dxa" w:w="55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Not applicable.</w:t>
            </w:r>
          </w:p>
        </w:tc>
      </w:tr>
    </w:tbl>
    <w:p>
      <w:pPr>
        <w:spacing w:after="100"/>
      </w:pPr>
      <w:r>
        <w:rPr>
          <w:rFonts w:ascii="Arial" w:cs="Arial" w:eastAsia="Arial" w:hAnsi="Arial"/>
          <w:color w:val="555555"/>
          <w:sz w:val="18"/>
          <w:szCs w:val="18"/>
        </w:rPr>
        <w:t xml:space="preserve">Table B1. AS 1170.4 Amendment No. 2 changes and project implementation status (Standards Australia, 2018). Python implementation: kpZ = max(kp * Z_raw, 0.08) applied in static_analysis() in all scripts.</w:t>
      </w:r>
    </w:p>
    <w:p>
      <w:r>
        <w:br w:type="page"/>
      </w:r>
    </w:p>
    <w:p>
      <w:pPr>
        <w:pStyle w:val="Heading1"/>
        <w:pageBreakBefore/>
      </w:pPr>
      <w:r>
        <w:rPr>
          <w:rFonts w:ascii="Arial" w:cs="Arial" w:eastAsia="Arial" w:hAnsi="Arial"/>
          <w:b/>
          <w:bCs/>
          <w:color w:val="1F3864"/>
          <w:sz w:val="32"/>
          <w:szCs w:val="32"/>
        </w:rPr>
        <w:t xml:space="preserve">Appendix C: Project Management and Supervisor Communication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000"/>
        <w:gridCol w:w="2000"/>
        <w:gridCol w:w="5426"/>
      </w:tblGrid>
      <w:tr>
        <w:trPr>
          <w:tblHeader/>
        </w:trPr>
        <w:tc>
          <w:tcPr>
            <w:tcW w:type="dxa" w:w="6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Week</w:t>
            </w:r>
          </w:p>
        </w:tc>
        <w:tc>
          <w:tcPr>
            <w:tcW w:type="dxa" w:w="10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Date</w:t>
            </w:r>
          </w:p>
        </w:tc>
        <w:tc>
          <w:tcPr>
            <w:tcW w:type="dxa" w:w="2000"/>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Activity</w:t>
            </w:r>
          </w:p>
        </w:tc>
        <w:tc>
          <w:tcPr>
            <w:tcW w:type="dxa" w:w="5426"/>
            <w:tcBorders>
              <w:top w:val="single" w:color="1F3864" w:sz="8"/>
              <w:left w:val="single" w:color="AAAAAA" w:sz="1"/>
              <w:bottom w:val="single" w:color="1F3864" w:sz="8"/>
              <w:right w:val="single" w:color="AAAAAA" w:sz="1"/>
            </w:tcBorders>
            <w:shd w:fill="1F3864" w:val="clear"/>
            <w:tcMar>
              <w:top w:type="dxa" w:w="80"/>
              <w:left w:type="dxa" w:w="110"/>
              <w:bottom w:type="dxa" w:w="80"/>
              <w:right w:type="dxa" w:w="110"/>
            </w:tcMar>
          </w:tcPr>
          <w:p>
            <w:r>
              <w:rPr>
                <w:rFonts w:ascii="Arial" w:cs="Arial" w:eastAsia="Arial" w:hAnsi="Arial"/>
                <w:b/>
                <w:bCs/>
                <w:color w:val="FFFFFF"/>
                <w:sz w:val="20"/>
                <w:szCs w:val="20"/>
              </w:rPr>
              <w:t xml:space="preserve">Key Outcomes</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28 Jul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Registration — Projectmatch</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Topology optimisation initially proposed; supervisor matching initiated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 Aug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Email to Prof. Li</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Meeting scheduled for 13 August</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3</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 Aug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First supervisor meeting</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Literature scan begun; topology optimisation in structural engineering discussed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5</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28 Aug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Second meeting</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Pivoted to AI for seismic performance of residential buildings</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6</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4 Sept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Post-class meeting</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Action plan created; literature review accelerated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7</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 Sept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Draft literature review</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Submitted to Prof. Li for feedback</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8</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18 Sept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Peer review seminar</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Peer feedback incorporated into AT2</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10</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 Oct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Email — agentic AI focus</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Topic refinement approved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12</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16 Oct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Proposal draft review</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Scope narrowed to 3 RC case studies; methodology refined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13</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23 Oct 2025</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Final review — proposal</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Ethics and timeline confirmed; re-registration submitted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15</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Mar 2026</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Sem 3 kick-off meeting</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Google Colab confirmed as working environment; macOS M2 incompatibility documented; weekly work plan set</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16–20</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Mar–Apr 2026</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Implementation phase</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Scripts developed; ARPACK bug identified and resolved; Amendment 2 integrated; pushover implemented</w:t>
            </w:r>
          </w:p>
        </w:tc>
      </w:tr>
      <w:tr>
        <w:trPr>
          <w:tblHeader w:val="false"/>
        </w:trPr>
        <w:tc>
          <w:tcPr>
            <w:tcW w:type="dxa" w:w="6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22</w:t>
            </w:r>
          </w:p>
        </w:tc>
        <w:tc>
          <w:tcPr>
            <w:tcW w:type="dxa" w:w="1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Jun 2026</w:t>
            </w:r>
          </w:p>
        </w:tc>
        <w:tc>
          <w:tcPr>
            <w:tcW w:type="dxa" w:w="2000"/>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Draft report submission</w:t>
            </w:r>
          </w:p>
        </w:tc>
        <w:tc>
          <w:tcPr>
            <w:tcW w:type="dxa" w:w="5426"/>
            <w:tcBorders>
              <w:top w:val="single" w:color="AAAAAA" w:sz="1"/>
              <w:left w:val="single" w:color="AAAAAA" w:sz="1"/>
              <w:bottom w:val="single" w:color="AAAAAA" w:sz="1"/>
              <w:right w:val="single" w:color="AAAAAA" w:sz="1"/>
            </w:tcBorders>
            <w:tcMar>
              <w:top w:type="dxa" w:w="80"/>
              <w:left w:type="dxa" w:w="110"/>
              <w:bottom w:type="dxa" w:w="80"/>
              <w:right w:type="dxa" w:w="110"/>
            </w:tcMar>
          </w:tcPr>
          <w:p>
            <w:r>
              <w:rPr>
                <w:rFonts w:ascii="Arial" w:cs="Arial" w:eastAsia="Arial" w:hAnsi="Arial"/>
                <w:b w:val="false"/>
                <w:bCs w:val="false"/>
                <w:color w:val="000000"/>
                <w:sz w:val="20"/>
                <w:szCs w:val="20"/>
              </w:rPr>
              <w:t xml:space="preserve">Full report with all results submitted to Prof. Li for review</w:t>
            </w:r>
          </w:p>
        </w:tc>
      </w:tr>
    </w:tbl>
    <w:p>
      <w:pPr>
        <w:spacing w:after="100"/>
      </w:pPr>
      <w:r>
        <w:rPr>
          <w:rFonts w:ascii="Arial" w:cs="Arial" w:eastAsia="Arial" w:hAnsi="Arial"/>
          <w:color w:val="555555"/>
          <w:sz w:val="18"/>
          <w:szCs w:val="18"/>
        </w:rPr>
        <w:t xml:space="preserve">Table C1. Supervisor communication log (Autumn 2026 — Semester 3, Subject 42003).</w:t>
      </w:r>
    </w:p>
    <w:sectPr>
      <w:headerReference w:type="default" r:id="rId6"/>
      <w:footerReference w:type="default" r:id="rId7"/>
      <w:pgSz w:w="11906" w:h="16838"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AS 1170.4:2007 + Amendment No. 2 (2018)  |  LLM-Orchestrated Workflow  |  github.com/YOUR_USERNAME/seismic-llm-assessment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UTS EGP 42003  |  Seismic Vulnerability Assessment  |  Kabish Jung Thapa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F3864"/>
      <w:sz w:val="32"/>
      <w:szCs w:val="32"/>
    </w:rPr>
  </w:style>
  <w:style w:type="paragraph" w:styleId="Heading2">
    <w:name w:val="Heading 2"/>
    <w:basedOn w:val="Normal"/>
    <w:next w:val="Normal"/>
    <w:qFormat/>
    <w:pPr>
      <w:spacing w:before="280" w:after="140"/>
      <w:outlineLvl w:val="1"/>
    </w:pPr>
    <w:rPr>
      <w:rFonts w:ascii="Arial" w:cs="Arial" w:eastAsia="Arial" w:hAnsi="Arial"/>
      <w:b/>
      <w:bCs/>
      <w:color w:val="2E4057"/>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LLM-Orchestrated Seismic Vulnerability Assessment — UTS EGP 42003</dc:title>
  <dc:creator>Kabish Jung Thapa</dc:creator>
  <dc:description>Final report incorporating AS 1170.4 Amendment 2, Claude LLM, pushover analysis, all EDPs</dc:description>
  <cp:lastModifiedBy>Un-named</cp:lastModifiedBy>
  <cp:revision>1</cp:revision>
  <dcterms:created xsi:type="dcterms:W3CDTF">2026-03-22T13:32:16.547Z</dcterms:created>
  <dcterms:modified xsi:type="dcterms:W3CDTF">2026-03-22T13:32:16.548Z</dcterms:modified>
</cp:coreProperties>
</file>

<file path=docProps/custom.xml><?xml version="1.0" encoding="utf-8"?>
<Properties xmlns="http://schemas.openxmlformats.org/officeDocument/2006/custom-properties" xmlns:vt="http://schemas.openxmlformats.org/officeDocument/2006/docPropsVTypes"/>
</file>