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b/>
          <w:bCs/>
          <w:sz w:val="28"/>
          <w:szCs w:val="28"/>
        </w:rPr>
        <w:t xml:space="preserve">UNIVERSITY OF TECHNOLOGY SYDNEY</w:t>
      </w:r>
    </w:p>
    <w:p>
      <w:pPr>
        <w:spacing w:after="120"/>
        <w:jc w:val="center"/>
      </w:pPr>
      <w:r>
        <w:rPr>
          <w:sz w:val="22"/>
          <w:szCs w:val="22"/>
        </w:rPr>
        <w:t xml:space="preserve">School of Civil and Environmental Engineering</w:t>
      </w:r>
    </w:p>
    <w:p>
      <w:pPr>
        <w:spacing w:after="480"/>
        <w:jc w:val="center"/>
      </w:pPr>
      <w:r>
        <w:rPr>
          <w:sz w:val="22"/>
          <w:szCs w:val="22"/>
        </w:rPr>
        <w:t xml:space="preserve">Engineering Graduate Project PG (42003) · Autumn 2026</w:t>
      </w:r>
    </w:p>
    <w:p>
      <w:pPr>
        <w:spacing w:after="200"/>
        <w:jc w:val="center"/>
      </w:pPr>
      <w:r>
        <w:rPr>
          <w:b/>
          <w:bCs/>
          <w:sz w:val="32"/>
          <w:szCs w:val="32"/>
        </w:rPr>
        <w:t xml:space="preserve">Exploring LLM-Orchestrated AI Workflows for Seismic Vulnerability Assessment of Residential Buildings</w:t>
      </w:r>
    </w:p>
    <w:p>
      <w:pPr>
        <w:spacing w:after="480"/>
        <w:jc w:val="center"/>
      </w:pPr>
      <w:r>
        <w:rPr>
          <w:b/>
          <w:bCs/>
          <w:i/>
          <w:iCs/>
          <w:sz w:val="24"/>
          <w:szCs w:val="24"/>
        </w:rPr>
        <w:t xml:space="preserve">Incorporating AS 1170.4:2007 + Amendment No. 2 (February 2018)</w:t>
      </w:r>
    </w:p>
    <w:p>
      <w:pPr>
        <w:spacing w:after="120"/>
        <w:jc w:val="center"/>
      </w:pPr>
      <w:r>
        <w:rPr>
          <w:b/>
          <w:bCs/>
          <w:sz w:val="24"/>
          <w:szCs w:val="24"/>
        </w:rPr>
        <w:t xml:space="preserve">Kabish Jung Thapa · Student ID: 25631413</w:t>
      </w:r>
    </w:p>
    <w:p>
      <w:pPr>
        <w:spacing w:after="80"/>
        <w:jc w:val="center"/>
      </w:pPr>
      <w:r>
        <w:rPr>
          <w:sz w:val="22"/>
          <w:szCs w:val="22"/>
        </w:rPr>
        <w:t xml:space="preserve">kabish.j.thapa@student.uts.edu.au</w:t>
      </w:r>
    </w:p>
    <w:p>
      <w:pPr>
        <w:spacing w:after="80"/>
        <w:jc w:val="center"/>
      </w:pPr>
      <w:r>
        <w:rPr>
          <w:sz w:val="22"/>
          <w:szCs w:val="22"/>
        </w:rPr>
        <w:t xml:space="preserve">Supervisor: Professor Jianchun Li</w:t>
      </w:r>
    </w:p>
    <w:p>
      <w:pPr>
        <w:spacing w:after="80"/>
        <w:jc w:val="center"/>
      </w:pPr>
      <w:r>
        <w:rPr>
          <w:sz w:val="22"/>
          <w:szCs w:val="22"/>
        </w:rPr>
        <w:t xml:space="preserve">School of Civil and Environmental Engineering, UTS</w:t>
      </w:r>
    </w:p>
    <w:p>
      <w:pPr>
        <w:spacing w:after="80"/>
        <w:jc w:val="center"/>
      </w:pPr>
      <w:r>
        <w:rPr>
          <w:sz w:val="22"/>
          <w:szCs w:val="22"/>
        </w:rPr>
        <w:t xml:space="preserve">Submission: July 2026 · Subject: 42003 Engineering Graduate Project PG</w:t>
      </w:r>
    </w:p>
    <w:p>
      <w:pPr>
        <w:spacing w:after="200"/>
        <w:jc w:val="center"/>
      </w:pPr>
      <w:r>
        <w:rPr>
          <w:sz w:val="22"/>
          <w:szCs w:val="22"/>
        </w:rPr>
        <w:t xml:space="preserve">GitHub: github.com/kabishjungthapa2/seismic-llm-assessment</w:t>
      </w:r>
    </w:p>
    <w:p>
      <w:r>
        <w:br w:type="page"/>
      </w:r>
    </w:p>
    <w:p>
      <w:pPr>
        <w:pStyle w:val="Heading1"/>
        <w:spacing w:after="200" w:before="360"/>
      </w:pPr>
      <w:r>
        <w:rPr>
          <w:b/>
          <w:bCs/>
          <w:sz w:val="32"/>
          <w:szCs w:val="32"/>
        </w:rPr>
        <w:t xml:space="preserve">Abstract</w:t>
      </w:r>
    </w:p>
    <w:p>
      <w:pPr>
        <w:spacing w:after="120" w:line="280"/>
        <w:jc w:val="both"/>
      </w:pPr>
      <w:r>
        <w:t xml:space="preserve">Seismic vulnerability assessment of residential buildings in Australia is a computationally intensive challenge that creates significant barriers to timely, portfolio-scale risk management. Traditional nonlinear time-history analysis workflows require days per building, limiting the ability of engineers and policymakers to screen the large stock of pre-code residential buildings concentrated in earthquake-prone regions such as Newcastle and Sydney. This study develops and evaluates a proof-of-concept LLM-orchestrated workflow for automated seismic vulnerability assessment of low- to mid-rise reinforced concrete (RC) frame residential buildings under AS 1170.4:2007 incorporating Amendment No. 2 (February 2018), representing the first application of this approach specifically targeting Australian residential building stock.</w:t>
      </w:r>
    </w:p>
    <w:p>
      <w:pPr>
        <w:spacing w:after="120" w:line="280"/>
        <w:jc w:val="both"/>
      </w:pPr>
      <w:r>
        <w:t xml:space="preserve">The system integrates Claude (Anthropic, claude-sonnet-4-6) as the natural language interface for structural parameter extraction, OpenSeesPy for nonlinear fibre-element time-history analysis, and automated AS 1170.4 compliance verification, with a mandatory human verification checkpoint at critical decision points. Three representative case study buildings spanning pre-1990, post-1990, and post-2010 construction eras are defined and analysed. Amendment No. 2 (Standards Australia, 2018) is fully implemented, including the minimum kpZ = 0.08 product requirement per Clause 3.3, the updated terminology (hazard design factor Z), and the revised hazard maps.</w:t>
      </w:r>
    </w:p>
    <w:p>
      <w:pPr>
        <w:spacing w:after="120" w:line="280"/>
        <w:jc w:val="both"/>
      </w:pPr>
      <w:r>
        <w:t xml:space="preserve">Eleven engineering demand parameters are computed per building: inter-storey drift ratio (PIDR), storey shear profile, overturning moment profile, P-Delta stability coefficient, storey stiffness and soft-storey detection, absolute peak floor acceleration, pushover capacity curve and ductility ratio, column axial load ratio (N/Nuo), modal mass participation, performance level (ASCE 41), and HAZUS damage state. Key results from the verified production code: Building 1 (pre-1990) T1 = 0.610 s (2.12× code approximation), PIDR_max = 0.516% — Life Safety, Slight damage, COMPLIANT; Building 2 (post-1990) T1 = 0.385 s, PIDR_max = 0.231% — Immediate Occupancy, No damage, COMPLIANT; Building 3 (post-2010) T1 = 0.272 s, PIDR_max = 0.127% — Immediate Occupancy, No damage, COMPLIANT. All P-Delta stability coefficients θ_max &lt; 0.04 (well below the 0.10 threshold for P-Δ consideration), confirming negligible second-order effects. Static base shear design demand for pre-1990 buildings (V/W = 0.0285) is 2.31 times that of post-2010 buildings (V/W = 0.0124), directly reflecting the lower ductility factor μ = 2.0 versus 4.0 — the fundamental code basis for differentiating seismic risk between construction eras. Crucially, the dynamic time-history analysis reveals that Building 1 reaches the Life Safety performance level and Slight HAZUS damage state under the synthetic ground motion, while Buildings 2 and 3 remain Immediate Occupancy / No damage — making the pre-1990 building's seismic vulnerability visible in the dynamic response, not only in the elevated design force.</w:t>
      </w:r>
    </w:p>
    <w:p>
      <w:pPr>
        <w:spacing w:after="120" w:line="280"/>
        <w:jc w:val="both"/>
      </w:pPr>
      <w:r>
        <w:t xml:space="preserve">A critical undocumented OpenSeesPy incompatibility — ARPACK eigenvalue solver failure with equalDOF rigid diaphragm constraints — was identified and resolved by switching to the fullGenLapack solver. The study provides the first systematic LLM-orchestrated seismic assessment workflow for Australian residential buildings, a comparative evaluation of Claude versus GPT-4o versus DeepSeek-R1, and comprehensive documentation of the Amendment 2 implementation for practising engineers.</w:t>
      </w:r>
    </w:p>
    <w:p>
      <w:pPr>
        <w:spacing w:after="120" w:line="280"/>
        <w:jc w:val="both"/>
      </w:pPr>
      <w:r>
        <w:rPr>
          <w:b/>
          <w:bCs/>
        </w:rPr>
        <w:t xml:space="preserve">Keywords: </w:t>
      </w:r>
      <w:r>
        <w:t xml:space="preserve">seismic vulnerability assessment, LLM-orchestrated workflow, Claude AI, OpenSeesPy, AS 1170.4:2007 Amendment 2, residential buildings, reinforced concrete, nonlinear time-history, pushover analysis, P-Delta, Newcastle earthquake.</w:t>
      </w:r>
    </w:p>
    <w:p>
      <w:r>
        <w:br w:type="page"/>
      </w:r>
    </w:p>
    <w:p>
      <w:pPr>
        <w:pStyle w:val="Heading1"/>
        <w:spacing w:after="200" w:before="360"/>
      </w:pPr>
      <w:r>
        <w:rPr>
          <w:b/>
          <w:bCs/>
          <w:sz w:val="32"/>
          <w:szCs w:val="32"/>
        </w:rPr>
        <w:t xml:space="preserve">Table of Contents</w:t>
      </w:r>
    </w:p>
    <w:p>
      <w:pPr>
        <w:tabs>
          <w:tab w:val="right" w:pos="9000"/>
        </w:tabs>
        <w:spacing w:after="100"/>
      </w:pPr>
      <w:r>
        <w:t xml:space="preserve">1. Introduction</w:t>
      </w:r>
      <w:r>
        <w:t xml:space="preserve">	4</w:t>
      </w:r>
    </w:p>
    <w:p>
      <w:pPr>
        <w:tabs>
          <w:tab w:val="right" w:pos="9000"/>
        </w:tabs>
        <w:spacing w:after="100"/>
      </w:pPr>
      <w:r>
        <w:t xml:space="preserve">2. Literature Review</w:t>
      </w:r>
      <w:r>
        <w:t xml:space="preserve">	6</w:t>
      </w:r>
    </w:p>
    <w:p>
      <w:pPr>
        <w:tabs>
          <w:tab w:val="right" w:pos="9000"/>
        </w:tabs>
        <w:spacing w:after="100"/>
      </w:pPr>
      <w:r>
        <w:t xml:space="preserve">3. Methodology</w:t>
      </w:r>
      <w:r>
        <w:t xml:space="preserve">	10</w:t>
      </w:r>
    </w:p>
    <w:p>
      <w:pPr>
        <w:tabs>
          <w:tab w:val="right" w:pos="9000"/>
        </w:tabs>
        <w:spacing w:after="100"/>
      </w:pPr>
      <w:r>
        <w:t xml:space="preserve">4. Findings and Engineering Results</w:t>
      </w:r>
      <w:r>
        <w:t xml:space="preserve">	14</w:t>
      </w:r>
    </w:p>
    <w:p>
      <w:pPr>
        <w:tabs>
          <w:tab w:val="right" w:pos="9000"/>
        </w:tabs>
        <w:spacing w:after="100"/>
      </w:pPr>
      <w:r>
        <w:t xml:space="preserve">5. Discussion</w:t>
      </w:r>
      <w:r>
        <w:t xml:space="preserve">	22</w:t>
      </w:r>
    </w:p>
    <w:p>
      <w:pPr>
        <w:tabs>
          <w:tab w:val="right" w:pos="9000"/>
        </w:tabs>
        <w:spacing w:after="100"/>
      </w:pPr>
      <w:r>
        <w:t xml:space="preserve">6. Conclusions</w:t>
      </w:r>
      <w:r>
        <w:t xml:space="preserve">	26</w:t>
      </w:r>
    </w:p>
    <w:p>
      <w:pPr>
        <w:tabs>
          <w:tab w:val="right" w:pos="9000"/>
        </w:tabs>
        <w:spacing w:after="100"/>
      </w:pPr>
      <w:r>
        <w:t xml:space="preserve">7. Recommendations</w:t>
      </w:r>
      <w:r>
        <w:t xml:space="preserve">	27</w:t>
      </w:r>
    </w:p>
    <w:p>
      <w:pPr>
        <w:tabs>
          <w:tab w:val="right" w:pos="9000"/>
        </w:tabs>
        <w:spacing w:after="100"/>
      </w:pPr>
      <w:r>
        <w:t xml:space="preserve">References</w:t>
      </w:r>
      <w:r>
        <w:t xml:space="preserve">	29</w:t>
      </w:r>
    </w:p>
    <w:p>
      <w:pPr>
        <w:tabs>
          <w:tab w:val="right" w:pos="9000"/>
        </w:tabs>
        <w:spacing w:after="100"/>
      </w:pPr>
      <w:r>
        <w:t xml:space="preserve">Appendix A: Generative AI Usage Declaration</w:t>
      </w:r>
      <w:r>
        <w:t xml:space="preserve">	33</w:t>
      </w:r>
    </w:p>
    <w:p>
      <w:pPr>
        <w:tabs>
          <w:tab w:val="right" w:pos="9000"/>
        </w:tabs>
        <w:spacing w:after="100"/>
      </w:pPr>
      <w:r>
        <w:t xml:space="preserve">Appendix B: AS 1170.4 Amendment No. 2 Implementation Summary</w:t>
      </w:r>
      <w:r>
        <w:t xml:space="preserve">	34</w:t>
      </w:r>
    </w:p>
    <w:p>
      <w:pPr>
        <w:tabs>
          <w:tab w:val="right" w:pos="9000"/>
        </w:tabs>
        <w:spacing w:after="100"/>
      </w:pPr>
      <w:r>
        <w:t xml:space="preserve">Appendix C: Project Management and Supervisor Communication Log</w:t>
      </w:r>
      <w:r>
        <w:t xml:space="preserve">	35</w:t>
      </w:r>
    </w:p>
    <w:p>
      <w:r>
        <w:br w:type="page"/>
      </w:r>
    </w:p>
    <w:p>
      <w:pPr>
        <w:pStyle w:val="Heading1"/>
        <w:spacing w:after="200" w:before="360"/>
      </w:pPr>
      <w:r>
        <w:rPr>
          <w:b/>
          <w:bCs/>
          <w:sz w:val="32"/>
          <w:szCs w:val="32"/>
        </w:rPr>
        <w:t xml:space="preserve">1. Introduction</w:t>
      </w:r>
    </w:p>
    <w:p>
      <w:pPr>
        <w:pStyle w:val="Heading2"/>
        <w:spacing w:after="160" w:before="280"/>
      </w:pPr>
      <w:r>
        <w:rPr>
          <w:b/>
          <w:bCs/>
          <w:sz w:val="26"/>
          <w:szCs w:val="26"/>
        </w:rPr>
        <w:t xml:space="preserve">1.1 Background and Problem Statement</w:t>
      </w:r>
    </w:p>
    <w:p>
      <w:pPr>
        <w:spacing w:after="120" w:line="280"/>
        <w:jc w:val="both"/>
      </w:pPr>
      <w:r>
        <w:t xml:space="preserve">The 1989 Newcastle earthquake (ML 5.6) caused 13 deaths, 160 injuries, and economic losses estimated at AUD 4 billion, striking a city whose building stock had not been designed for seismic resistance (Menegon et al., 2018). Despite this event catalysing the development of AS 1170.4:1993 and its successor AS 1170.4:2007 — most recently amended by Amendment No. 2 (Standards Australia, 2018) — a substantial proportion of the existing residential building stock predates modern seismic design provisions. The 2023 National Seismic Hazard Assessment (Geoscience Australia, 2024; Allen et al., 2024) indicates moderate but non-negligible seismic hazard across coastal New South Wales, with this hazard not fully reflected in the code design values applicable to the pre-code building stock. Allen (2020) argued that probabilistic seismic hazard analysis in stable continental regions such as Australia raises distinct methodological challenges that current code design values do not always capture, particularly for the pre-code residential stock concentrated in eastern Australian capitals.</w:t>
      </w:r>
    </w:p>
    <w:p>
      <w:pPr>
        <w:spacing w:after="120" w:line="280"/>
        <w:jc w:val="both"/>
      </w:pPr>
      <w:r>
        <w:t xml:space="preserve">Traditional seismic vulnerability assessment using nonlinear time-history analysis is computationally and labour-intensive. Liang et al. (2025a) estimated that a structural engineer requires approximately two hours to set up and execute a single building analysis. For portfolio-scale assessment of the thousands of potentially vulnerable residential buildings in the Newcastle and Sydney regions, this represents a prohibitive barrier (Zhang, Y., et al., 2024). Under-resourced communities, smaller engineering practices, and local government authorities are disproportionately affected (Xie et al., 2020). The empirical vulnerability work of Maqsood et al. (2016) using insurance claim data from the 1989 Newcastle earthquake and survey data from Kalgoorlie confirms that pre-1945 unreinforced masonry stock dominates the high-vulnerability tail of Australian residential building distributions, underscoring the policy and risk-management value of any tool that materially reduces the per-building screening cost.</w:t>
      </w:r>
    </w:p>
    <w:p>
      <w:pPr>
        <w:pStyle w:val="Heading2"/>
        <w:spacing w:after="160" w:before="280"/>
      </w:pPr>
      <w:r>
        <w:rPr>
          <w:b/>
          <w:bCs/>
          <w:sz w:val="26"/>
          <w:szCs w:val="26"/>
        </w:rPr>
        <w:t xml:space="preserve">1.2 AS 1170.4 Amendment No. 2 — Context</w:t>
      </w:r>
    </w:p>
    <w:p>
      <w:pPr>
        <w:spacing w:after="120" w:line="280"/>
        <w:jc w:val="both"/>
      </w:pPr>
      <w:r>
        <w:t xml:space="preserve">Amendment No. 2 to AS 1170.4:2007, published 22 February 2018 (Standards Australia, 2018), introduced a minimum hazard design factor product kpZ = 0.08 for the 500-year return period — a change with direct implications for cities such as Brisbane (Z = 0.05 → effective kpZ = 0.08, 60% increase in design base shear) and Hobart (same). The Amendment also renamed 'hazard factor (Z)' to 'hazard design factor (Z)' throughout. All calculations in this study implement the Amendment 2 minimum per Clause 3.3 and Table 3.3: kpZ = max(kp × Z, 0.08).</w:t>
      </w:r>
    </w:p>
    <w:p>
      <w:pPr>
        <w:pStyle w:val="Heading2"/>
        <w:spacing w:after="160" w:before="280"/>
      </w:pPr>
      <w:r>
        <w:rPr>
          <w:b/>
          <w:bCs/>
          <w:sz w:val="26"/>
          <w:szCs w:val="26"/>
        </w:rPr>
        <w:t xml:space="preserve">1.3 Technological Context</w:t>
      </w:r>
    </w:p>
    <w:p>
      <w:pPr>
        <w:spacing w:after="120" w:line="280"/>
        <w:jc w:val="both"/>
      </w:pPr>
      <w:r>
        <w:t xml:space="preserve">Recent advances in large language models (LLMs) offer a potential pathway to democratising seismic assessment. Liang et al. (2025a) demonstrated that GPT-4o integrated with OpenSeesPy achieved 100% accuracy on 20 structural analysis word problems. The multi-agent MASSE system (Liang et al., 2025b) reduced expert workload from approximately two hours to minutes. DeepSeek-R1 (DeepSeek, 2025), released January 2025, achieves comparable performance at approximately 98% lower API cost (Lanz, 2025). The present study uses Anthropic Claude (claude-sonnet-4-6) rather than GPT-4o, motivated by Constitutional AI alignment with safety-critical engineering (Bai et al., 2022; Kundu et al., 2023), cost advantage (~6–10× cheaper than GPT-4o), research novelty through independent comparison, and more comprehensive assumption flagging in structured JSON output. Recent engineering-task benchmarks (Heesch et al., 2025) and structured-extraction benchmarks (Tenckhoff et al., 2026) emphasise that prompt design, validation pipelines and human oversight matter more than raw model size — a finding directly motivating the workflow architecture adopted in this study.</w:t>
      </w:r>
    </w:p>
    <w:p>
      <w:pPr>
        <w:pStyle w:val="Heading2"/>
        <w:spacing w:after="160" w:before="280"/>
      </w:pPr>
      <w:r>
        <w:rPr>
          <w:b/>
          <w:bCs/>
          <w:sz w:val="26"/>
          <w:szCs w:val="26"/>
        </w:rPr>
        <w:t xml:space="preserve">1.4 Research Objectives and Scope</w:t>
      </w:r>
    </w:p>
    <w:p>
      <w:pPr>
        <w:spacing w:after="120" w:line="280"/>
        <w:jc w:val="both"/>
      </w:pPr>
      <w:r>
        <w:t xml:space="preserve">This study addresses the following objectives: (1) develop a proof-of-concept LLM-orchestrated workflow integrating Claude parameter extraction, OpenSeesPy nonlinear analysis, and AS 1170.4 + Amendment 2 compliance verification; (2) define and analyse three representative residential RC frame buildings across pre-1990, post-1990, and post-2010 construction eras; (3) implement eleven engineering demand parameters including pushover analysis and P-Delta stability assessment; (4) fully implement Amendment No. 2 requirements; and (5) make the prototype publicly available on GitHub. The scope is limited to two-storey symmetric 2D RC plane frames, with generalisation to n storeys implemented and documented (n = 1–8 supported). The LLM component operates in demo mode (keyword-based extraction) for reproducibility; Claude API integration is implemented for API-key holders.</w:t>
      </w:r>
    </w:p>
    <w:p>
      <w:pPr>
        <w:pStyle w:val="Heading2"/>
        <w:spacing w:after="160" w:before="280"/>
      </w:pPr>
      <w:r>
        <w:rPr>
          <w:b/>
          <w:bCs/>
          <w:sz w:val="26"/>
          <w:szCs w:val="26"/>
        </w:rPr>
        <w:t xml:space="preserve">1.5 LLM Choice: Claude over GPT-4o</w:t>
      </w:r>
    </w:p>
    <w:p>
      <w:pPr>
        <w:spacing w:after="120" w:line="280"/>
        <w:jc w:val="both"/>
      </w:pPr>
      <w:r>
        <w:t xml:space="preserve">This study uses Anthropic Claude rather than GPT-4o (Liang et al., 2025a) for five documented reasons. First, Claude's Constitutional AI training (Bai et al., 2022; Kundu et al., 2023) produces more explicit acknowledgment of uncertainty — critical when assumptions must be flagged before safety-critical analysis proceeds. Second, Claude Haiku (claude-haiku-4-5-20251001) costs approximately AUD 0.01–0.03 per assessment versus AUD 0.08–0.15 for GPT-4o, directly supporting the democratisation objective. Third, using a different model from the foundational study (Liang et al., 2025a) provides an independent comparative data point. Fourth, informal testing found Claude produced four explicit assumptions versus two for GPT-4o on the same Building 1 description. Fifth, although Constitutional AI methods do not eliminate alignment risks (Zhang, X., 2025; Lindström et al., 2025; Agbemabiese, 2026), they materially improve the model's tendency to surface uncertainty and decline to fabricate values — the exact behaviour needed at the pre-analysis verification checkpoint. Full rationale is documented in docs/LLM_CHOICE.md in the project repository.</w:t>
      </w:r>
    </w:p>
    <w:p>
      <w:r>
        <w:br w:type="page"/>
      </w:r>
    </w:p>
    <w:p>
      <w:pPr>
        <w:pStyle w:val="Heading1"/>
        <w:spacing w:after="200" w:before="360"/>
      </w:pPr>
      <w:r>
        <w:rPr>
          <w:b/>
          <w:bCs/>
          <w:sz w:val="32"/>
          <w:szCs w:val="32"/>
        </w:rPr>
        <w:t xml:space="preserve">2. Literature Review</w:t>
      </w:r>
    </w:p>
    <w:p>
      <w:pPr>
        <w:pStyle w:val="Heading2"/>
        <w:spacing w:after="160" w:before="280"/>
      </w:pPr>
      <w:r>
        <w:rPr>
          <w:b/>
          <w:bCs/>
          <w:sz w:val="26"/>
          <w:szCs w:val="26"/>
        </w:rPr>
        <w:t xml:space="preserve">2.1 Australian Seismic Context and AS 1170.4</w:t>
      </w:r>
    </w:p>
    <w:p>
      <w:pPr>
        <w:spacing w:after="120" w:line="280"/>
        <w:jc w:val="both"/>
      </w:pPr>
      <w:r>
        <w:t xml:space="preserve">Australia occupies a unique position in global seismicity — a stable continental interior with lower seismicity than plate-boundary nations, yet historically subject to damaging intraplate earthquakes (Menegon et al., 2018). The development of AS 1170.4:1993, catalysed by the 1989 Newcastle event, introduced the hazard design factor Z framework. The 2007 revision refined spectral shape factors and ductility provisions. Amendment No. 2 (Standards Australia, 2018) introduced the minimum kpZ = 0.08, updated hazard maps, and replaced the reference to the Building Code of Australia (BCA) with the National Construction Code (NCC) throughout. The 2024 revision (AS 1170.4:2024, released 21 June 2024) retained the 2018 hazard map with no change to Z = 0.11 for Newcastle (Geoscience Australia, 2024; Risk Frontiers, 2024; Allen et al., 2024).</w:t>
      </w:r>
    </w:p>
    <w:p>
      <w:pPr>
        <w:spacing w:after="120" w:line="280"/>
        <w:jc w:val="both"/>
      </w:pPr>
      <w:r>
        <w:t xml:space="preserve">Menegon et al. (2018) identified that a commonly held belief among Australian designers — that seismic actions can be ignored when wind governs — is technically incorrect, as seismic provisions govern specific detailing requirements regardless of which lateral action controls the force-based design. The 2023 National Seismic Hazard Assessment (Geoscience Australia, 2024; Allen et al., 2024) showed moderate increases in estimated hazard in eastern Australia, but AS 1170.4:2024 retains the 2018 hazard map, meaning the design Z-values have not changed. Risk Frontiers (2024) and Allen (2020) noted that the gap between code-prescribed hazard levels and probabilistic NSHA23 estimates raises questions about the long-term adequacy of the current design basis. Chandler et al. (1991), in their field investigation of the 1989 Newcastle earthquake, cautioned against simplistic application of site amplification factors, highlighting the importance of site-specific characterisation — a methodological lesson reflected in the Site Class De assumption used here, which is documented and explicit rather than buried in default values.</w:t>
      </w:r>
    </w:p>
    <w:p>
      <w:pPr>
        <w:pStyle w:val="Heading2"/>
        <w:spacing w:after="160" w:before="280"/>
      </w:pPr>
      <w:r>
        <w:rPr>
          <w:b/>
          <w:bCs/>
          <w:sz w:val="26"/>
          <w:szCs w:val="26"/>
        </w:rPr>
        <w:t xml:space="preserve">2.2 Seismic Vulnerability Assessment Methodologies</w:t>
      </w:r>
    </w:p>
    <w:p>
      <w:pPr>
        <w:spacing w:after="120" w:line="280"/>
        <w:jc w:val="both"/>
      </w:pPr>
      <w:r>
        <w:t xml:space="preserve">Nonlinear time-history analysis is the most rigorous available method for seismic vulnerability assessment, providing probabilistic engineering demand parameters (EDPs) including peak inter-storey drift ratios (PIDR), peak floor accelerations (PFA), storey shear, and overturning moment that characterise building response at the element level (Zhang, Y., et al., 2024). The methodology requires a validated finite element model, site-appropriate ground motion records, and a comprehensive post-processing framework. The primary limitation for portfolio-scale assessment is computational intensity: Zhang, Y., et al. (2024) documented that single building analyses require hours to days of expert setup time. Xie et al. (2020) identified this barrier as the primary motivation for machine learning applications in earthquake engineering.</w:t>
      </w:r>
    </w:p>
    <w:p>
      <w:pPr>
        <w:spacing w:after="120" w:line="280"/>
        <w:jc w:val="both"/>
      </w:pPr>
      <w:r>
        <w:t xml:space="preserve">Pushover analysis (nonlinear static analysis) provides a computationally efficient complement to time-history analysis, generating the force-displacement capacity curve of the structure under a monotonically increasing lateral load pattern (Chopra, 2007). The capacity curve identifies the yield point, ultimate capacity V_max, and ductility ratio — key indicators of structural vulnerability that are not directly available from time-history analysis alone. The combined use of pushover and time-history analysis, as implemented in this study, follows the methodology of ATC-40 and ASCE 41-17, providing both capacity (pushover) and demand (time-history) information for comprehensive performance assessment. Patel and Khatri (2023), Ismael and Ahmed (2023), Ali and Sanghai (2021) and Pujades et al. (2025) confirm this combined approach as standard practice for RC seismic assessment, with pushover providing fragility-relevant capacity information at lower cost than full IDA.</w:t>
      </w:r>
    </w:p>
    <w:p>
      <w:pPr>
        <w:spacing w:after="120" w:line="280"/>
        <w:jc w:val="both"/>
      </w:pPr>
      <w:r>
        <w:t xml:space="preserve">The HAZUS-MH methodology (FEMA, 2003) provides probabilistic damage-state relationships as a function of ground motion intensity through lognormal fragility functions. The damage states — None, Slight, Moderate, Extensive, Complete — with PIDR thresholds adapted from FEMA (2003) are widely used in Australian earthquake risk assessment. The ASCE 41-17 performance levels — Immediate Occupancy (IO, PIDR &lt; 0.5%), Life Safety (LS, PIDR &lt; 1.5%), Collapse Prevention (CP, PIDR &lt; 2.5%) — provide a complementary framework aligned with the AS 1170.4 drift limit at the LS level. Patel and Vasanwala (2020) and Laguerre et al. (2024) note that direct HAZUS transfer to non-US contexts requires careful calibration, since US-derived fragility curves may not represent local construction practice.</w:t>
      </w:r>
    </w:p>
    <w:p>
      <w:pPr>
        <w:spacing w:after="120" w:line="280"/>
        <w:jc w:val="both"/>
      </w:pPr>
      <w:r>
        <w:t xml:space="preserve">Empirical and analytical fragility work specifically for RC buildings has matured rapidly. Cardone et al. (2018) developed hybrid fragility for pre-1970 Southern European RC; Del Gaudio et al. (2019) leveraged approximately 25,000 Italian buildings from the Da.D.O. database to derive damage data-based curves; Rosti et al. (2020) constructed EMS-98 fragility for vulnerability classes C2/D; d'Aragona et al. (2024) advanced the STICK model with explicit uncertainty propagation for infilled RC; Parizat et al. (2024) characterised pre-code apartment-block vulnerability. The methodological lesson — careful uncertainty propagation rather than point estimates — informs the synthetic-GM EDP interpretation in this study, where results are presented as proof-of-concept demand indicators rather than as decision-grade fragility values.</w:t>
      </w:r>
    </w:p>
    <w:p>
      <w:pPr>
        <w:spacing w:after="120" w:line="280"/>
        <w:jc w:val="both"/>
      </w:pPr>
      <w:r>
        <w:t xml:space="preserve">In the Australian context, Maqsood et al. (2016) derived GEM vulnerability functions from Newcastle insurance claims and Kalgoorlie surveys, identifying pre-1945 URM as the most vulnerable class and timber-framed housing as the least vulnerable. Amirsardari et al. (2020) developed analytical fragility for non-ductile Australian RC, emphasising soft-soil sites as the primary risk amplifier. Lumantarna et al. (2014) and Menegon, S.J. et al. (2019) established a vulnerability-assessment framework specifically for Australian construction, providing the conceptual lineage for the three-era case-study selection adopted here. Samuel et al. (2024) reviewed the current empirical-analytical hybrid methods, finding that hybrid approaches dominate the recent RC literature for combining the realism of damage data with the parametric flexibility of analytical models.</w:t>
      </w:r>
    </w:p>
    <w:p>
      <w:pPr>
        <w:spacing w:after="120" w:line="280"/>
        <w:jc w:val="both"/>
      </w:pPr>
      <w:r>
        <w:t xml:space="preserve">Machine learning and deep learning are increasingly used to complement or replace traditional fragility derivation, with three relevant strands of work. Kaveh et al. (2026) trained predictive models on a meta-database of 214 fragility datasets to learn the median and dispersion of lognormal fragility functions from features such as material, plan area, height, period, soil class, and damage state, finding that decision trees performed best for both parameters. In a parallel study, the same authors used a 29,700-sample OpenSeesPy database of 4–12 storey 3D RC frames and 110 far-field ground-motion records to train Extra Trees, Random Forest, Gradient Boosting Regression, and XGBoost models, reaching R² up to approximately 0.98 for maximum and inter-storey drift prediction, with building height, width, Housner intensity, and Acceleration Spectrum Intensity emerging as the most important features. Zhang, C., et al. (2024) developed an end-to-end deep-learning model that predicts the full time-history response of urban-scale RC frames from only the ground-motion record and five easy-to-obtain structural parameters, using an autoencoder-based architecture that balances accuracy and efficiency on four validation buildings. Together with the state-of-the-art reviews by Xie et al. (2020) and Bhadauria (2024), these results establish that ML-based surrogates can predict structural response from inventory-level features without full nonlinear modelling for every building — a capability directly complementary to the LLM-orchestrated workflow proposed here, since an ML surrogate could be invoked as one of the deterministic tools coordinated by the LLM agent for portfolio-scale screening before any high-fidelity OpenSeesPy analysis is triggered.</w:t>
      </w:r>
    </w:p>
    <w:p>
      <w:pPr>
        <w:spacing w:after="120" w:line="280"/>
        <w:jc w:val="both"/>
      </w:pPr>
      <w:r>
        <w:t xml:space="preserve">Performance-based nonlinear analysis in OpenSees and OpenSeesPy is now well-established across building typologies. Azodi et al. (2022) modelled a high-rise steel moment frame with an RC core in OpenSees, finding the RC core attracted approximately two-thirds of the base shear. Hasan et al. (2023) applied nonlinear time-history analysis to a Dhaka RC residential building, finding drifts that exceed AS 1170.4-equivalent limits for gravity-only designs. Shabbir (2026) provided a recent comparison of pushover and time-history results, confirming that dynamic analysis is needed to capture drift distribution and cumulative damage, while pushover supplies the global capacity envelope — validating the combined pushover + time-history methodology used in this study.</w:t>
      </w:r>
    </w:p>
    <w:p>
      <w:pPr>
        <w:pStyle w:val="Heading2"/>
        <w:spacing w:after="160" w:before="280"/>
      </w:pPr>
      <w:r>
        <w:rPr>
          <w:b/>
          <w:bCs/>
          <w:sz w:val="26"/>
          <w:szCs w:val="26"/>
        </w:rPr>
        <w:t xml:space="preserve">2.3 Large Language Models in Structural Engineering</w:t>
      </w:r>
    </w:p>
    <w:p>
      <w:pPr>
        <w:spacing w:after="120" w:line="280"/>
        <w:jc w:val="both"/>
      </w:pPr>
      <w:r>
        <w:t xml:space="preserve">Liang et al. (2025a) achieved 100% accuracy on a 20-problem structural analysis benchmark using GPT-4o with domain-specific prompt engineering, surpassing GPT-4 (85%), Gemini 1.5 Pro (80%), and Llama-3.3 (30%). The study identified performance degradation for asymmetric frame configurations. Avila et al. (2025) demonstrated GPT with Model Context Protocol (MCP) alignment with ETABS benchmarks within 1% using a modular three-layer architecture. The multi-agent MASSE system (Liang et al., 2025b) decomposed tasks across specialised agents, achieving higher execution success rates than single-agent approaches and reducing expert workload from approximately two hours to minutes.</w:t>
      </w:r>
    </w:p>
    <w:p>
      <w:pPr>
        <w:spacing w:after="120" w:line="280"/>
        <w:jc w:val="both"/>
      </w:pPr>
      <w:r>
        <w:t xml:space="preserve">DeepSeek-R1 (DeepSeek, 2025), trained via large-scale reinforcement learning, achieved performance comparable to OpenAI-o1 on mathematics and code generation at approximately 98% lower API cost (Lanz, 2025). Chen and Bao (2025) applied DeepSeek-R1 to concrete-filled steel tubular structural analysis code generation with consistently accurate results. The May 2025 update R1-0528 added structured JSON output and function-calling. A lightweight Llama-based multi-agent system achieved over 80% accuracy on 20 structural analysis benchmarks, outperforming both Gemini 2.5 Pro and GPT-4o (Liu, J., et al., 2025), challenging the assumption that larger models are always superior for structured engineering tasks.</w:t>
      </w:r>
    </w:p>
    <w:p>
      <w:pPr>
        <w:spacing w:after="120" w:line="280"/>
        <w:jc w:val="both"/>
      </w:pPr>
      <w:r>
        <w:t xml:space="preserve">The multi-agent paradigm spans a wide capability range. The MASSE system (Liang et al., 2025b) sits at the high-capability end, while the lightweight 2D-frame agent of Liu, J., et al. (2025), using Llama-3.3-70B with &gt;80% accuracy and outperforming Gemini-2.5 Pro and GPT-4o, demonstrates the lower bound. The present study positions Claude as a deliberate middle ground: more capable than the lightweight Llama systems on natural-language understanding but cheaper and more openly safety-tuned than GPT-4o. The architectural lesson — that agent specialisation and validation steps matter more than raw model size — is applied in the staged extraction → verification → analysis → compliance pipeline used here. Structured-extraction benchmarks such as LLMStructBench (Tenckhoff et al., 2026) and the engineering-task evaluation by Heesch et al. (2025) reinforce this: across 22 models tested, prompting strategy and structured validation matter more for JSON reliability than model scale, and no current model is reliable enough for autonomous deployment in engineering tasks — all should operate under expert oversight.</w:t>
      </w:r>
    </w:p>
    <w:p>
      <w:pPr>
        <w:spacing w:after="120" w:line="280"/>
        <w:jc w:val="both"/>
      </w:pPr>
      <w:r>
        <w:t xml:space="preserve">LLMs are also being deployed in adjacent simulation domains where the agent orchestrates a deterministic solver. Jiang et al. (2024) developed EPlus-LLM, achieving 100% accuracy on building energy model generation with 95%+ effort reduction. Zhang, L., et al. (2025) implemented an agentic EnergyPlus workflow demonstrating robustness to noisy prompts. These results are methodologically analogous to the present study (LLM parses description → deterministic simulator runs → LLM interprets output), confirming the viability of the pattern. The non-zero residual error rates also motivate the mandatory human verification checkpoint adopted in the seismic context, where consequences of error are more severe than in energy modelling. Chang et al. (2023) provides the broader evaluation framework: task-specific benchmarks and validation metrics are essential rather than generic capability claims.</w:t>
      </w:r>
    </w:p>
    <w:p>
      <w:pPr>
        <w:pStyle w:val="Heading2"/>
        <w:spacing w:after="160" w:before="280"/>
      </w:pPr>
      <w:r>
        <w:rPr>
          <w:b/>
          <w:bCs/>
          <w:sz w:val="26"/>
          <w:szCs w:val="26"/>
        </w:rPr>
        <w:t xml:space="preserve">2.4 Safety, Hallucination, and Human-in-the-Loop</w:t>
      </w:r>
    </w:p>
    <w:p>
      <w:pPr>
        <w:spacing w:after="120" w:line="280"/>
        <w:jc w:val="both"/>
      </w:pPr>
      <w:r>
        <w:t xml:space="preserve">Ahmad (2025) introduced the concept of Recursive Hallucination — the propagation of structurally plausible but physically incorrect values through LLM-generated models — as a fundamental risk in automated structural analysis. Ahmad (2025) argued that relying on post-hoc human oversight to police stochastic LLM errors is insufficient for the strict liability requirements of seismic engineering, advocating for Retrieval-Augmented Generation (RAG) architectures grounded in verified regulatory documents. Wang et al. (2024) identified data governance and model interpretability as the primary barriers to embedding generative AI in AEC workflows. Bai et al. (2022) and Kundu et al. (2023) describe the Constitutional AI training pattern adopted in Claude, while Zhang, X. (2025), Lindström et al. (2025) and Agbemabiese (2026) note that constitutional methods reduce but do not eliminate harmful behaviours and need supplementing with external governance. The present study addresses hallucination risk through a mandatory pre-analysis human verification checkpoint: no analysis proceeds without explicit engineer sign-off on all 24 extracted parameters.</w:t>
      </w:r>
    </w:p>
    <w:p>
      <w:pPr>
        <w:pStyle w:val="Heading2"/>
        <w:spacing w:after="160" w:before="280"/>
      </w:pPr>
      <w:r>
        <w:rPr>
          <w:b/>
          <w:bCs/>
          <w:sz w:val="26"/>
          <w:szCs w:val="26"/>
        </w:rPr>
        <w:t xml:space="preserve">2.5 Research Contribution</w:t>
      </w:r>
    </w:p>
    <w:p>
      <w:pPr>
        <w:spacing w:after="120" w:line="280"/>
        <w:jc w:val="both"/>
      </w:pPr>
      <w:r>
        <w:t xml:space="preserve">This study makes four specific contributions. First, it provides the first implementation and evaluation of an LLM-orchestrated workflow for residential seismic vulnerability assessment under AS 1170.4, incorporating Amendment No. 2 (2018). Second, it provides the first comparative evaluation of Claude, GPT-4o, and DeepSeek-R1 specifically for structural parameter extraction in the seismic assessment context. Third, it documents and resolves a previously unreported OpenSeesPy solver incompatibility — ARPACK failure with equalDOF constraints — relevant to any researcher implementing rigid diaphragm models. Fourth, it implements eleven engineering demand parameters, including pushover analysis and P-Delta stability assessment, extending beyond the basic PIDR check used in prior LLM structural engineering studies.</w:t>
      </w:r>
    </w:p>
    <w:p>
      <w:r>
        <w:br w:type="page"/>
      </w:r>
    </w:p>
    <w:p>
      <w:pPr>
        <w:pStyle w:val="Heading1"/>
        <w:spacing w:after="200" w:before="360"/>
      </w:pPr>
      <w:r>
        <w:rPr>
          <w:b/>
          <w:bCs/>
          <w:sz w:val="32"/>
          <w:szCs w:val="32"/>
        </w:rPr>
        <w:t xml:space="preserve">3. Methodology</w:t>
      </w:r>
    </w:p>
    <w:p>
      <w:pPr>
        <w:pStyle w:val="Heading2"/>
        <w:spacing w:after="160" w:before="280"/>
      </w:pPr>
      <w:r>
        <w:rPr>
          <w:b/>
          <w:bCs/>
          <w:sz w:val="26"/>
          <w:szCs w:val="26"/>
        </w:rPr>
        <w:t xml:space="preserve">3.1 Research Design</w:t>
      </w:r>
    </w:p>
    <w:p>
      <w:pPr>
        <w:spacing w:after="120" w:line="280"/>
        <w:jc w:val="both"/>
      </w:pPr>
      <w:r>
        <w:t xml:space="preserve">This study adopts a computational design science research paradigm (Hevner et al., 2004), developing an innovative computational artefact — an LLM-orchestrated workflow system — and evaluating its performance against established analytical benchmarks. The proof-of-concept scope reflects the single-semester timeframe and the appropriate first step in a research programme that would need to demonstrate feasibility at a small scale before scaling to portfolio applications. The term LLM-orchestrated workflow rather than autonomous agentic AI is used throughout: the system coordinates a structured sequence of deterministic computational tools using LLM natural language processing with human verification at critical decision points, without genuine autonomy in the engineering sense.</w:t>
      </w:r>
    </w:p>
    <w:p>
      <w:pPr>
        <w:pStyle w:val="Heading2"/>
        <w:spacing w:after="160" w:before="280"/>
      </w:pPr>
      <w:r>
        <w:rPr>
          <w:b/>
          <w:bCs/>
          <w:sz w:val="26"/>
          <w:szCs w:val="26"/>
        </w:rPr>
        <w:t xml:space="preserve">3.2 Case Study Buildings</w:t>
      </w:r>
    </w:p>
    <w:p>
      <w:pPr>
        <w:spacing w:after="120" w:line="280"/>
        <w:jc w:val="both"/>
      </w:pPr>
      <w:r>
        <w:t xml:space="preserve">Three representative residential RC frame buildings are defined based on the construction eras and material standards typical of the Newcastle and Sydney residential stock. Geometry is held constant across all buildings to isolate the effect of era-specific material properties and reinforcement detailing on seismic performance. The buildings are modelled as 2D plane frames with three bays at 4.0 m spacing (floor plan 12 m × 8 m, 2 storeys at 3.0 m each). Seismic parameters are consistent: Z = 0.11 (Newcastle, AS 1170.4:2007), kpZ = max(1.0 × 0.11, 0.08) = 0.11 (Amendment 2 applied), Site Class De, Importance Level 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400"/>
      </w:tblGrid>
      <w:tr>
        <w:trPr>
          <w:tblHeader/>
        </w:trPr>
        <w:tc>
          <w:tcPr>
            <w:tcW w:type="dxa" w:w="2200"/>
            <w:tcBorders>
              <w:top w:val="single" w:color="999999" w:sz="4"/>
              <w:left w:val="single" w:color="999999" w:sz="4"/>
              <w:bottom w:val="single" w:color="999999" w:sz="4"/>
              <w:right w:val="single" w:color="999999" w:sz="4"/>
            </w:tcBorders>
            <w:shd w:fill="D5E8F0" w:color="auto" w:val="clear"/>
            <w:tcMar>
              <w:top w:type="dxa" w:w="80"/>
              <w:left w:type="dxa" w:w="100"/>
              <w:bottom w:type="dxa" w:w="80"/>
              <w:right w:type="dxa" w:w="100"/>
            </w:tcMar>
          </w:tcPr>
          <w:p>
            <w:pPr>
              <w:spacing w:after="0"/>
            </w:pPr>
            <w:r>
              <w:rPr>
                <w:b/>
                <w:bCs/>
                <w:sz w:val="18"/>
                <w:szCs w:val="18"/>
              </w:rPr>
              <w:t xml:space="preserve">Parameter</w:t>
            </w:r>
          </w:p>
        </w:tc>
        <w:tc>
          <w:tcPr>
            <w:tcW w:type="dxa" w:w="2400"/>
            <w:tcBorders>
              <w:top w:val="single" w:color="999999" w:sz="4"/>
              <w:left w:val="single" w:color="999999" w:sz="4"/>
              <w:bottom w:val="single" w:color="999999" w:sz="4"/>
              <w:right w:val="single" w:color="999999" w:sz="4"/>
            </w:tcBorders>
            <w:shd w:fill="D5E8F0" w:color="auto" w:val="clear"/>
            <w:tcMar>
              <w:top w:type="dxa" w:w="80"/>
              <w:left w:type="dxa" w:w="100"/>
              <w:bottom w:type="dxa" w:w="80"/>
              <w:right w:type="dxa" w:w="100"/>
            </w:tcMar>
          </w:tcPr>
          <w:p>
            <w:pPr>
              <w:spacing w:after="0"/>
            </w:pPr>
            <w:r>
              <w:rPr>
                <w:b/>
                <w:bCs/>
                <w:sz w:val="18"/>
                <w:szCs w:val="18"/>
              </w:rPr>
              <w:t xml:space="preserve">Building 1 (Pre-1990)</w:t>
            </w:r>
          </w:p>
        </w:tc>
        <w:tc>
          <w:tcPr>
            <w:tcW w:type="dxa" w:w="2400"/>
            <w:tcBorders>
              <w:top w:val="single" w:color="999999" w:sz="4"/>
              <w:left w:val="single" w:color="999999" w:sz="4"/>
              <w:bottom w:val="single" w:color="999999" w:sz="4"/>
              <w:right w:val="single" w:color="999999" w:sz="4"/>
            </w:tcBorders>
            <w:shd w:fill="D5E8F0" w:color="auto" w:val="clear"/>
            <w:tcMar>
              <w:top w:type="dxa" w:w="80"/>
              <w:left w:type="dxa" w:w="100"/>
              <w:bottom w:type="dxa" w:w="80"/>
              <w:right w:type="dxa" w:w="100"/>
            </w:tcMar>
          </w:tcPr>
          <w:p>
            <w:pPr>
              <w:spacing w:after="0"/>
            </w:pPr>
            <w:r>
              <w:rPr>
                <w:b/>
                <w:bCs/>
                <w:sz w:val="18"/>
                <w:szCs w:val="18"/>
              </w:rPr>
              <w:t xml:space="preserve">Building 2 (Post-1990)</w:t>
            </w:r>
          </w:p>
        </w:tc>
        <w:tc>
          <w:tcPr>
            <w:tcW w:type="dxa" w:w="2400"/>
            <w:tcBorders>
              <w:top w:val="single" w:color="999999" w:sz="4"/>
              <w:left w:val="single" w:color="999999" w:sz="4"/>
              <w:bottom w:val="single" w:color="999999" w:sz="4"/>
              <w:right w:val="single" w:color="999999" w:sz="4"/>
            </w:tcBorders>
            <w:shd w:fill="D5E8F0" w:color="auto" w:val="clear"/>
            <w:tcMar>
              <w:top w:type="dxa" w:w="80"/>
              <w:left w:type="dxa" w:w="100"/>
              <w:bottom w:type="dxa" w:w="80"/>
              <w:right w:type="dxa" w:w="100"/>
            </w:tcMar>
          </w:tcPr>
          <w:p>
            <w:pPr>
              <w:spacing w:after="0"/>
            </w:pPr>
            <w:r>
              <w:rPr>
                <w:b/>
                <w:bCs/>
                <w:sz w:val="18"/>
                <w:szCs w:val="18"/>
              </w:rPr>
              <w:t xml:space="preserve">Building 3 (Post-2010)</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Code era</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Pre-AS 1170.4:1993 (no seismic code)</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AS 1170.4:1993 (moderate ductility)</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AS 1170.4:2007 (full ductility)</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f'c (MPa)</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20</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32</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40</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fy (MPa)</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250 (R-grade)</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500 (D500N)</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500 (D500N)</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Ec (MPa, AS 3600)</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22,610</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28,566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31,972</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Column (mm)</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300 × 300</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350 × 350</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400 × 400</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Beam (mm)</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300 × 450</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300 × 500</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350 × 550</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Column ρ (%)</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1.5</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2.0</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2.5</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ε_c0 core</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−0.004</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−0.005</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−0.006</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ε_cu core</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−0.012</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−0.020</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−0.030</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Ductility μ</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2.0 (limited)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3.0 (moderate)</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4.0 (full)</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Perf. factor Sp</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0.77</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0.67</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0.67</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Z / kpZ (Amd 2)</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0.11 / 0.11</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0.11 / 0.11</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0.11 / 0.11</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Confinement</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Poor (pre-code)</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Moderate</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Full (ductile detailing)</w:t>
            </w:r>
          </w:p>
        </w:tc>
      </w:tr>
    </w:tbl>
    <w:p>
      <w:pPr>
        <w:spacing w:after="200" w:before="80"/>
        <w:jc w:val="both"/>
      </w:pPr>
      <w:r>
        <w:rPr>
          <w:i/>
          <w:iCs/>
          <w:sz w:val="18"/>
          <w:szCs w:val="18"/>
        </w:rPr>
        <w:t xml:space="preserve">Table 1. Case study building parameters. kpZ = max(kp × Z, 0.08) per AS 1170.4 Amendment No. 2 Cl 3.3 (Standards Australia, 2018). Ec calculated per AS 3600: Ec = 0.043ρ^1.5√f'c, ρ = 2400 kg/m³.</w:t>
      </w:r>
    </w:p>
    <w:p>
      <w:pPr>
        <w:pStyle w:val="Heading2"/>
        <w:spacing w:after="160" w:before="280"/>
      </w:pPr>
      <w:r>
        <w:rPr>
          <w:b/>
          <w:bCs/>
          <w:sz w:val="26"/>
          <w:szCs w:val="26"/>
        </w:rPr>
        <w:t xml:space="preserve">3.3 LLM Parameter Extraction Pipeline</w:t>
      </w:r>
    </w:p>
    <w:p>
      <w:pPr>
        <w:spacing w:after="120" w:line="280"/>
        <w:jc w:val="both"/>
      </w:pPr>
      <w:r>
        <w:t xml:space="preserve">The extraction system prompts Claude (claude-sonnet-4-6) with a 400-token system prompt specifying all 24 required structural parameters, engineering rules for era-dependent defaults per AS 3600:2018, plausibility bounds checking, and instructions to produce bare JSON without markdown contamination. Era is detected from year keywords or descriptors; floor geometry from patterns such as '12m × 8m'; seismic zone from Australian city names mapped to AS 1170.4 Z-values with Amendment 2 minimum applied. The confidence score and assumptions array are mandatory output fields. A demo mode (keyword-based extraction) is implemented for zero-cost reproducibility.</w:t>
      </w:r>
    </w:p>
    <w:p>
      <w:pPr>
        <w:spacing w:after="120" w:line="280"/>
        <w:jc w:val="both"/>
      </w:pPr>
      <w:r>
        <w:t xml:space="preserve">The human verification checkpoint displays all 24 extracted parameters with flagged assumptions, validation bounds, and a Y/E/N decision interface before any analysis is run. This mandatory gating mechanism implements the pre-analysis human verification recommended by Ahmad (2025) for safety-critical LLM engineering applications.</w:t>
      </w:r>
    </w:p>
    <w:p>
      <w:pPr>
        <w:pStyle w:val="Heading2"/>
        <w:spacing w:after="160" w:before="280"/>
      </w:pPr>
      <w:r>
        <w:rPr>
          <w:b/>
          <w:bCs/>
          <w:sz w:val="26"/>
          <w:szCs w:val="26"/>
        </w:rPr>
        <w:t xml:space="preserve">3.4 OpenSeesPy Model Architecture</w:t>
      </w:r>
    </w:p>
    <w:p>
      <w:pPr>
        <w:spacing w:after="120" w:line="280"/>
        <w:jc w:val="both"/>
      </w:pPr>
      <w:r>
        <w:t xml:space="preserve">A 2D nonlinear RC plane frame is constructed using nonlinearBeamColumn elements with fibre cross-sections. Core concrete uses Concrete01 (Kent-Scott-Park confined) with era-dependent confinement parameters; cover concrete uses Concrete01 with zero residual strength. Steel uses Steel01 (bilinear, 1% strain hardening). Column sections are defined per storey (tag = 10 + storey_index), enabling floor-by-floor size variation for n-storey buildings. PDelta geometric transformation is applied to columns. Rigid floor diaphragms use equalDOF constraints on DOF 1 (X-translation). The model is generalisable to n = 1–8 storeys.</w:t>
      </w:r>
    </w:p>
    <w:p>
      <w:pPr>
        <w:pStyle w:val="Heading3"/>
        <w:spacing w:after="120" w:before="200"/>
      </w:pPr>
      <w:r>
        <w:rPr>
          <w:b/>
          <w:bCs/>
          <w:sz w:val="24"/>
          <w:szCs w:val="24"/>
        </w:rPr>
        <w:t xml:space="preserve">3.4.1 Critical Technical Note — ARPACK Incompatibility</w:t>
      </w:r>
    </w:p>
    <w:p>
      <w:pPr>
        <w:spacing w:after="120" w:line="280"/>
        <w:jc w:val="both"/>
      </w:pPr>
      <w:r>
        <w:t xml:space="preserve">The default ARPACK eigenvalue solver fails with 'Starting vector is zero' when equalDOF constraints are present, and mass is assigned only to master nodes. Root cause: ARPACK initialises with a zero-starting vector in the null space of the singular mass matrix created by master-node-only mass assignment. Fix: ops.eigen('-fullGenLapack', n_modes). This is undocumented in the OpenSeesPy documentation and documented in the project repository at docs/KNOWN_ISSUES.md.</w:t>
      </w:r>
    </w:p>
    <w:p>
      <w:pPr>
        <w:pStyle w:val="Heading2"/>
        <w:spacing w:after="160" w:before="280"/>
      </w:pPr>
      <w:r>
        <w:rPr>
          <w:b/>
          <w:bCs/>
          <w:sz w:val="26"/>
          <w:szCs w:val="26"/>
        </w:rPr>
        <w:t xml:space="preserve">3.5 AS 1170.4 + Amendment 2 Static Analysis</w:t>
      </w:r>
    </w:p>
    <w:p>
      <w:pPr>
        <w:spacing w:after="120" w:line="280"/>
        <w:jc w:val="both"/>
      </w:pPr>
      <w:r>
        <w:t xml:space="preserve">Equivalent static base shear: V = (kpZ / μ) × Sp × Ch(T1) × W, where kpZ = max(kp × Z, 0.08) per Amendment No. 2 Clause 3.3 Table 3.3 (Standards Australia, 2018). Minimum base shear: V ≥ 0.01W per Clause 6.2.3. Spectral shape factor Ch(T) for Site De: Ch = 2.35 for T ≤ 0.10 s; Ch = 1.65×(0.1/T)^0.85 for 0.10 &lt; T &lt; 1.50 s; Ch = 1.10×(1.5/T)^2.0 for T ≥ 1.50 s. Lateral force distribution uses the k-exponent method (Clause 6.3): k = 1.0 for T ≤ 0.5 s, k = 2.0 for T ≥ 2.5 s, interpolated between. P-Delta stability coefficient θ = (P × δ) / (V × h) computed per Clause 6.5; θ &gt; 0.10 requires P-Delta consideration.</w:t>
      </w:r>
    </w:p>
    <w:p>
      <w:pPr>
        <w:pStyle w:val="Heading2"/>
        <w:spacing w:after="160" w:before="280"/>
      </w:pPr>
      <w:r>
        <w:rPr>
          <w:b/>
          <w:bCs/>
          <w:sz w:val="26"/>
          <w:szCs w:val="26"/>
        </w:rPr>
        <w:t xml:space="preserve">3.6 Pushover Analysis</w:t>
      </w:r>
    </w:p>
    <w:p>
      <w:pPr>
        <w:spacing w:after="120" w:line="280"/>
        <w:jc w:val="both"/>
      </w:pPr>
      <w:r>
        <w:t xml:space="preserve">Displacement-controlled pushover analysis is performed for each building per the ATC-40 / ASCE 41-17 approach. An inverted-triangle lateral load pattern is applied, proportional to floor height divided by total building height. The control node (roof master node) is pushed to 3% roof drift over 200 steps. The capacity curve — base shear versus roof drift percentage — is plotted for each building. The yield displacement is approximated at 60% of peak base shear (bilinear idealisation). Ductility ratio μ_actual = Δ_ultimate / Δ_yield. The effective period T_eff = 2π√(W/g/k_eff) at peak response is compared against T1_FEM for consistency.</w:t>
      </w:r>
    </w:p>
    <w:p>
      <w:pPr>
        <w:pStyle w:val="Heading2"/>
        <w:spacing w:after="160" w:before="280"/>
      </w:pPr>
      <w:r>
        <w:rPr>
          <w:b/>
          <w:bCs/>
          <w:sz w:val="26"/>
          <w:szCs w:val="26"/>
        </w:rPr>
        <w:t xml:space="preserve">3.7 Time-History Analysis and EDPs</w:t>
      </w:r>
    </w:p>
    <w:p>
      <w:pPr>
        <w:spacing w:after="120" w:line="280"/>
        <w:jc w:val="both"/>
      </w:pPr>
      <w:r>
        <w:t xml:space="preserve">Nonlinear transient analysis uses Newmark average acceleration (γ = 0.5, β = 0.25) with dt_sub = 0.005 s. Rayleigh damping: 5% at modes 1 and 2. Constraints: Transformation (required for equalDOF). Solver: UmfPack. Convergence fallback: Newton → Krylov Newton (dt/10) → Modified Newton-initial (dt/20). Ground motion: synthetic sine-wave, PGA = kpZ × g = 0.11 × 9.81 = 1.079 m/s², dominant frequency min(1/T1, 4.0) Hz, Hanning envelope, 20 s duration.</w:t>
      </w:r>
    </w:p>
    <w:p>
      <w:pPr>
        <w:spacing w:after="120" w:line="280"/>
        <w:jc w:val="both"/>
      </w:pPr>
      <w:r>
        <w:t xml:space="preserve">Eleven EDPs are computed: (1) PIDR per storey; (2) storey shear via inertial force summation V_i = Σ m_j a_j; (3) overturning moment per level; (4) P-Delta stability coefficient θ per storey; (5) storey lateral stiffness k_eff = V_peak/δ_peak; (6) absolute floor accelerations a_abs = a_ground + d²u/dt²; (7) column axial load ratio N/Nuo per AS 3600; (8) performance level per ASCE 41-17; (9) HAZUS damage state per FEMA (2003); (10) cumulative ductility demand; (11) maximum roof displacement.</w:t>
      </w:r>
    </w:p>
    <w:p>
      <w:r>
        <w:br w:type="page"/>
      </w:r>
    </w:p>
    <w:p>
      <w:pPr>
        <w:pStyle w:val="Heading1"/>
        <w:spacing w:after="200" w:before="360"/>
      </w:pPr>
      <w:r>
        <w:rPr>
          <w:b/>
          <w:bCs/>
          <w:sz w:val="32"/>
          <w:szCs w:val="32"/>
        </w:rPr>
        <w:t xml:space="preserve">4. Findings and Engineering Results</w:t>
      </w:r>
    </w:p>
    <w:p>
      <w:pPr>
        <w:pStyle w:val="Heading2"/>
        <w:spacing w:after="160" w:before="280"/>
      </w:pPr>
      <w:r>
        <w:rPr>
          <w:b/>
          <w:bCs/>
          <w:sz w:val="26"/>
          <w:szCs w:val="26"/>
        </w:rPr>
        <w:t xml:space="preserve">4.1 AS 1170.4 + Amendment 2 Static Analysis</w:t>
      </w:r>
    </w:p>
    <w:p>
      <w:pPr>
        <w:spacing w:after="120" w:line="280"/>
        <w:jc w:val="both"/>
      </w:pPr>
      <w:r>
        <w:t xml:space="preserve">The Amendment 2 minimum kpZ = 0.08 does not change design actions for Newcastle (Z = 0.11), Sydney (Z = 0.08) or any locality already at or above 0.08, but increases the effective design base shear in Brisbane and Hobart (Z_raw = 0.05) by 60%, with implications for existing stock in those cities (Allen et al., 2020; Allen, 2020). For all three case-study buildings, the code period T1_code = 0.288 s gives T1 &lt; 0.5 s, so the lateral force exponent is k = 1.0 (inverted-triangle distribution).</w:t>
      </w:r>
    </w:p>
    <w:p>
      <w:pPr>
        <w:spacing w:after="120" w:line="280"/>
        <w:jc w:val="both"/>
      </w:pPr>
      <w:r>
        <w:t xml:space="preserve">The equivalent-static results (Table 2) show identical seismic weight and code period across eras, but a strong dependence of base shear on ductility: Building 1 (μ = 2.0) attracts 2.31 times the base shear of Building 3 (μ = 4.0). This directly reflects the force-reduction framework in AS 1170.4 and aligns with Australian guidance that assumed ductility must be explicitly detailed and verified (Menegon et al., 2018).</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400"/>
      </w:tblGrid>
      <w:tr>
        <w:trPr>
          <w:tblHeader/>
        </w:trPr>
        <w:tc>
          <w:tcPr>
            <w:tcW w:type="dxa" w:w="2200"/>
            <w:tcBorders>
              <w:top w:val="single" w:color="999999" w:sz="4"/>
              <w:left w:val="single" w:color="999999" w:sz="4"/>
              <w:bottom w:val="single" w:color="999999" w:sz="4"/>
              <w:right w:val="single" w:color="999999" w:sz="4"/>
            </w:tcBorders>
            <w:shd w:fill="D5E8F0" w:color="auto" w:val="clear"/>
            <w:tcMar>
              <w:top w:type="dxa" w:w="80"/>
              <w:left w:type="dxa" w:w="100"/>
              <w:bottom w:type="dxa" w:w="80"/>
              <w:right w:type="dxa" w:w="100"/>
            </w:tcMar>
          </w:tcPr>
          <w:p>
            <w:pPr>
              <w:spacing w:after="0"/>
            </w:pPr>
            <w:r>
              <w:rPr>
                <w:b/>
                <w:bCs/>
                <w:sz w:val="18"/>
                <w:szCs w:val="18"/>
              </w:rPr>
              <w:t xml:space="preserve">Parameter</w:t>
            </w:r>
          </w:p>
        </w:tc>
        <w:tc>
          <w:tcPr>
            <w:tcW w:type="dxa" w:w="2400"/>
            <w:tcBorders>
              <w:top w:val="single" w:color="999999" w:sz="4"/>
              <w:left w:val="single" w:color="999999" w:sz="4"/>
              <w:bottom w:val="single" w:color="999999" w:sz="4"/>
              <w:right w:val="single" w:color="999999" w:sz="4"/>
            </w:tcBorders>
            <w:shd w:fill="D5E8F0" w:color="auto" w:val="clear"/>
            <w:tcMar>
              <w:top w:type="dxa" w:w="80"/>
              <w:left w:type="dxa" w:w="100"/>
              <w:bottom w:type="dxa" w:w="80"/>
              <w:right w:type="dxa" w:w="100"/>
            </w:tcMar>
          </w:tcPr>
          <w:p>
            <w:pPr>
              <w:spacing w:after="0"/>
            </w:pPr>
            <w:r>
              <w:rPr>
                <w:b/>
                <w:bCs/>
                <w:sz w:val="18"/>
                <w:szCs w:val="18"/>
              </w:rPr>
              <w:t xml:space="preserve">Building 1 (Pre-1990)</w:t>
            </w:r>
          </w:p>
        </w:tc>
        <w:tc>
          <w:tcPr>
            <w:tcW w:type="dxa" w:w="2400"/>
            <w:tcBorders>
              <w:top w:val="single" w:color="999999" w:sz="4"/>
              <w:left w:val="single" w:color="999999" w:sz="4"/>
              <w:bottom w:val="single" w:color="999999" w:sz="4"/>
              <w:right w:val="single" w:color="999999" w:sz="4"/>
            </w:tcBorders>
            <w:shd w:fill="D5E8F0" w:color="auto" w:val="clear"/>
            <w:tcMar>
              <w:top w:type="dxa" w:w="80"/>
              <w:left w:type="dxa" w:w="100"/>
              <w:bottom w:type="dxa" w:w="80"/>
              <w:right w:type="dxa" w:w="100"/>
            </w:tcMar>
          </w:tcPr>
          <w:p>
            <w:pPr>
              <w:spacing w:after="0"/>
            </w:pPr>
            <w:r>
              <w:rPr>
                <w:b/>
                <w:bCs/>
                <w:sz w:val="18"/>
                <w:szCs w:val="18"/>
              </w:rPr>
              <w:t xml:space="preserve">Building 2 (Post-1990)</w:t>
            </w:r>
          </w:p>
        </w:tc>
        <w:tc>
          <w:tcPr>
            <w:tcW w:type="dxa" w:w="2400"/>
            <w:tcBorders>
              <w:top w:val="single" w:color="999999" w:sz="4"/>
              <w:left w:val="single" w:color="999999" w:sz="4"/>
              <w:bottom w:val="single" w:color="999999" w:sz="4"/>
              <w:right w:val="single" w:color="999999" w:sz="4"/>
            </w:tcBorders>
            <w:shd w:fill="D5E8F0" w:color="auto" w:val="clear"/>
            <w:tcMar>
              <w:top w:type="dxa" w:w="80"/>
              <w:left w:type="dxa" w:w="100"/>
              <w:bottom w:type="dxa" w:w="80"/>
              <w:right w:type="dxa" w:w="100"/>
            </w:tcMar>
          </w:tcPr>
          <w:p>
            <w:pPr>
              <w:spacing w:after="0"/>
            </w:pPr>
            <w:r>
              <w:rPr>
                <w:b/>
                <w:bCs/>
                <w:sz w:val="18"/>
                <w:szCs w:val="18"/>
              </w:rPr>
              <w:t xml:space="preserve">Building 3 (Post-2010)</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Seismic weight W (kN)</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1,075.2</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1,075.2</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1,075.2</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T1_approx (s) – code</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0.288</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0.288</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0.288</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Ch(T1), Site De</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0.672</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0.672</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0.672</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kpZ (Amd 2 applied)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0.110</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0.110</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0.110</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Ductility μ</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2.0</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3.0</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4.0</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Perf. factor Sp</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0.77</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0.67</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0.67</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V_static (kN)</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30.6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17.8</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13.3</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V/W ratio</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0.0285</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0.0165</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0.0124</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OTM_base_static (kN.m)</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183.6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106.8</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79.8</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N_uplift ext. col (kN)</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15.3</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8.9</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6.7</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k-exponent (Cl 6.3)</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1.0</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1.0</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1.0</w:t>
            </w:r>
          </w:p>
        </w:tc>
      </w:tr>
    </w:tbl>
    <w:p>
      <w:pPr>
        <w:spacing w:after="200" w:before="80"/>
        <w:jc w:val="both"/>
      </w:pPr>
      <w:r>
        <w:rPr>
          <w:i/>
          <w:iCs/>
          <w:sz w:val="18"/>
          <w:szCs w:val="18"/>
        </w:rPr>
        <w:t xml:space="preserve">Table 2. AS 1170.4:2007 + Amendment No. 2 equivalent static analysis results. V = (kpZ/μ) × Sp × Ch(T1) × W. Minimum V ≥ 0.01W (Cl 6.2.3). OTM_base = sum(F_i × h_i). N_uplift = OTM_base / frame_width (simplified). Building 1 attracts 2.31× the base shear of Building 3 due to μ = 2.0 versus 4.0 combined with Sp = 0.77 versus 0.67.</w:t>
      </w:r>
    </w:p>
    <w:p>
      <w:pPr>
        <w:pStyle w:val="Heading2"/>
        <w:spacing w:after="160" w:before="280"/>
      </w:pPr>
      <w:r>
        <w:rPr>
          <w:b/>
          <w:bCs/>
          <w:sz w:val="26"/>
          <w:szCs w:val="26"/>
        </w:rPr>
        <w:t xml:space="preserve">4.2 Structural Irregularity Assessment (AS 1170.4 Cl. 5.2)</w:t>
      </w:r>
    </w:p>
    <w:p>
      <w:pPr>
        <w:spacing w:after="120" w:line="280"/>
        <w:jc w:val="both"/>
      </w:pPr>
      <w:r>
        <w:t xml:space="preserve">Irregularity screening using gross-section stiffness confirms all frames are regular in stiffness, mass and geometry. For the uniform 2-storey systems, k_1/k_2 = 1.0 &gt; 0.70, floor masses are equal, and there are no setbacks, so all buildings satisfy the regularity criteria and the equivalent static procedure is applicable without height limitation (Menegon et al., 2018).</w:t>
      </w:r>
    </w:p>
    <w:p>
      <w:pPr>
        <w:pStyle w:val="Heading2"/>
        <w:spacing w:after="160" w:before="280"/>
      </w:pPr>
      <w:r>
        <w:rPr>
          <w:b/>
          <w:bCs/>
          <w:sz w:val="26"/>
          <w:szCs w:val="26"/>
        </w:rPr>
        <w:t xml:space="preserve">4.3 OpenSeesPy Model Verification</w:t>
      </w:r>
    </w:p>
    <w:p>
      <w:pPr>
        <w:spacing w:after="120" w:line="280"/>
        <w:jc w:val="both"/>
      </w:pPr>
      <w:r>
        <w:t xml:space="preserve">For Building 1, independently computed material, geometric and mass properties, seismic weights and base shear exactly match the OpenSeesPy inputs (0% discrepancy). The ARPACK eigen-solver failure in combination with rigid-diaphragm equalDOF constraints was resolved by switching to fullGenLapack, after which gravity analysis converged in 10 steps and Rayleigh damping coefficients (a_0 = 1.639, a_1 = 0.00412) reproduced 5% damping in modes 1 and 2. This level of verification is consistent with recommended practice for displacement-based assessment to AS 1170.4/AS 3600 (Menegon et al., 2021).</w:t>
      </w:r>
    </w:p>
    <w:p>
      <w:pPr>
        <w:pStyle w:val="Heading2"/>
        <w:spacing w:after="160" w:before="280"/>
      </w:pPr>
      <w:r>
        <w:rPr>
          <w:b/>
          <w:bCs/>
          <w:sz w:val="26"/>
          <w:szCs w:val="26"/>
        </w:rPr>
        <w:t xml:space="preserve">4.4 Eigenvalue Analysis: Modal Properties</w:t>
      </w:r>
    </w:p>
    <w:p>
      <w:pPr>
        <w:spacing w:after="120" w:line="280"/>
        <w:jc w:val="both"/>
      </w:pPr>
      <w:r>
        <w:t xml:space="preserve">FullGenLapack eigenvalue analysis yields fundamental periods that depend strongly on construction era, ranging from 2.12× the code approximation for the pre-1990 building down to 0.95× the code approximation for the post-2010 building (Table 3). This trend is consistent with studies showing that code empirical formulas are calibrated against older, more flexible building stock and tend to overestimate periods for stiff modern construction (Emad et al., 2026; Masi &amp; Vona, 2010; Crowley &amp; Pinho, 2004). The decreasing ratio T1_FEM/T1_code from 2.12 (Building 1) through 1.34 (Building 2) to 0.95 (Building 3) directly reflects the increasing column dimensions and concrete strengths in newer construction.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400"/>
      </w:tblGrid>
      <w:tr>
        <w:trPr>
          <w:tblHeader/>
        </w:trPr>
        <w:tc>
          <w:tcPr>
            <w:tcW w:type="dxa" w:w="2200"/>
            <w:tcBorders>
              <w:top w:val="single" w:color="999999" w:sz="4"/>
              <w:left w:val="single" w:color="999999" w:sz="4"/>
              <w:bottom w:val="single" w:color="999999" w:sz="4"/>
              <w:right w:val="single" w:color="999999" w:sz="4"/>
            </w:tcBorders>
            <w:shd w:fill="D5E8F0" w:color="auto" w:val="clear"/>
            <w:tcMar>
              <w:top w:type="dxa" w:w="80"/>
              <w:left w:type="dxa" w:w="100"/>
              <w:bottom w:type="dxa" w:w="80"/>
              <w:right w:type="dxa" w:w="100"/>
            </w:tcMar>
          </w:tcPr>
          <w:p>
            <w:pPr>
              <w:spacing w:after="0"/>
            </w:pPr>
            <w:r>
              <w:rPr>
                <w:b/>
                <w:bCs/>
                <w:sz w:val="18"/>
                <w:szCs w:val="18"/>
              </w:rPr>
              <w:t xml:space="preserve">Property</w:t>
            </w:r>
          </w:p>
        </w:tc>
        <w:tc>
          <w:tcPr>
            <w:tcW w:type="dxa" w:w="2400"/>
            <w:tcBorders>
              <w:top w:val="single" w:color="999999" w:sz="4"/>
              <w:left w:val="single" w:color="999999" w:sz="4"/>
              <w:bottom w:val="single" w:color="999999" w:sz="4"/>
              <w:right w:val="single" w:color="999999" w:sz="4"/>
            </w:tcBorders>
            <w:shd w:fill="D5E8F0" w:color="auto" w:val="clear"/>
            <w:tcMar>
              <w:top w:type="dxa" w:w="80"/>
              <w:left w:type="dxa" w:w="100"/>
              <w:bottom w:type="dxa" w:w="80"/>
              <w:right w:type="dxa" w:w="100"/>
            </w:tcMar>
          </w:tcPr>
          <w:p>
            <w:pPr>
              <w:spacing w:after="0"/>
            </w:pPr>
            <w:r>
              <w:rPr>
                <w:b/>
                <w:bCs/>
                <w:sz w:val="18"/>
                <w:szCs w:val="18"/>
              </w:rPr>
              <w:t xml:space="preserve">Building 1 (Pre-1990)</w:t>
            </w:r>
          </w:p>
        </w:tc>
        <w:tc>
          <w:tcPr>
            <w:tcW w:type="dxa" w:w="2400"/>
            <w:tcBorders>
              <w:top w:val="single" w:color="999999" w:sz="4"/>
              <w:left w:val="single" w:color="999999" w:sz="4"/>
              <w:bottom w:val="single" w:color="999999" w:sz="4"/>
              <w:right w:val="single" w:color="999999" w:sz="4"/>
            </w:tcBorders>
            <w:shd w:fill="D5E8F0" w:color="auto" w:val="clear"/>
            <w:tcMar>
              <w:top w:type="dxa" w:w="80"/>
              <w:left w:type="dxa" w:w="100"/>
              <w:bottom w:type="dxa" w:w="80"/>
              <w:right w:type="dxa" w:w="100"/>
            </w:tcMar>
          </w:tcPr>
          <w:p>
            <w:pPr>
              <w:spacing w:after="0"/>
            </w:pPr>
            <w:r>
              <w:rPr>
                <w:b/>
                <w:bCs/>
                <w:sz w:val="18"/>
                <w:szCs w:val="18"/>
              </w:rPr>
              <w:t xml:space="preserve">Building 2 (Post-1990)</w:t>
            </w:r>
          </w:p>
        </w:tc>
        <w:tc>
          <w:tcPr>
            <w:tcW w:type="dxa" w:w="2400"/>
            <w:tcBorders>
              <w:top w:val="single" w:color="999999" w:sz="4"/>
              <w:left w:val="single" w:color="999999" w:sz="4"/>
              <w:bottom w:val="single" w:color="999999" w:sz="4"/>
              <w:right w:val="single" w:color="999999" w:sz="4"/>
            </w:tcBorders>
            <w:shd w:fill="D5E8F0" w:color="auto" w:val="clear"/>
            <w:tcMar>
              <w:top w:type="dxa" w:w="80"/>
              <w:left w:type="dxa" w:w="100"/>
              <w:bottom w:type="dxa" w:w="80"/>
              <w:right w:type="dxa" w:w="100"/>
            </w:tcMar>
          </w:tcPr>
          <w:p>
            <w:pPr>
              <w:spacing w:after="0"/>
            </w:pPr>
            <w:r>
              <w:rPr>
                <w:b/>
                <w:bCs/>
                <w:sz w:val="18"/>
                <w:szCs w:val="18"/>
              </w:rPr>
              <w:t xml:space="preserve">Building 3 (Post-2010)</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T1 FEM (s) – fullGenLapack</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0.610</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0.385</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0.272</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T2 FEM (s)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0.200</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0.123</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0.086</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T1_code approx (s)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0.288</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0.288</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0.288</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T1/T1_code ratio</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2.12×</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1.34×</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0.95×</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Mode 1 mass participation (~)</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~81%</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~81%</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~81%</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ω1 (rad/s)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10.30</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16.34</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23.10</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ω2 (rad/s)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31.40</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51.28</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73.06</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Rayleigh a0</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0.7754</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1.2480</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1.7550</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Rayleigh a1</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0.00240</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0.00149</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0.00104</w:t>
            </w:r>
          </w:p>
        </w:tc>
      </w:tr>
    </w:tbl>
    <w:p>
      <w:pPr>
        <w:spacing w:after="200" w:before="80"/>
        <w:jc w:val="both"/>
      </w:pPr>
      <w:r>
        <w:rPr>
          <w:i/>
          <w:iCs/>
          <w:sz w:val="18"/>
          <w:szCs w:val="18"/>
        </w:rPr>
        <w:t xml:space="preserve">Table 3. Eigenvalue analysis results from the fullGenLapack solver. T1 ratios reflect the increasing initial stiffness of newer construction. Note that Building 3's FEM period is slightly shorter than the AS 1170.4 code approximation — modern stiff buildings can exceed the stiffness assumed by the empirical formula, which is calibrated against older stock.</w:t>
      </w:r>
    </w:p>
    <w:p>
      <w:pPr>
        <w:spacing w:after="120" w:line="280"/>
        <w:jc w:val="both"/>
      </w:pPr>
      <w:r>
        <w:t xml:space="preserve">Buildings 1 and 2 sit on the descending branch of the Site De spectrum, so period elongation reduces spectral acceleration demand, in line with displacement-based design concepts (Menegon et al., 2021; Emad et al., 2026; Katsanos et al., 2014; Katsanos et al., 2012). Building 3, with T1 = 0.272 s, sits near the peak of the spectrum and so receives the highest Ch value of the three buildings. The combination of high spectral demand but high ductility (μ = 4.0) and high overstrength (see Section 4.5) keeps Building 3 in the Immediate Occupancy range under the synthetic motion.</w:t>
      </w:r>
    </w:p>
    <w:p>
      <w:pPr>
        <w:pStyle w:val="Heading2"/>
        <w:spacing w:after="160" w:before="280"/>
      </w:pPr>
      <w:r>
        <w:rPr>
          <w:b/>
          <w:bCs/>
          <w:sz w:val="26"/>
          <w:szCs w:val="26"/>
        </w:rPr>
        <w:t xml:space="preserve">4.5 Pushover Capacity and Overstrength</w:t>
      </w:r>
    </w:p>
    <w:p>
      <w:pPr>
        <w:spacing w:after="120" w:line="280"/>
        <w:jc w:val="both"/>
      </w:pPr>
      <w:r>
        <w:t xml:space="preserve">Displacement-controlled pushover analyses to 3% roof drift show marked differences in capacity and overstrength (Table 4). Building 1 develops only modest overstrength (V_max/V_static = 1.91), whereas Buildings 2 and 3 exhibit much larger reserves (4.80 and 9.45). This pattern is consistent with pushover-based studies of limited-ductile RC walls and low-rise frames, which report relatively low overstrength for older, less-ductile systems and higher overstrength for modern ductile designs (Louzai &amp; Abed, 2015; Menegon et al., 2024; Kappos, 1999; Zahid et al., 2013).</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400"/>
      </w:tblGrid>
      <w:tr>
        <w:trPr>
          <w:tblHeader/>
        </w:trPr>
        <w:tc>
          <w:tcPr>
            <w:tcW w:type="dxa" w:w="2200"/>
            <w:tcBorders>
              <w:top w:val="single" w:color="999999" w:sz="4"/>
              <w:left w:val="single" w:color="999999" w:sz="4"/>
              <w:bottom w:val="single" w:color="999999" w:sz="4"/>
              <w:right w:val="single" w:color="999999" w:sz="4"/>
            </w:tcBorders>
            <w:shd w:fill="D5E8F0" w:color="auto" w:val="clear"/>
            <w:tcMar>
              <w:top w:type="dxa" w:w="80"/>
              <w:left w:type="dxa" w:w="100"/>
              <w:bottom w:type="dxa" w:w="80"/>
              <w:right w:type="dxa" w:w="100"/>
            </w:tcMar>
          </w:tcPr>
          <w:p>
            <w:pPr>
              <w:spacing w:after="0"/>
            </w:pPr>
            <w:r>
              <w:rPr>
                <w:b/>
                <w:bCs/>
                <w:sz w:val="18"/>
                <w:szCs w:val="18"/>
              </w:rPr>
              <w:t xml:space="preserve">Property</w:t>
            </w:r>
          </w:p>
        </w:tc>
        <w:tc>
          <w:tcPr>
            <w:tcW w:type="dxa" w:w="2400"/>
            <w:tcBorders>
              <w:top w:val="single" w:color="999999" w:sz="4"/>
              <w:left w:val="single" w:color="999999" w:sz="4"/>
              <w:bottom w:val="single" w:color="999999" w:sz="4"/>
              <w:right w:val="single" w:color="999999" w:sz="4"/>
            </w:tcBorders>
            <w:shd w:fill="D5E8F0" w:color="auto" w:val="clear"/>
            <w:tcMar>
              <w:top w:type="dxa" w:w="80"/>
              <w:left w:type="dxa" w:w="100"/>
              <w:bottom w:type="dxa" w:w="80"/>
              <w:right w:type="dxa" w:w="100"/>
            </w:tcMar>
          </w:tcPr>
          <w:p>
            <w:pPr>
              <w:spacing w:after="0"/>
            </w:pPr>
            <w:r>
              <w:rPr>
                <w:b/>
                <w:bCs/>
                <w:sz w:val="18"/>
                <w:szCs w:val="18"/>
              </w:rPr>
              <w:t xml:space="preserve">Building 1 (Pre-1990)</w:t>
            </w:r>
          </w:p>
        </w:tc>
        <w:tc>
          <w:tcPr>
            <w:tcW w:type="dxa" w:w="2400"/>
            <w:tcBorders>
              <w:top w:val="single" w:color="999999" w:sz="4"/>
              <w:left w:val="single" w:color="999999" w:sz="4"/>
              <w:bottom w:val="single" w:color="999999" w:sz="4"/>
              <w:right w:val="single" w:color="999999" w:sz="4"/>
            </w:tcBorders>
            <w:shd w:fill="D5E8F0" w:color="auto" w:val="clear"/>
            <w:tcMar>
              <w:top w:type="dxa" w:w="80"/>
              <w:left w:type="dxa" w:w="100"/>
              <w:bottom w:type="dxa" w:w="80"/>
              <w:right w:type="dxa" w:w="100"/>
            </w:tcMar>
          </w:tcPr>
          <w:p>
            <w:pPr>
              <w:spacing w:after="0"/>
            </w:pPr>
            <w:r>
              <w:rPr>
                <w:b/>
                <w:bCs/>
                <w:sz w:val="18"/>
                <w:szCs w:val="18"/>
              </w:rPr>
              <w:t xml:space="preserve">Building 2 (Post-1990)</w:t>
            </w:r>
          </w:p>
        </w:tc>
        <w:tc>
          <w:tcPr>
            <w:tcW w:type="dxa" w:w="2400"/>
            <w:tcBorders>
              <w:top w:val="single" w:color="999999" w:sz="4"/>
              <w:left w:val="single" w:color="999999" w:sz="4"/>
              <w:bottom w:val="single" w:color="999999" w:sz="4"/>
              <w:right w:val="single" w:color="999999" w:sz="4"/>
            </w:tcBorders>
            <w:shd w:fill="D5E8F0" w:color="auto" w:val="clear"/>
            <w:tcMar>
              <w:top w:type="dxa" w:w="80"/>
              <w:left w:type="dxa" w:w="100"/>
              <w:bottom w:type="dxa" w:w="80"/>
              <w:right w:type="dxa" w:w="100"/>
            </w:tcMar>
          </w:tcPr>
          <w:p>
            <w:pPr>
              <w:spacing w:after="0"/>
            </w:pPr>
            <w:r>
              <w:rPr>
                <w:b/>
                <w:bCs/>
                <w:sz w:val="18"/>
                <w:szCs w:val="18"/>
              </w:rPr>
              <w:t xml:space="preserve">Building 3 (Post-2010)</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V_max pushover (kN)</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58.4</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89.7</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132.3</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V_max / V_static ratio</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1.91×</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4.80×</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9.45×</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Δ_yield (mm, ~60% V_max)</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~28.0</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~22.0</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~18.5</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Δ_ultimate = 3% × Hn (mm)</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180.0</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180.0</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180.0</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Ductility μ_actual</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~6.4</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~8.2</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~9.7</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T_eff at peak (s)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~0.72</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~0.62</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~0.57</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Initial stiffness (kN/mm)</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~2.1</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~4.1</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~7.2</w:t>
            </w:r>
          </w:p>
        </w:tc>
      </w:tr>
    </w:tbl>
    <w:p>
      <w:pPr>
        <w:spacing w:after="200" w:before="80"/>
        <w:jc w:val="both"/>
      </w:pPr>
      <w:r>
        <w:rPr>
          <w:i/>
          <w:iCs/>
          <w:sz w:val="18"/>
          <w:szCs w:val="18"/>
        </w:rPr>
        <w:t xml:space="preserve">Table 4. Pushover analysis results for all buildings. V_max is the peak base shear from the capacity curve. Ductility μ_actual = Δ_ultimate / Δ_yield (bilinear idealisation at 60% V_max).</w:t>
      </w:r>
    </w:p>
    <w:p>
      <w:pPr>
        <w:spacing w:after="120" w:line="280"/>
        <w:jc w:val="both"/>
      </w:pPr>
      <w:r>
        <w:t xml:space="preserve">Idealised ductility demand μ_actual ranges from approximately 6.4 to 9.7, exceeding the code ductility factors used in the static design, again echoing findings that force-reduction factors and overstrength are tightly linked and depend strongly on detailing and geometry (Kappos, 1999; Elnashai &amp; Mwafy, 2002; Zahid et al., 2013). For Building 1, the small overstrength factor confirms limited reserve beyond code demand and supports its classification as comparatively vulnerable legacy stock (Louzai &amp; Abed, 2015; Menegon et al., 2018; Menegon et al., 2024). Borzi et al. (2008) and Pujades et al. (2025) further confirm that low overstrength is the principal driver of high fragility in pre-code and gravity-only RC frames.</w:t>
      </w:r>
    </w:p>
    <w:p>
      <w:pPr>
        <w:pStyle w:val="Heading2"/>
        <w:spacing w:after="160" w:before="280"/>
      </w:pPr>
      <w:r>
        <w:rPr>
          <w:b/>
          <w:bCs/>
          <w:sz w:val="26"/>
          <w:szCs w:val="26"/>
        </w:rPr>
        <w:t xml:space="preserve">4.6 Time-History Engineering Demand Parameters</w:t>
      </w:r>
    </w:p>
    <w:p>
      <w:pPr>
        <w:spacing w:after="120" w:line="280"/>
        <w:jc w:val="both"/>
      </w:pPr>
      <w:r>
        <w:t xml:space="preserve">Nonlinear time-history analyses under a synthetic near-resonant motion (PGA = kpZ × g) produce peak drifts, shears and accelerations summarised in Table 5. All peak inter-storey drift ratios remain below 0.6%, comfortably within the AS 1170.4 drift limit of 1.5%, but Building 1 reaches a peak PIDR of 0.516% — placing it in the Life Safety performance level per ASCE 41-17 and the Slight damage state per HAZUS (FEMA, 2003). Buildings 2 (PIDR 0.231%) and 3 (PIDR 0.127%) remain in the Immediate Occupancy / No damage range. This is the central engineering finding of the time-history analysis: although all three buildings are AS 1170.4 compliant (PIDR ≤ 1.5%), only the pre-1990 building approaches a damage threshold under the near-resonant motion. The dynamic results make the era-dependent vulnerability visible (Hokmabadi et al., 2012; Muho et al., 2021; Parizat et al., 2024).</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800"/>
        <w:gridCol w:w="1800"/>
        <w:gridCol w:w="1900"/>
      </w:tblGrid>
      <w:tr>
        <w:trPr>
          <w:tblHeader/>
        </w:trPr>
        <w:tc>
          <w:tcPr>
            <w:tcW w:type="dxa" w:w="2100"/>
            <w:tcBorders>
              <w:top w:val="single" w:color="999999" w:sz="4"/>
              <w:left w:val="single" w:color="999999" w:sz="4"/>
              <w:bottom w:val="single" w:color="999999" w:sz="4"/>
              <w:right w:val="single" w:color="999999" w:sz="4"/>
            </w:tcBorders>
            <w:shd w:fill="D5E8F0" w:color="auto" w:val="clear"/>
            <w:tcMar>
              <w:top w:type="dxa" w:w="80"/>
              <w:left w:type="dxa" w:w="100"/>
              <w:bottom w:type="dxa" w:w="80"/>
              <w:right w:type="dxa" w:w="100"/>
            </w:tcMar>
          </w:tcPr>
          <w:p>
            <w:pPr>
              <w:spacing w:after="0"/>
            </w:pPr>
            <w:r>
              <w:rPr>
                <w:b/>
                <w:bCs/>
                <w:sz w:val="18"/>
                <w:szCs w:val="18"/>
              </w:rPr>
              <w:t xml:space="preserve">EDP</w:t>
            </w:r>
          </w:p>
        </w:tc>
        <w:tc>
          <w:tcPr>
            <w:tcW w:type="dxa" w:w="1800"/>
            <w:tcBorders>
              <w:top w:val="single" w:color="999999" w:sz="4"/>
              <w:left w:val="single" w:color="999999" w:sz="4"/>
              <w:bottom w:val="single" w:color="999999" w:sz="4"/>
              <w:right w:val="single" w:color="999999" w:sz="4"/>
            </w:tcBorders>
            <w:shd w:fill="D5E8F0" w:color="auto" w:val="clear"/>
            <w:tcMar>
              <w:top w:type="dxa" w:w="80"/>
              <w:left w:type="dxa" w:w="100"/>
              <w:bottom w:type="dxa" w:w="80"/>
              <w:right w:type="dxa" w:w="100"/>
            </w:tcMar>
          </w:tcPr>
          <w:p>
            <w:pPr>
              <w:spacing w:after="0"/>
            </w:pPr>
            <w:r>
              <w:rPr>
                <w:b/>
                <w:bCs/>
                <w:sz w:val="18"/>
                <w:szCs w:val="18"/>
              </w:rPr>
              <w:t xml:space="preserve">Building 1</w:t>
            </w:r>
          </w:p>
        </w:tc>
        <w:tc>
          <w:tcPr>
            <w:tcW w:type="dxa" w:w="1800"/>
            <w:tcBorders>
              <w:top w:val="single" w:color="999999" w:sz="4"/>
              <w:left w:val="single" w:color="999999" w:sz="4"/>
              <w:bottom w:val="single" w:color="999999" w:sz="4"/>
              <w:right w:val="single" w:color="999999" w:sz="4"/>
            </w:tcBorders>
            <w:shd w:fill="D5E8F0" w:color="auto" w:val="clear"/>
            <w:tcMar>
              <w:top w:type="dxa" w:w="80"/>
              <w:left w:type="dxa" w:w="100"/>
              <w:bottom w:type="dxa" w:w="80"/>
              <w:right w:type="dxa" w:w="100"/>
            </w:tcMar>
          </w:tcPr>
          <w:p>
            <w:pPr>
              <w:spacing w:after="0"/>
            </w:pPr>
            <w:r>
              <w:rPr>
                <w:b/>
                <w:bCs/>
                <w:sz w:val="18"/>
                <w:szCs w:val="18"/>
              </w:rPr>
              <w:t xml:space="preserve">Building 2</w:t>
            </w:r>
          </w:p>
        </w:tc>
        <w:tc>
          <w:tcPr>
            <w:tcW w:type="dxa" w:w="1800"/>
            <w:tcBorders>
              <w:top w:val="single" w:color="999999" w:sz="4"/>
              <w:left w:val="single" w:color="999999" w:sz="4"/>
              <w:bottom w:val="single" w:color="999999" w:sz="4"/>
              <w:right w:val="single" w:color="999999" w:sz="4"/>
            </w:tcBorders>
            <w:shd w:fill="D5E8F0" w:color="auto" w:val="clear"/>
            <w:tcMar>
              <w:top w:type="dxa" w:w="80"/>
              <w:left w:type="dxa" w:w="100"/>
              <w:bottom w:type="dxa" w:w="80"/>
              <w:right w:type="dxa" w:w="100"/>
            </w:tcMar>
          </w:tcPr>
          <w:p>
            <w:pPr>
              <w:spacing w:after="0"/>
            </w:pPr>
            <w:r>
              <w:rPr>
                <w:b/>
                <w:bCs/>
                <w:sz w:val="18"/>
                <w:szCs w:val="18"/>
              </w:rPr>
              <w:t xml:space="preserve">Building 3</w:t>
            </w:r>
          </w:p>
        </w:tc>
        <w:tc>
          <w:tcPr>
            <w:tcW w:type="dxa" w:w="1900"/>
            <w:tcBorders>
              <w:top w:val="single" w:color="999999" w:sz="4"/>
              <w:left w:val="single" w:color="999999" w:sz="4"/>
              <w:bottom w:val="single" w:color="999999" w:sz="4"/>
              <w:right w:val="single" w:color="999999" w:sz="4"/>
            </w:tcBorders>
            <w:shd w:fill="D5E8F0" w:color="auto" w:val="clear"/>
            <w:tcMar>
              <w:top w:type="dxa" w:w="80"/>
              <w:left w:type="dxa" w:w="100"/>
              <w:bottom w:type="dxa" w:w="80"/>
              <w:right w:type="dxa" w:w="100"/>
            </w:tcMar>
          </w:tcPr>
          <w:p>
            <w:pPr>
              <w:spacing w:after="0"/>
            </w:pPr>
            <w:r>
              <w:rPr>
                <w:b/>
                <w:bCs/>
                <w:sz w:val="18"/>
                <w:szCs w:val="18"/>
              </w:rPr>
              <w:t xml:space="preserve">Limit/Reference</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T1 FEM (s)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0.610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0.385</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0.272</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T1_code (s)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0.288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0.288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0.288</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AS 1170.4 App B</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PIDR – Storey 1 (%)</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0.488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0.212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0.116</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&lt; 1.500%</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PIDR – Storey 2 (%)</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0.516*</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0.231*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0.127*</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&lt; 1.500% *govern</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V_static (kN)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30.6</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17.8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13.3</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V/W</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V_dynamic peak (kN)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141.5</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164.9</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193.2</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dyn/stat ratio</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V_dyn / V_stat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4.62×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9.29×</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14.50×</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Near-resonant GM</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OTM_base dynamic (kN.m)</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849.0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989.4</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1159.2</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6m building</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θ_max P-Delta (Cl 6.5)</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0.0371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0.0138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0.0065</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&lt; 0.10 (OK)</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k_eff Storey 1 (kN/m)</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~2,090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~5,260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~9,560</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Regular</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Soft storey detected?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No</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No</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No</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AS 1170.4 Cl 5.2</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PFA – Ground (g)</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0.110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0.110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0.110</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Input PGA</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PFA – Floor 1 abs. (g)</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0.062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0.074</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0.088</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Amplification</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PFA – Roof abs. (g)</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0.217</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0.251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0.287</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Amplification</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Amp. factor – Roof</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1.97×</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2.29×</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2.61×</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Roof/Ground</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N/Nuo exterior col (B1)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~0.15</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~0.12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~0.10</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&lt; 0.30</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Roof disp. max (mm)</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~14.7</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~9.4</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~6.3</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Cumulative ductility</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~2.5</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~1.7</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~1.3</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Performance level</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LS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IO</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IO</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ASCE 41-17</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HAZUS damage state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Slight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None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None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FEMA, 2003</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AS 1170.4 compliance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COMPLIANT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COMPLIANT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COMPLIANT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PIDR ≤ 1.5%</w:t>
            </w:r>
          </w:p>
        </w:tc>
      </w:tr>
    </w:tbl>
    <w:p>
      <w:pPr>
        <w:spacing w:after="200" w:before="80"/>
        <w:jc w:val="both"/>
      </w:pPr>
      <w:r>
        <w:rPr>
          <w:i/>
          <w:iCs/>
          <w:sz w:val="18"/>
          <w:szCs w:val="18"/>
        </w:rPr>
        <w:t xml:space="preserve">Table 5. Comprehensive EDP comparison across all three case study buildings under synthetic sine-wave GM (PGA = 0.11g). *Governing storey in all buildings is Storey 2. Results generated by src/demo_run_all.py after v2.0.0 bug fixes — see CHANGELOG.md in the project repository for details on the corrections that produce these values.</w:t>
      </w:r>
    </w:p>
    <w:p>
      <w:pPr>
        <w:spacing w:after="120" w:line="280"/>
        <w:jc w:val="both"/>
      </w:pPr>
      <w:r>
        <w:t xml:space="preserve">Dynamic base shears are 4.6–14.5 times the equivalent-static design values, with the ratio increasing systematically from Building 1 (4.6×) through Building 3 (14.5×). This is expected for near-resonant excitation combined with the steep code-prescribed reduction in design force for higher-ductility systems (the static V_design is divided by μ, so the higher-μ buildings have proportionally smaller design force relative to dynamic demand). The pattern highlights that equivalent-static base shear alone is a poor proxy for peak dynamic demand, particularly for ductile post-2010 construction (d'Aragona et al., 2020; Hokmabadi et al., 2012; Muho et al., 2021). Peak floor accelerations at the roof are amplified by factors of 1.97×–2.61× relative to the input PGA, with the amplification increasing for stiffer buildings (shorter T1) as they sit closer to the spectral peak. Despite these amplifications, all three buildings remain AS 1170.4 compliant in PIDR; the qualitative difference is that Building 1 reaches Life Safety / Slight damage states while Buildings 2 and 3 remain in the Immediate Occupancy / No damage range.</w:t>
      </w:r>
    </w:p>
    <w:p>
      <w:pPr>
        <w:pStyle w:val="Heading2"/>
        <w:spacing w:after="160" w:before="280"/>
      </w:pPr>
      <w:r>
        <w:rPr>
          <w:b/>
          <w:bCs/>
          <w:sz w:val="26"/>
          <w:szCs w:val="26"/>
        </w:rPr>
        <w:t xml:space="preserve">4.7 P-Delta Stability</w:t>
      </w:r>
    </w:p>
    <w:p>
      <w:pPr>
        <w:spacing w:after="120" w:line="280"/>
        <w:jc w:val="both"/>
      </w:pPr>
      <w:r>
        <w:t xml:space="preserve">Storey stability coefficients θ_i = (P_i δ_i)/(V_i h_i) remain well below the 0.10 P-Δ-consideration threshold for all buildings (θ_max = 0.0371 for Building 1, 0.0138 for Building 2, 0.0065 for Building 3), indicating negligible risk of P-Delta-induced instability under the analysed motion. The order-of-magnitude difference between Building 1 and Building 3 reflects the much greater drift demand in the pre-1990 building combined with similar gravity load (P) but lower lateral resistance (V). This is consistent with broader findings that P-Delta effects become critical primarily for taller or more flexible frames, or under strong near-fault pulses, where PIDR increases sharply (Zhang, R., et al., 2022; Cheng et al., 2022). Inclusion of PDelta geometric transformation in the OpenSeesPy model provides an additional safety margin throughout the time-history.</w:t>
      </w:r>
    </w:p>
    <w:p>
      <w:pPr>
        <w:pStyle w:val="Heading2"/>
        <w:spacing w:after="160" w:before="280"/>
      </w:pPr>
      <w:r>
        <w:rPr>
          <w:b/>
          <w:bCs/>
          <w:sz w:val="26"/>
          <w:szCs w:val="26"/>
        </w:rPr>
        <w:t xml:space="preserve">4.8 Column Axial Load Ratios (AS 3600)</w:t>
      </w:r>
    </w:p>
    <w:p>
      <w:pPr>
        <w:spacing w:after="120" w:line="280"/>
        <w:jc w:val="both"/>
      </w:pPr>
      <w:r>
        <w:t xml:space="preserve">Combined gravity-plus-seismic axial loads in the critical exterior ground-floor columns correspond to N/N_uo ≈ 0.10–0.15, comfortably below the N/N_uo &lt; 0.30 limit commonly associated with full ductility capacity in Australian practice (Menegon et al., 2021; Menegon et al., 2018). This is consistent with Australian displacement-based frameworks that emphasise low axial ratios to sustain the ductilities assumed in design (Menegon et al., 2021; Louzai &amp; Abed, 2015; Menegon et al., 2024). For taller or more heavily loaded frames, the literature shows that increased axial load can significantly reduce ductility and overstrength, requiring explicit check and possible reduction of the design ductility factor (Louzai &amp; Abed, 2015; Menegon et al., 2024; Kappos, 1999; Zahid et al., 2013).</w:t>
      </w:r>
    </w:p>
    <w:p>
      <w:pPr>
        <w:pStyle w:val="Heading2"/>
        <w:spacing w:after="160" w:before="280"/>
      </w:pPr>
      <w:r>
        <w:rPr>
          <w:b/>
          <w:bCs/>
          <w:sz w:val="26"/>
          <w:szCs w:val="26"/>
        </w:rPr>
        <w:t xml:space="preserve">4.9 LLM Comparative Evaluation: Claude vs. GPT-4o vs. DeepSeek-R1</w:t>
      </w:r>
    </w:p>
    <w:p>
      <w:pPr>
        <w:spacing w:after="120" w:line="280"/>
        <w:jc w:val="both"/>
      </w:pPr>
      <w:r>
        <w:t xml:space="preserve">Recent comparative evaluations of large language models for engineering tasks emphasise the importance of task-specific benchmarks: JSON validity, semantic accuracy, and cost-performance trade-offs (Chang et al., 2023; Tenckhoff et al., 2026; Heesch et al., 2025). A structured-extraction benchmark across 22 models including GPT-4o and DeepSeek-R1 (Tenckhoff et al., 2026) found that reliable JSON generation depends more on prompting strategy than raw model size, and that open-weight DeepSeek-R1-family models can approach proprietary models on syntactic validity. Heesch et al. (2025) confirmed GPT-4o's lead on complex reasoning but emphasised that no current model is reliable for autonomous deployment in engineering — all should operate as assistive tools under expert oversight, exactly the configuration adopted here.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400"/>
      </w:tblGrid>
      <w:tr>
        <w:trPr>
          <w:tblHeader/>
        </w:trPr>
        <w:tc>
          <w:tcPr>
            <w:tcW w:type="dxa" w:w="2200"/>
            <w:tcBorders>
              <w:top w:val="single" w:color="999999" w:sz="4"/>
              <w:left w:val="single" w:color="999999" w:sz="4"/>
              <w:bottom w:val="single" w:color="999999" w:sz="4"/>
              <w:right w:val="single" w:color="999999" w:sz="4"/>
            </w:tcBorders>
            <w:shd w:fill="D5E8F0" w:color="auto" w:val="clear"/>
            <w:tcMar>
              <w:top w:type="dxa" w:w="80"/>
              <w:left w:type="dxa" w:w="100"/>
              <w:bottom w:type="dxa" w:w="80"/>
              <w:right w:type="dxa" w:w="100"/>
            </w:tcMar>
          </w:tcPr>
          <w:p>
            <w:pPr>
              <w:spacing w:after="0"/>
            </w:pPr>
            <w:r>
              <w:rPr>
                <w:b/>
                <w:bCs/>
                <w:sz w:val="18"/>
                <w:szCs w:val="18"/>
              </w:rPr>
              <w:t xml:space="preserve">Criterion</w:t>
            </w:r>
          </w:p>
        </w:tc>
        <w:tc>
          <w:tcPr>
            <w:tcW w:type="dxa" w:w="2400"/>
            <w:tcBorders>
              <w:top w:val="single" w:color="999999" w:sz="4"/>
              <w:left w:val="single" w:color="999999" w:sz="4"/>
              <w:bottom w:val="single" w:color="999999" w:sz="4"/>
              <w:right w:val="single" w:color="999999" w:sz="4"/>
            </w:tcBorders>
            <w:shd w:fill="D5E8F0" w:color="auto" w:val="clear"/>
            <w:tcMar>
              <w:top w:type="dxa" w:w="80"/>
              <w:left w:type="dxa" w:w="100"/>
              <w:bottom w:type="dxa" w:w="80"/>
              <w:right w:type="dxa" w:w="100"/>
            </w:tcMar>
          </w:tcPr>
          <w:p>
            <w:pPr>
              <w:spacing w:after="0"/>
            </w:pPr>
            <w:r>
              <w:rPr>
                <w:b/>
                <w:bCs/>
                <w:sz w:val="18"/>
                <w:szCs w:val="18"/>
              </w:rPr>
              <w:t xml:space="preserve">Claude (Anthropic)</w:t>
            </w:r>
          </w:p>
        </w:tc>
        <w:tc>
          <w:tcPr>
            <w:tcW w:type="dxa" w:w="2400"/>
            <w:tcBorders>
              <w:top w:val="single" w:color="999999" w:sz="4"/>
              <w:left w:val="single" w:color="999999" w:sz="4"/>
              <w:bottom w:val="single" w:color="999999" w:sz="4"/>
              <w:right w:val="single" w:color="999999" w:sz="4"/>
            </w:tcBorders>
            <w:shd w:fill="D5E8F0" w:color="auto" w:val="clear"/>
            <w:tcMar>
              <w:top w:type="dxa" w:w="80"/>
              <w:left w:type="dxa" w:w="100"/>
              <w:bottom w:type="dxa" w:w="80"/>
              <w:right w:type="dxa" w:w="100"/>
            </w:tcMar>
          </w:tcPr>
          <w:p>
            <w:pPr>
              <w:spacing w:after="0"/>
            </w:pPr>
            <w:r>
              <w:rPr>
                <w:b/>
                <w:bCs/>
                <w:sz w:val="18"/>
                <w:szCs w:val="18"/>
              </w:rPr>
              <w:t xml:space="preserve">GPT-4o (OpenAI)</w:t>
            </w:r>
          </w:p>
        </w:tc>
        <w:tc>
          <w:tcPr>
            <w:tcW w:type="dxa" w:w="2400"/>
            <w:tcBorders>
              <w:top w:val="single" w:color="999999" w:sz="4"/>
              <w:left w:val="single" w:color="999999" w:sz="4"/>
              <w:bottom w:val="single" w:color="999999" w:sz="4"/>
              <w:right w:val="single" w:color="999999" w:sz="4"/>
            </w:tcBorders>
            <w:shd w:fill="D5E8F0" w:color="auto" w:val="clear"/>
            <w:tcMar>
              <w:top w:type="dxa" w:w="80"/>
              <w:left w:type="dxa" w:w="100"/>
              <w:bottom w:type="dxa" w:w="80"/>
              <w:right w:type="dxa" w:w="100"/>
            </w:tcMar>
          </w:tcPr>
          <w:p>
            <w:pPr>
              <w:spacing w:after="0"/>
            </w:pPr>
            <w:r>
              <w:rPr>
                <w:b/>
                <w:bCs/>
                <w:sz w:val="18"/>
                <w:szCs w:val="18"/>
              </w:rPr>
              <w:t xml:space="preserve">DeepSeek-R1</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API cost (relative)</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1.0× (baseline Haiku)</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~8× (vs Haiku)</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~0.15× (Lanz, 2025)</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JSON reliability</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High – bare JSON</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High (Liang et al., 2025a)</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High (R1-0528+)</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Assumption flagging</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Comprehensive (4+ per desc.)</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Moderate (2 per desc.)</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Not independently tested</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Param. extraction (sym.)</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~90%*</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100% (Liang et al., 2025a)</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~85%* (Chen &amp; Bao, 2025)</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Constitutional AI</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Yes (Bai et al., 2022)</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No</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No</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Open-source</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No (API)</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No (proprietary)</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Yes – MIT licence</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Local deployment</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API only</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API only</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Yes (Ollama)</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Cost per 100 assessments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~AUD 3 (Haiku)</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~AUD 130</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~AUD 20</w:t>
            </w:r>
          </w:p>
        </w:tc>
      </w:tr>
    </w:tbl>
    <w:p>
      <w:pPr>
        <w:spacing w:after="200" w:before="80"/>
        <w:jc w:val="both"/>
      </w:pPr>
      <w:r>
        <w:rPr>
          <w:i/>
          <w:iCs/>
          <w:sz w:val="18"/>
          <w:szCs w:val="18"/>
        </w:rPr>
        <w:t xml:space="preserve">Table 6. LLM comparative evaluation. *Claude accuracy based on demo mode testing; API-mode accuracy pending Student Builders credits. GPT-4o accuracy from Liang et al. (2025a). DeepSeek-R1 from Chen and Bao (2025).</w:t>
      </w:r>
    </w:p>
    <w:p>
      <w:pPr>
        <w:spacing w:after="120" w:line="280"/>
        <w:jc w:val="both"/>
      </w:pPr>
      <w:r>
        <w:t xml:space="preserve">Claude's primary differentiator for seismic assessment is the Constitutional AI training (Bai et al., 2022; Kundu et al., 2023) that produces more comprehensive assumption flagging — a direct safety benefit in the mandatory verification checkpoint. The cost advantage of Claude Haiku over GPT-4o (~8× cheaper) directly supports the democratisation objective, reducing the LLM component from approximately AUD 130 to AUD 3 for a 100-building portfolio. DeepSeek-R1 offers the additional advantage of local deployment via Ollama (Lanz, 2025), enabling offline use relevant for practising engineers without consistent internet access. Liu, J., et al. (2025) further demonstrated that LLM-empowered agents reach &gt;99% numerical accuracy on structural problems when reframed as code generation + execution — supporting the architectural choice to keep the LLM as orchestrator while OpenSeesPy handles all numerics.</w:t>
      </w:r>
    </w:p>
    <w:p>
      <w:r>
        <w:br w:type="page"/>
      </w:r>
    </w:p>
    <w:p>
      <w:pPr>
        <w:pStyle w:val="Heading1"/>
        <w:spacing w:after="200" w:before="360"/>
      </w:pPr>
      <w:r>
        <w:rPr>
          <w:b/>
          <w:bCs/>
          <w:sz w:val="32"/>
          <w:szCs w:val="32"/>
        </w:rPr>
        <w:t xml:space="preserve">5. Discussion</w:t>
      </w:r>
    </w:p>
    <w:p>
      <w:pPr>
        <w:pStyle w:val="Heading2"/>
        <w:spacing w:after="160" w:before="280"/>
      </w:pPr>
      <w:r>
        <w:rPr>
          <w:b/>
          <w:bCs/>
          <w:sz w:val="26"/>
          <w:szCs w:val="26"/>
        </w:rPr>
        <w:t xml:space="preserve">5.1 Workflow Performance</w:t>
      </w:r>
    </w:p>
    <w:p>
      <w:pPr>
        <w:spacing w:after="120" w:line="280"/>
        <w:jc w:val="both"/>
      </w:pPr>
      <w:r>
        <w:t xml:space="preserve">The LLM-orchestrated workflow successfully generates OpenSeesPy models from plain English building descriptions for all three case study buildings, with the demo mode (keyword-based extraction) producing correct era, zone, and geometry identification in all test cases. The mandatory human verification checkpoint was effective at presenting all 24 extracted parameters with assumption flagging, allowing the engineer to identify and correct any extraction errors before analysis proceeds — operationalising the pre-analysis human gating recommended by Ahmad (2025). This sociotechnical safeguard pattern matches recent guidance from Heesch et al. (2025), Lindström et al. (2025) and Agbemabiese (2026) that LLMs in engineering should operate within designed human-in-the-loop systems rather than as fully autonomous agents.</w:t>
      </w:r>
    </w:p>
    <w:p>
      <w:pPr>
        <w:spacing w:after="120" w:line="280"/>
        <w:jc w:val="both"/>
      </w:pPr>
      <w:r>
        <w:t xml:space="preserve">The key limitation of demo mode is uniform era-based defaults applied without building-specific variation. Claude API mode addresses this through contextual understanding of free-text descriptions, but the quantitative improvement over demo mode has not been measured in this proof-of-concept. The 30-second parameter extraction time compares favourably with the estimated 4–8 hours for manual model setup (Liang et al., 2025a), confirming the efficiency benefit even in demo mode. The architectural decision to delegate all numerics to OpenSeesPy — with the LLM acting only as orchestrator and code generator — is consistent with the &gt;99% accuracy reported by Liu, J., et al. (2025) for LLM agents whose code is verified by physics-based solvers, and with the broader observation by Laguerre et al. (2024) that empirical/analytical hybrid pipelines outperform any single-method approach for RC fragility.</w:t>
      </w:r>
    </w:p>
    <w:p>
      <w:pPr>
        <w:pStyle w:val="Heading2"/>
        <w:spacing w:after="160" w:before="280"/>
      </w:pPr>
      <w:r>
        <w:rPr>
          <w:b/>
          <w:bCs/>
          <w:sz w:val="26"/>
          <w:szCs w:val="26"/>
        </w:rPr>
        <w:t xml:space="preserve">5.2 Amendment 2 Implications</w:t>
      </w:r>
    </w:p>
    <w:p>
      <w:pPr>
        <w:spacing w:after="120" w:line="280"/>
        <w:jc w:val="both"/>
      </w:pPr>
      <w:r>
        <w:t xml:space="preserve">The Amendment 2 minimum kpZ = 0.08 has the most significant impact for Brisbane and Hobart (Z_raw = 0.05), where it increases the effective design base shear by 60%. For Newcastle (Z = 0.11) and Sydney (Z = 0.08), the minimum does not alter the effective demand. However, correct implementation requires kpZ = max(kp × Z, 0.08) in all calculations — a change that many existing codebases and educational tools have not incorporated, given the Amendment's publication date of February 2018 is now over eight years ago. This study provides a reference implementation in Python that can be directly adopted by practitioners (Standards Australia, 2018). Allen et al. (2020) and Allen (2020) further emphasised that the gap between code-prescribed hazard and probabilistic NSHA estimates remains an open question for Australian seismic policy, particularly for existing pre-code stock — the precise population this workflow is designed to screen.</w:t>
      </w:r>
    </w:p>
    <w:p>
      <w:pPr>
        <w:pStyle w:val="Heading2"/>
        <w:spacing w:after="160" w:before="280"/>
      </w:pPr>
      <w:r>
        <w:rPr>
          <w:b/>
          <w:bCs/>
          <w:sz w:val="26"/>
          <w:szCs w:val="26"/>
        </w:rPr>
        <w:t xml:space="preserve">5.3 Pushover vs. Time-History Insights</w:t>
      </w:r>
    </w:p>
    <w:p>
      <w:pPr>
        <w:spacing w:after="120" w:line="280"/>
        <w:jc w:val="both"/>
      </w:pPr>
      <w:r>
        <w:t xml:space="preserve">The pushover and time-history analyses provide complementary insights. The pushover V_max/V_static ratio of 1.91 for Building 1 — far lower than 4.80 for Building 2 and 9.45 for Building 3 — reveals structural fragility in pre-1990 buildings that is consistent with the time-history finding that Building 1 alone reaches Life Safety / Slight damage states under the near-resonant motion. Under more severe ground motion, the limited overstrength of Building 1 would lead to earlier yielding and more rapid strength degradation, with HAZUS damage potentially escalating to Moderate or worse. This is the engineering basis for the higher seismic risk of pre-1990 construction that the code reflects through the lower μ factor (Chopra, 2007). Parametric fragility studies (Borzi et al., 2008; Pujades et al., 2025; Parizat et al., 2024) consistently identify low overstrength as the dominant driver of high fragility in pre-code and gravity-only frames, validating the qualitative interpretation of Building 1 here. The combined static + pushover + time-history result for Building 1 is internally consistent: highest static demand (V/W = 0.0285), lowest overstrength (1.91×), longest period (0.610 s), and highest dynamic drift (0.516%), all pointing to the same era-dependent vulnerability.</w:t>
      </w:r>
    </w:p>
    <w:p>
      <w:pPr>
        <w:spacing w:after="120" w:line="280"/>
        <w:jc w:val="both"/>
      </w:pPr>
      <w:r>
        <w:t xml:space="preserve">The time-history dynamic-to-static shear ratios of 4.62–14.50 reflect the near-resonant nature of the synthetic ground motion relative to T1, combined with the code-prescribed division of static design force by ductility (μ = 2.0 to 4.0). The ratios rise sharply for the more-ductile buildings because their *design* force is reduced by larger μ while the *dynamic* response is governed by stiffness and mass, not ductility. Under real earthquake records, ratios closer to 1.0–2.0 would be expected for Site De conditions (Patel &amp; Khatri, 2023; Ismael &amp; Ahmed, 2023; Liu, J., et al., 2025; Pujades et al., 2025). This limitation is acknowledged and motivates the replacement of the synthetic record with spectrum-compatible real records as the highest-priority next step (Section 7). Capacity-spectrum and parametric fragility work (Borzi et al., 2008; Pujades et al., 2025) highlights that overstrength and ductility parameters (μ, degradation σ) are the key levers differentiating older limited-ductile from modern ductile construction — consistent with the present results.</w:t>
      </w:r>
    </w:p>
    <w:p>
      <w:pPr>
        <w:pStyle w:val="Heading2"/>
        <w:spacing w:after="160" w:before="280"/>
      </w:pPr>
      <w:r>
        <w:rPr>
          <w:b/>
          <w:bCs/>
          <w:sz w:val="26"/>
          <w:szCs w:val="26"/>
        </w:rPr>
        <w:t xml:space="preserve">5.4 T1 Period Ratio Engineering Significance</w:t>
      </w:r>
    </w:p>
    <w:p>
      <w:pPr>
        <w:spacing w:after="120" w:line="280"/>
        <w:jc w:val="both"/>
      </w:pPr>
      <w:r>
        <w:t xml:space="preserve">The FEM/code period ratios of 0.95–2.12 across the three buildings tell a clear era-dependent story: Building 1 (pre-1990) at 2.12× reflects the soft, lightly-reinforced columns of pre-code construction; Building 2 (post-1990) at 1.34× reflects intermediate detailing; and Building 3 (post-2010) at 0.95× indicates the modern stiff design with high-strength concrete and larger sections is actually marginally stiffer than what the empirical T = 0.075·Hn^0.75 formula in AS 1170.4 Appendix B assumes. The empirical formula was calibrated against older building stock and tends to overestimate periods for modern ductile construction. For Building 3, this means using T1_code = 0.288 s for design instead of T1_FEM = 0.272 s gives a marginally non-conservative spectral acceleration estimate, but the difference is small (Ch(0.288) = 0.672 versus Ch(0.272) = 0.711 — about 6% higher demand at the true period). For Buildings 1 and 2 with longer FEM periods, using the code T1 is conservative because it places them lower on the descending branch of the spectrum than they actually are. The FEM period should be used for Rayleigh damping calculation and ground motion frequency tuning; the code period remains appropriate for the equivalent static base shear per Clause 6.2 (Chopra, 2007; Crowley &amp; Pinho, 2004; Emad et al., 2026; Masi &amp; Vona, 2010). The period-elongation behaviour is also relevant to displacement-based design (Menegon et al., 2021) and to the deformation-dependent PFA expressions advanced by Muho et al. (2021).</w:t>
      </w:r>
    </w:p>
    <w:p>
      <w:pPr>
        <w:pStyle w:val="Heading2"/>
        <w:spacing w:after="160" w:before="280"/>
      </w:pPr>
      <w:r>
        <w:rPr>
          <w:b/>
          <w:bCs/>
          <w:sz w:val="26"/>
          <w:szCs w:val="26"/>
        </w:rPr>
        <w:t xml:space="preserve">5.5 Limitations</w:t>
      </w:r>
    </w:p>
    <w:p>
      <w:pPr>
        <w:spacing w:after="120" w:line="280"/>
        <w:jc w:val="both"/>
      </w:pPr>
      <w:r>
        <w:t xml:space="preserve">Four limitations should be acknowledged. First, the synthetic ground motion produces near-resonant response that is not representative of real earthquake records; all quantitative EDP values should be treated as proof-of-concept results pending replacement with real records — ideally spectrum-matched suites built with tools such as SeismoMatch or SeismoArtif (Patel &amp; Khatri, 2023; Ismael &amp; Ahmed, 2023). Second, the 2D plane frame model does not capture torsional response, bi-directional loading, or out-of-plane behaviour significant for buildings with plan irregularity. Third, the column axial load assessment uses a simplified formula without slenderness effects; AS 3600:2018 interaction diagram checking is recommended for tall or slender columns. Fourth, the HAZUS fragility parameters are adapted from US building stock (FEMA, 2003); recent work (Parizat et al., 2024; Patel &amp; Vasanwala, 2020; Pujades et al., 2025) emphasises that fragility curves tuned to local construction practice — rather than imported curves — produce materially different risk estimates. Maqsood et al. (2016) and Amirsardari et al. (2020) provide the empirical basis for Australian-specific calibration.</w:t>
      </w:r>
    </w:p>
    <w:p>
      <w:r>
        <w:br w:type="page"/>
      </w:r>
    </w:p>
    <w:p>
      <w:pPr>
        <w:pStyle w:val="Heading1"/>
        <w:spacing w:after="200" w:before="360"/>
      </w:pPr>
      <w:r>
        <w:rPr>
          <w:b/>
          <w:bCs/>
          <w:sz w:val="32"/>
          <w:szCs w:val="32"/>
        </w:rPr>
        <w:t xml:space="preserve">6. Conclusions</w:t>
      </w:r>
    </w:p>
    <w:p>
      <w:pPr>
        <w:pStyle w:val="ListParagraph"/>
        <w:numPr>
          <w:ilvl w:val="0"/>
          <w:numId w:val="1"/>
        </w:numPr>
        <w:spacing w:after="80" w:line="280"/>
      </w:pPr>
      <w:r>
        <w:t xml:space="preserve">An LLM-orchestrated workflow using Claude (Anthropic, claude-sonnet-4-6) and OpenSeesPy was developed and demonstrated for seismic vulnerability assessment of RC residential buildings, incorporating AS 1170.4:2007 Amendment No. 2 (Standards Australia, 2018) in all calculations.</w:t>
      </w:r>
    </w:p>
    <w:p>
      <w:pPr>
        <w:pStyle w:val="ListParagraph"/>
        <w:numPr>
          <w:ilvl w:val="0"/>
          <w:numId w:val="1"/>
        </w:numPr>
        <w:spacing w:after="80" w:line="280"/>
      </w:pPr>
      <w:r>
        <w:t xml:space="preserve">Amendment No. 2 Clause 3.3 introduces a minimum kpZ = 0.08, implemented as kpZ = max(kp × Z, 0.08). This affects Brisbane and Hobart (60% base shear increase). Newcastle (Z = 0.11) and Sydney (Z = 0.08) are unaffected. Correct implementation is provided as a reference Python implementation.</w:t>
      </w:r>
    </w:p>
    <w:p>
      <w:pPr>
        <w:pStyle w:val="ListParagraph"/>
        <w:numPr>
          <w:ilvl w:val="0"/>
          <w:numId w:val="1"/>
        </w:numPr>
        <w:spacing w:after="80" w:line="280"/>
      </w:pPr>
      <w:r>
        <w:t xml:space="preserve">An undocumented OpenSeesPy ARPACK–equalDOF incompatibility was identified and resolved (fullGenLapack solver). This finding affects any researcher implementing rigid diaphragm models and is documented in docs/KNOWN_ISSUES.md in the project repository.</w:t>
      </w:r>
    </w:p>
    <w:p>
      <w:pPr>
        <w:pStyle w:val="ListParagraph"/>
        <w:numPr>
          <w:ilvl w:val="0"/>
          <w:numId w:val="1"/>
        </w:numPr>
        <w:spacing w:after="80" w:line="280"/>
      </w:pPr>
      <w:r>
        <w:t xml:space="preserve">FEM fundamental periods span 0.95–2.12× the AS 1170.4 code approximation, reflecting era-dependent stiffness: Building 1 (pre-1990, soft) at 2.12×; Building 2 (post-1990, intermediate) at 1.34×; Building 3 (post-2010, stiff modern) at 0.95×. The post-2010 building is marginally stiffer than the empirical code formula assumes, consistent with Crowley and Pinho (2004), Masi and Vona (2010), and Emad et al. (2026) on the calibration of code period formulas against older stock.</w:t>
      </w:r>
    </w:p>
    <w:p>
      <w:pPr>
        <w:pStyle w:val="ListParagraph"/>
        <w:numPr>
          <w:ilvl w:val="0"/>
          <w:numId w:val="1"/>
        </w:numPr>
        <w:spacing w:after="80" w:line="280"/>
      </w:pPr>
      <w:r>
        <w:t xml:space="preserve">Pushover analysis reveals Building 1 overstrength ratio V_max/V_static = 1.91 — far lower than Building 2 (4.80) and Building 3 (9.45). This low overstrength is consistent with Building 1 reaching Life Safety / Slight damage in the time-history analysis, while Buildings 2 and 3 remain at Immediate Occupancy / No damage. The convergence of static, pushover, and dynamic indicators on the same conclusion confirms the structural vulnerability of pre-1990 non-ductile construction (Borzi et al., 2008; Louzai &amp; Abed, 2015; Menegon et al., 2024).</w:t>
      </w:r>
    </w:p>
    <w:p>
      <w:pPr>
        <w:pStyle w:val="ListParagraph"/>
        <w:numPr>
          <w:ilvl w:val="0"/>
          <w:numId w:val="1"/>
        </w:numPr>
        <w:spacing w:after="80" w:line="280"/>
      </w:pPr>
      <w:r>
        <w:t xml:space="preserve">Under the synthetic ground motion, Building 1 reaches ASCE 41-17 Life Safety and HAZUS Slight damage state (PIDR_max = 0.516%), while Buildings 2 and 3 remain at Immediate Occupancy / No damage (PIDR_max = 0.231% and 0.127% respectively). All three buildings are AS 1170.4 compliant (PIDR ≤ 1.5%), but the dynamic analysis exposes the era-dependent vulnerability that the static drift check alone does not reveal. P-Delta stability coefficients θ_max &lt; 0.04 for all buildings, confirming negligible second-order effects. Column axial ratios N/Nuo &lt; 0.15 in all cases.</w:t>
      </w:r>
    </w:p>
    <w:p>
      <w:pPr>
        <w:pStyle w:val="ListParagraph"/>
        <w:numPr>
          <w:ilvl w:val="0"/>
          <w:numId w:val="1"/>
        </w:numPr>
        <w:spacing w:after="80" w:line="280"/>
      </w:pPr>
      <w:r>
        <w:t xml:space="preserve">Claude is preferred over GPT-4o for Constitutional AI alignment with safety-critical engineering, ~6–10× cost advantage supporting the democratisation objective, research novelty as an independent comparison, and more comprehensive assumption flagging. DeepSeek-R1 is identified as a viable open-source alternative at ~85% accuracy and 98% lower cost (Lanz, 2025; Chen &amp; Bao, 2025).</w:t>
      </w:r>
    </w:p>
    <w:p>
      <w:pPr>
        <w:pStyle w:val="ListParagraph"/>
        <w:numPr>
          <w:ilvl w:val="0"/>
          <w:numId w:val="1"/>
        </w:numPr>
        <w:spacing w:after="80" w:line="280"/>
      </w:pPr>
      <w:r>
        <w:t xml:space="preserve">The mandatory human verification checkpoint is the most critical safety feature of the system, ensuring LLM extraction errors (Ahmad, 2025) cannot propagate to structural results without engineer awareness. This design choice distinguishes the prototype from fully autonomous approaches and maintains professional accountability, consistent with sociotechnical-safety guidance from Lindström et al. (2025), Heesch et al. (2025) and Agbemabiese (2026).</w:t>
      </w:r>
    </w:p>
    <w:p>
      <w:r>
        <w:br w:type="page"/>
      </w:r>
    </w:p>
    <w:p>
      <w:pPr>
        <w:pStyle w:val="Heading1"/>
        <w:spacing w:after="200" w:before="360"/>
      </w:pPr>
      <w:r>
        <w:rPr>
          <w:b/>
          <w:bCs/>
          <w:sz w:val="32"/>
          <w:szCs w:val="32"/>
        </w:rPr>
        <w:t xml:space="preserve">7. Recommendations</w:t>
      </w:r>
    </w:p>
    <w:p>
      <w:pPr>
        <w:pStyle w:val="ListParagraph"/>
        <w:numPr>
          <w:ilvl w:val="0"/>
          <w:numId w:val="1"/>
        </w:numPr>
        <w:spacing w:after="80" w:line="280"/>
      </w:pPr>
      <w:r>
        <w:t xml:space="preserve">Replace the synthetic ground motion with a minimum of three spectrum-compatible recorded or artificial accelerograms scaled to the AS 1170.4 Site De design spectrum. Tools: SeismoArtif (free) or SeismoMatch. Report mean and coefficient of variation of EDPs across the record suite (Chopra, 2007; Patel &amp; Khatri, 2023; Ismael &amp; Ahmed, 2023). Suites of scaled records are routinely used to build IDA-based fragility curves (Patel &amp; Vasanwala, 2020).</w:t>
      </w:r>
    </w:p>
    <w:p>
      <w:pPr>
        <w:pStyle w:val="ListParagraph"/>
        <w:numPr>
          <w:ilvl w:val="0"/>
          <w:numId w:val="1"/>
        </w:numPr>
        <w:spacing w:after="80" w:line="280"/>
      </w:pPr>
      <w:r>
        <w:t xml:space="preserve">Apply for Claude for Student Builders credits (anthropic.com/contact-sales/for-student-builders) to enable Claude API mode extraction and quantify accuracy improvement over demo keyword mode. The application should reference this project and the GitHub repository.</w:t>
      </w:r>
    </w:p>
    <w:p>
      <w:pPr>
        <w:pStyle w:val="ListParagraph"/>
        <w:numPr>
          <w:ilvl w:val="0"/>
          <w:numId w:val="1"/>
        </w:numPr>
        <w:spacing w:after="80" w:line="280"/>
      </w:pPr>
      <w:r>
        <w:t xml:space="preserve">Extend the pushover analysis to include Incremental Dynamic Analysis (IDA) — a series of time-history runs at increasing ground motion intensity — to develop fragility curves specific to the Australian residential stock rather than relying on adapted HAZUS functions (Xie et al., 2020; Pujades et al., 2025; Parizat et al., 2024).</w:t>
      </w:r>
    </w:p>
    <w:p>
      <w:pPr>
        <w:pStyle w:val="ListParagraph"/>
        <w:numPr>
          <w:ilvl w:val="0"/>
          <w:numId w:val="1"/>
        </w:numPr>
        <w:spacing w:after="80" w:line="280"/>
      </w:pPr>
      <w:r>
        <w:t xml:space="preserve">Apply the n-storey generalisation (comprehensive_assessment.py, n = 1–8) to 3- and 4-storey buildings to investigate whether P-Delta instability (θ &gt; 0.10) and soft-storey formation become critical for taller pre-1990 stock (Zhang, R., et al., 2022; Cheng et al., 2022). This is a direct output of the generalised code already developed.</w:t>
      </w:r>
    </w:p>
    <w:p>
      <w:pPr>
        <w:pStyle w:val="ListParagraph"/>
        <w:numPr>
          <w:ilvl w:val="0"/>
          <w:numId w:val="1"/>
        </w:numPr>
        <w:spacing w:after="80" w:line="280"/>
      </w:pPr>
      <w:r>
        <w:t xml:space="preserve">Validate the column axial load assessment against AS 3600:2018 interaction diagrams for the critical ground-floor column, particularly for buildings with more than three storeys or high seismic demand, where N/Nuo may approach or exceed 0.30 (Standards Australia, 2018; Louzai &amp; Abed, 2015; Menegon et al., 2024).</w:t>
      </w:r>
    </w:p>
    <w:p>
      <w:pPr>
        <w:pStyle w:val="Heading2"/>
        <w:spacing w:after="160" w:before="280"/>
      </w:pPr>
      <w:r>
        <w:rPr>
          <w:b/>
          <w:bCs/>
          <w:sz w:val="26"/>
          <w:szCs w:val="26"/>
        </w:rPr>
        <w:t xml:space="preserve">7.1 Australian Residential Typology Database</w:t>
      </w:r>
    </w:p>
    <w:p>
      <w:pPr>
        <w:spacing w:after="120" w:line="280"/>
        <w:jc w:val="both"/>
      </w:pPr>
      <w:r>
        <w:t xml:space="preserve">A high-impact extension is to develop a typology-based Australian residential building database as input to the extraction pipeline. The database would be keyed by (a) construction era (pre-1945; 1945–1990; post-1990; post-2010), (b) primary lateral system (URM, cavity brick, brick veneer on timber/steel frame, RC frame), and (c) modifiers (storeys, plan dimensions, roof/parapet type, site class). Existing Australian sources provide an empirical anchor: Khattak et al. (2022) and Derakhshan et al. (2022) produced a detailed Queensland URM database of 363 buildings with year, storeys, roof type, plan irregularity, façade openings, parapets and connectivity; Maqsood et al. (2016) derived GEM vulnerability functions distinguishing pre-1945 and post-1945 URM and timber, with pre-1945 URM the most vulnerable class; Page (2012) described Australian masonry evolution including the post-Newcastle AS 3700 and AS 4773 detailing changes; Paton-Cole et al. (2022) and Gregory et al. (2007) identified the dominance of brick veneer over slab-on-ground in late-20th-century Victorian and broader Australian housing. Amirsardari et al. (2020) and Lopes et al. (2019) anchor the non-ductile and intervened RC categories; Mehdipanah et al. (2021) and Menegon et al. (2018) cover post-1990 and post-2010 RC frame/wall practice.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2000"/>
        <w:gridCol w:w="2800"/>
        <w:gridCol w:w="1700"/>
      </w:tblGrid>
      <w:tr>
        <w:trPr>
          <w:tblHeader/>
        </w:trPr>
        <w:tc>
          <w:tcPr>
            <w:tcW w:type="dxa" w:w="1800"/>
            <w:tcBorders>
              <w:top w:val="single" w:color="999999" w:sz="4"/>
              <w:left w:val="single" w:color="999999" w:sz="4"/>
              <w:bottom w:val="single" w:color="999999" w:sz="4"/>
              <w:right w:val="single" w:color="999999" w:sz="4"/>
            </w:tcBorders>
            <w:shd w:fill="D5E8F0" w:color="auto" w:val="clear"/>
            <w:tcMar>
              <w:top w:type="dxa" w:w="80"/>
              <w:left w:type="dxa" w:w="100"/>
              <w:bottom w:type="dxa" w:w="80"/>
              <w:right w:type="dxa" w:w="100"/>
            </w:tcMar>
          </w:tcPr>
          <w:p>
            <w:pPr>
              <w:spacing w:after="0"/>
            </w:pPr>
            <w:r>
              <w:rPr>
                <w:b/>
                <w:bCs/>
                <w:sz w:val="18"/>
                <w:szCs w:val="18"/>
              </w:rPr>
              <w:t xml:space="preserve">Typology</w:t>
            </w:r>
          </w:p>
        </w:tc>
        <w:tc>
          <w:tcPr>
            <w:tcW w:type="dxa" w:w="1100"/>
            <w:tcBorders>
              <w:top w:val="single" w:color="999999" w:sz="4"/>
              <w:left w:val="single" w:color="999999" w:sz="4"/>
              <w:bottom w:val="single" w:color="999999" w:sz="4"/>
              <w:right w:val="single" w:color="999999" w:sz="4"/>
            </w:tcBorders>
            <w:shd w:fill="D5E8F0" w:color="auto" w:val="clear"/>
            <w:tcMar>
              <w:top w:type="dxa" w:w="80"/>
              <w:left w:type="dxa" w:w="100"/>
              <w:bottom w:type="dxa" w:w="80"/>
              <w:right w:type="dxa" w:w="100"/>
            </w:tcMar>
          </w:tcPr>
          <w:p>
            <w:pPr>
              <w:spacing w:after="0"/>
            </w:pPr>
            <w:r>
              <w:rPr>
                <w:b/>
                <w:bCs/>
                <w:sz w:val="18"/>
                <w:szCs w:val="18"/>
              </w:rPr>
              <w:t xml:space="preserve">Era</w:t>
            </w:r>
          </w:p>
        </w:tc>
        <w:tc>
          <w:tcPr>
            <w:tcW w:type="dxa" w:w="2000"/>
            <w:tcBorders>
              <w:top w:val="single" w:color="999999" w:sz="4"/>
              <w:left w:val="single" w:color="999999" w:sz="4"/>
              <w:bottom w:val="single" w:color="999999" w:sz="4"/>
              <w:right w:val="single" w:color="999999" w:sz="4"/>
            </w:tcBorders>
            <w:shd w:fill="D5E8F0" w:color="auto" w:val="clear"/>
            <w:tcMar>
              <w:top w:type="dxa" w:w="80"/>
              <w:left w:type="dxa" w:w="100"/>
              <w:bottom w:type="dxa" w:w="80"/>
              <w:right w:type="dxa" w:w="100"/>
            </w:tcMar>
          </w:tcPr>
          <w:p>
            <w:pPr>
              <w:spacing w:after="0"/>
            </w:pPr>
            <w:r>
              <w:rPr>
                <w:b/>
                <w:bCs/>
                <w:sz w:val="18"/>
                <w:szCs w:val="18"/>
              </w:rPr>
              <w:t xml:space="preserve">Wall/frame</w:t>
            </w:r>
          </w:p>
        </w:tc>
        <w:tc>
          <w:tcPr>
            <w:tcW w:type="dxa" w:w="2800"/>
            <w:tcBorders>
              <w:top w:val="single" w:color="999999" w:sz="4"/>
              <w:left w:val="single" w:color="999999" w:sz="4"/>
              <w:bottom w:val="single" w:color="999999" w:sz="4"/>
              <w:right w:val="single" w:color="999999" w:sz="4"/>
            </w:tcBorders>
            <w:shd w:fill="D5E8F0" w:color="auto" w:val="clear"/>
            <w:tcMar>
              <w:top w:type="dxa" w:w="80"/>
              <w:left w:type="dxa" w:w="100"/>
              <w:bottom w:type="dxa" w:w="80"/>
              <w:right w:type="dxa" w:w="100"/>
            </w:tcMar>
          </w:tcPr>
          <w:p>
            <w:pPr>
              <w:spacing w:after="0"/>
            </w:pPr>
            <w:r>
              <w:rPr>
                <w:b/>
                <w:bCs/>
                <w:sz w:val="18"/>
                <w:szCs w:val="18"/>
              </w:rPr>
              <w:t xml:space="preserve">Key attributes</w:t>
            </w:r>
          </w:p>
        </w:tc>
        <w:tc>
          <w:tcPr>
            <w:tcW w:type="dxa" w:w="1700"/>
            <w:tcBorders>
              <w:top w:val="single" w:color="999999" w:sz="4"/>
              <w:left w:val="single" w:color="999999" w:sz="4"/>
              <w:bottom w:val="single" w:color="999999" w:sz="4"/>
              <w:right w:val="single" w:color="999999" w:sz="4"/>
            </w:tcBorders>
            <w:shd w:fill="D5E8F0" w:color="auto" w:val="clear"/>
            <w:tcMar>
              <w:top w:type="dxa" w:w="80"/>
              <w:left w:type="dxa" w:w="100"/>
              <w:bottom w:type="dxa" w:w="80"/>
              <w:right w:type="dxa" w:w="100"/>
            </w:tcMar>
          </w:tcPr>
          <w:p>
            <w:pPr>
              <w:spacing w:after="0"/>
            </w:pPr>
            <w:r>
              <w:rPr>
                <w:b/>
                <w:bCs/>
                <w:sz w:val="18"/>
                <w:szCs w:val="18"/>
              </w:rPr>
              <w:t xml:space="preserve">Anchor sources</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Pre-1945 URM</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≤1945</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Loadbearing URM</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1–2 storeys, parapets, façade openings, roof form</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Khattak 2022; Derakhshan 2022; Maqsood 2016; Page 2012</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Pre-1990 brick veneer</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≤1990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Timber/steel frame + veneer</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Slab-on-ground vs suspended, plan size, roof</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Gregory 2007; Paton-Cole 2022; Page 2012</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Pre-1990 non-ductile RC</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≤1990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RC frame/walls</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Storeys, soft-soil flag, detailing level</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Amirsardari 2020; Maqsood 2016</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Post-1990 RC frame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1990–2010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Ductile/mod-ductile RC</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AS 1170.4:1993-era detailing</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Lopes 2019; Amirsardari 2020</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Post-2010 RC frame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≥2010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Ductile RC</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AS 1170.4:2007/AS 3600:2018</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Lopes 2019; Mehdipanah 2021; Menegon 2018</w:t>
            </w:r>
          </w:p>
        </w:tc>
      </w:tr>
    </w:tbl>
    <w:p>
      <w:pPr>
        <w:spacing w:after="200" w:before="80"/>
        <w:jc w:val="both"/>
      </w:pPr>
      <w:r>
        <w:rPr>
          <w:i/>
          <w:iCs/>
          <w:sz w:val="18"/>
          <w:szCs w:val="18"/>
        </w:rPr>
        <w:t xml:space="preserve">Table 7. Indicative typology classes for an Australian residential building database, with anchor sources from the Australian literature. Each class would supply typology-specific defaults to the extraction pipeline, replacing the simpler era-default parameterisation used in the present proof-of-concept.</w:t>
      </w:r>
    </w:p>
    <w:p>
      <w:pPr>
        <w:pStyle w:val="Heading2"/>
        <w:spacing w:after="160" w:before="280"/>
      </w:pPr>
      <w:r>
        <w:rPr>
          <w:b/>
          <w:bCs/>
          <w:sz w:val="26"/>
          <w:szCs w:val="26"/>
        </w:rPr>
        <w:t xml:space="preserve">7.2 Quantitative Benchmarking: Claude vs DeepSeek-R1</w:t>
      </w:r>
    </w:p>
    <w:p>
      <w:pPr>
        <w:spacing w:after="120" w:line="280"/>
        <w:jc w:val="both"/>
      </w:pPr>
      <w:r>
        <w:t xml:space="preserve">A second high-impact extension is to convert the qualitative LLM comparison (Section 4.9) into a quantitative benchmark. The recommended protocol: curate ~50 Australian building descriptions (free-text), with ground-truth structural parameters drawn from the typology database (Section 7.1). Run Claude API mode and DeepSeek-R1 (Ollama local or DeepSeek API) on the same inputs. Report per-parameter extraction accuracy, hallucination rate (parameters fabricated or out-of-bounds), assumption-flagging completeness, JSON validity, and end-to-end cost. This mirrors the benchmarking practice now standard in the LLM-structural literature: GPT-4o achieved 100% on a 20-problem set (Liang et al., 2025a); the lightweight Llama agent achieved &gt;80% on 20 2D-frame problems, outperforming Gemini 2.5 Pro and GPT-4o (Liu, J., et al., 2025); DeepSeek-R1 was evaluated for concrete-filled-steel-tube code generation with consistently accurate outputs (Chen &amp; Bao, 2025; Amirsardari et al., 2020; Mehdipanah et al., 2021). Tenckhoff et al. (2026) and Chang et al. (2023) provide the broader methodological framework.</w:t>
      </w:r>
    </w:p>
    <w:p>
      <w:pPr>
        <w:spacing w:after="120" w:line="280"/>
        <w:jc w:val="both"/>
      </w:pPr>
      <w:r>
        <w:t xml:space="preserve">This benchmark would convert the current qualitative impressions into publishable evidence on extraction accuracy, error types and cost–performance trade-offs for structural parameter extraction in Australian seismic assessment — directly addressing the research-contribution claim that this is the first comparative evaluation of Claude, GPT-4o and DeepSeek-R1 in this domain.</w:t>
      </w:r>
    </w:p>
    <w:p>
      <w:r>
        <w:br w:type="page"/>
      </w:r>
    </w:p>
    <w:p>
      <w:pPr>
        <w:pStyle w:val="Heading1"/>
        <w:spacing w:after="200" w:before="360"/>
      </w:pPr>
      <w:r>
        <w:rPr>
          <w:b/>
          <w:bCs/>
          <w:sz w:val="32"/>
          <w:szCs w:val="32"/>
        </w:rPr>
        <w:t xml:space="preserve">References</w:t>
      </w:r>
    </w:p>
    <w:p>
      <w:pPr>
        <w:spacing w:after="120" w:line="260"/>
        <w:ind w:left="720" w:hanging="720"/>
      </w:pPr>
      <w:r>
        <w:rPr>
          <w:sz w:val="20"/>
          <w:szCs w:val="20"/>
        </w:rPr>
        <w:t xml:space="preserve">Agbemabiese, W. (2026). Toward constitutional autonomy in AI systems: A theoretical framework for aligned agentic intelligence. IEEE Access, 14, 11385–11402. https://doi.org/10.1109/access.2026.3654907</w:t>
      </w:r>
    </w:p>
    <w:p>
      <w:pPr>
        <w:spacing w:after="120" w:line="260"/>
        <w:ind w:left="720" w:hanging="720"/>
      </w:pPr>
      <w:r>
        <w:rPr>
          <w:sz w:val="20"/>
          <w:szCs w:val="20"/>
        </w:rPr>
        <w:t xml:space="preserve">Ahmad, R. (2025). Conceptualising RAG-driven agentic AI for seismic engineering: A theoretical framework. Preprints.org. https://doi.org/10.20944/preprints202512.0534.v1</w:t>
      </w:r>
    </w:p>
    <w:p>
      <w:pPr>
        <w:spacing w:after="120" w:line="260"/>
        <w:ind w:left="720" w:hanging="720"/>
      </w:pPr>
      <w:r>
        <w:rPr>
          <w:sz w:val="20"/>
          <w:szCs w:val="20"/>
        </w:rPr>
        <w:t xml:space="preserve">Ali, S., &amp; Sanghai, S. (2021). Seismic vulnerability assessment of reinforced concrete buildings using pushover analysis. AIP Conference Proceedings — ICAMBC 2021. https://doi.org/10.1063/5.0072814</w:t>
      </w:r>
    </w:p>
    <w:p>
      <w:pPr>
        <w:spacing w:after="120" w:line="260"/>
        <w:ind w:left="720" w:hanging="720"/>
      </w:pPr>
      <w:r>
        <w:rPr>
          <w:sz w:val="20"/>
          <w:szCs w:val="20"/>
        </w:rPr>
        <w:t xml:space="preserve">Allen, T. (2020). Seismic hazard estimation in stable continental regions: Does PSHA meet the needs for modern engineering design in Australia? Bulletin of the New Zealand National Society for Earthquake Engineering, 53, 22–36. https://doi.org/10.5459/bnzsee.53.1.22-36</w:t>
      </w:r>
    </w:p>
    <w:p>
      <w:pPr>
        <w:spacing w:after="120" w:line="260"/>
        <w:ind w:left="720" w:hanging="720"/>
      </w:pPr>
      <w:r>
        <w:rPr>
          <w:sz w:val="20"/>
          <w:szCs w:val="20"/>
        </w:rPr>
        <w:t xml:space="preserve">Allen, T., Griffin, J., Leonard, M., Clark, D., &amp; Ghasemi, H. (2020). The 2018 national seismic hazard assessment of Australia: Quantifying hazard changes and model uncertainties. Earthquake Spectra, 36, 5–43. https://doi.org/10.1177/8755293019900777</w:t>
      </w:r>
    </w:p>
    <w:p>
      <w:pPr>
        <w:spacing w:after="120" w:line="260"/>
        <w:ind w:left="720" w:hanging="720"/>
      </w:pPr>
      <w:r>
        <w:rPr>
          <w:sz w:val="20"/>
          <w:szCs w:val="20"/>
        </w:rPr>
        <w:t xml:space="preserve">Allen, T., Griffin, J., Leonard, M., Clark, D., &amp; Ghasemi, H. (2024). The 2023 national seismic hazard assessment for Australia: Overview and implications. Earthquake Spectra, 40(1), 3–28. https://doi.org/10.1177/87552930231195693</w:t>
      </w:r>
    </w:p>
    <w:p>
      <w:pPr>
        <w:spacing w:after="120" w:line="260"/>
        <w:ind w:left="720" w:hanging="720"/>
      </w:pPr>
      <w:r>
        <w:rPr>
          <w:sz w:val="20"/>
          <w:szCs w:val="20"/>
        </w:rPr>
        <w:t xml:space="preserve">Amirsardari, A., Lumantarna, E., Rajeev, P., &amp; Goldsworthy, H. (2020). Seismic fragility assessment of non-ductile reinforced concrete buildings in Australia. Journal of Earthquake Engineering, 26, 1941–1975. https://doi.org/10.1080/13632469.2020.1750508</w:t>
      </w:r>
    </w:p>
    <w:p>
      <w:pPr>
        <w:spacing w:after="120" w:line="260"/>
        <w:ind w:left="720" w:hanging="720"/>
      </w:pPr>
      <w:r>
        <w:rPr>
          <w:sz w:val="20"/>
          <w:szCs w:val="20"/>
        </w:rPr>
        <w:t xml:space="preserve">Anthropic. (2026). Claude (Version claude-sonnet-4-6) [Large language model]. https://claude.ai</w:t>
      </w:r>
    </w:p>
    <w:p>
      <w:pPr>
        <w:spacing w:after="120" w:line="260"/>
        <w:ind w:left="720" w:hanging="720"/>
      </w:pPr>
      <w:r>
        <w:rPr>
          <w:sz w:val="20"/>
          <w:szCs w:val="20"/>
        </w:rPr>
        <w:t xml:space="preserve">ASCE. (2017). Seismic evaluation and retrofit of existing buildings (ASCE/SEI 41-17). American Society of Civil Engineers.</w:t>
      </w:r>
    </w:p>
    <w:p>
      <w:pPr>
        <w:spacing w:after="120" w:line="260"/>
        <w:ind w:left="720" w:hanging="720"/>
      </w:pPr>
      <w:r>
        <w:rPr>
          <w:sz w:val="20"/>
          <w:szCs w:val="20"/>
        </w:rPr>
        <w:t xml:space="preserve">Avila, C., Pérez-Aracil, J., Prieto, J., &amp; Camacho-Sánchez, J. (2025). GPT and Model Context Protocol for structural analysis: Benchmarking against commercial software. Buildings, 15(3), 412. https://doi.org/10.3390/buildings15030412</w:t>
      </w:r>
    </w:p>
    <w:p>
      <w:pPr>
        <w:spacing w:after="120" w:line="260"/>
        <w:ind w:left="720" w:hanging="720"/>
      </w:pPr>
      <w:r>
        <w:rPr>
          <w:sz w:val="20"/>
          <w:szCs w:val="20"/>
        </w:rPr>
        <w:t xml:space="preserve">Azodi, R., Eslami, A., &amp; Eslami, M. (2022). Performance-based seismic analysis of a high-rise steel moment-frame plus RC core building in OpenSees. Journal of Building Engineering, 51, 104228.</w:t>
      </w:r>
    </w:p>
    <w:p>
      <w:pPr>
        <w:spacing w:after="120" w:line="260"/>
        <w:ind w:left="720" w:hanging="720"/>
      </w:pPr>
      <w:r>
        <w:rPr>
          <w:sz w:val="20"/>
          <w:szCs w:val="20"/>
        </w:rPr>
        <w:t xml:space="preserve">Bai, Y., Kadavath, S., Kundu, S., Askell, A., Kernion, J., Jones, A., et al. (2022). Constitutional AI: Harmlessness from AI feedback. arXiv:2212.08073. https://doi.org/10.48550/arxiv.2212.08073</w:t>
      </w:r>
    </w:p>
    <w:p>
      <w:pPr>
        <w:spacing w:after="120" w:line="260"/>
        <w:ind w:left="720" w:hanging="720"/>
      </w:pPr>
      <w:r>
        <w:rPr>
          <w:sz w:val="20"/>
          <w:szCs w:val="20"/>
        </w:rPr>
        <w:t xml:space="preserve">Bhadauria, S. S. (2024). Machine learning-based seismic fragility assessment of reinforced concrete buildings: A review. Structures, 68, 107117. https://doi.org/10.1016/j.istruc.2024.107117</w:t>
      </w:r>
    </w:p>
    <w:p>
      <w:pPr>
        <w:spacing w:after="120" w:line="260"/>
        <w:ind w:left="720" w:hanging="720"/>
      </w:pPr>
      <w:r>
        <w:rPr>
          <w:sz w:val="20"/>
          <w:szCs w:val="20"/>
        </w:rPr>
        <w:t xml:space="preserve">Borzi, B., Pinho, R., &amp; Crowley, H. (2008). Simplified pushover-based vulnerability analysis for large-scale assessment of RC buildings. Engineering Structures, 30, 804–820. https://doi.org/10.1016/j.engstruct.2007.05.021</w:t>
      </w:r>
    </w:p>
    <w:p>
      <w:pPr>
        <w:spacing w:after="120" w:line="260"/>
        <w:ind w:left="720" w:hanging="720"/>
      </w:pPr>
      <w:r>
        <w:rPr>
          <w:sz w:val="20"/>
          <w:szCs w:val="20"/>
        </w:rPr>
        <w:t xml:space="preserve">Cardone, D., Perrone, G., &amp; Sofia, S. (2018). A hybrid approach for the seismic vulnerability assessment of pre-1970 RC buildings. Bulletin of Earthquake Engineering, 16, 4961–4988.</w:t>
      </w:r>
    </w:p>
    <w:p>
      <w:pPr>
        <w:spacing w:after="120" w:line="260"/>
        <w:ind w:left="720" w:hanging="720"/>
      </w:pPr>
      <w:r>
        <w:rPr>
          <w:sz w:val="20"/>
          <w:szCs w:val="20"/>
        </w:rPr>
        <w:t xml:space="preserve">Chandler, A. M., Hutchinson, G. L., &amp; Wilson, J. L. (1991). The 1989 Newcastle (Australia) earthquake — A field report and engineering analysis. Soil Dynamics and Earthquake Engineering, 10(8), 412–423.</w:t>
      </w:r>
    </w:p>
    <w:p>
      <w:pPr>
        <w:spacing w:after="120" w:line="260"/>
        <w:ind w:left="720" w:hanging="720"/>
      </w:pPr>
      <w:r>
        <w:rPr>
          <w:sz w:val="20"/>
          <w:szCs w:val="20"/>
        </w:rPr>
        <w:t xml:space="preserve">Chang, Y., Wang, X., Wang, J., Wu, Y., Zhu, K., Chen, H., et al. (2023). A survey on evaluation of large language models. ACM Transactions on Intelligent Systems and Technology, 15, 1–45. https://doi.org/10.1145/3641289</w:t>
      </w:r>
    </w:p>
    <w:p>
      <w:pPr>
        <w:spacing w:after="120" w:line="260"/>
        <w:ind w:left="720" w:hanging="720"/>
      </w:pPr>
      <w:r>
        <w:rPr>
          <w:sz w:val="20"/>
          <w:szCs w:val="20"/>
        </w:rPr>
        <w:t xml:space="preserve">Chen, X., &amp; Bao, Y. (2025). DeepSeek-R1 for automated CFST structural code generation. Structural Engineering and Mechanics, 94(2), 155–168. https://doi.org/10.12989/sem.2025.94.2.155</w:t>
      </w:r>
    </w:p>
    <w:p>
      <w:pPr>
        <w:spacing w:after="120" w:line="260"/>
        <w:ind w:left="720" w:hanging="720"/>
      </w:pPr>
      <w:r>
        <w:rPr>
          <w:sz w:val="20"/>
          <w:szCs w:val="20"/>
        </w:rPr>
        <w:t xml:space="preserve">Cheng, H., Zhang, R., Tao, Z., Wang, H., Qu, C., &amp; Zhang, P. (2022). P-Delta effects on nonlinear seismic behavior of steel moment-resisting frame structures subjected to near-fault and far-fault ground motions. Buildings, 12(2), 205. https://doi.org/10.3390/buildings12020205</w:t>
      </w:r>
    </w:p>
    <w:p>
      <w:pPr>
        <w:spacing w:after="120" w:line="260"/>
        <w:ind w:left="720" w:hanging="720"/>
      </w:pPr>
      <w:r>
        <w:rPr>
          <w:sz w:val="20"/>
          <w:szCs w:val="20"/>
        </w:rPr>
        <w:t xml:space="preserve">Chopra, A. K. (2007). Dynamics of structures: Theory and applications to earthquake engineering (3rd ed.). Pearson Prentice Hall.</w:t>
      </w:r>
    </w:p>
    <w:p>
      <w:pPr>
        <w:spacing w:after="120" w:line="260"/>
        <w:ind w:left="720" w:hanging="720"/>
      </w:pPr>
      <w:r>
        <w:rPr>
          <w:sz w:val="20"/>
          <w:szCs w:val="20"/>
        </w:rPr>
        <w:t xml:space="preserve">Crowley, H., &amp; Pinho, R. (2004). Period-height relationship for existing European reinforced concrete buildings. Journal of Earthquake Engineering, 8(1), 93–119. https://doi.org/10.1080/13632460409350485</w:t>
      </w:r>
    </w:p>
    <w:p>
      <w:pPr>
        <w:spacing w:after="120" w:line="260"/>
        <w:ind w:left="720" w:hanging="720"/>
      </w:pPr>
      <w:r>
        <w:rPr>
          <w:sz w:val="20"/>
          <w:szCs w:val="20"/>
        </w:rPr>
        <w:t xml:space="preserve">d'Aragona, M., Polese, M., &amp; Prota, A. (2020). Stick-IT: A simplified model for rapid estimation of IDR and PFA for existing low-rise symmetric infilled RC building typologies. Engineering Structures, 223, 111182. https://doi.org/10.1016/j.engstruct.2020.111182</w:t>
      </w:r>
    </w:p>
    <w:p>
      <w:pPr>
        <w:spacing w:after="120" w:line="260"/>
        <w:ind w:left="720" w:hanging="720"/>
      </w:pPr>
      <w:r>
        <w:rPr>
          <w:sz w:val="20"/>
          <w:szCs w:val="20"/>
        </w:rPr>
        <w:t xml:space="preserve">d'Aragona, M., Polese, M., &amp; Prota, A. (2024). Propagation of uncertainty in fragility estimation for infilled RC frames using the STICK model. Engineering Structures, 304, 117634.</w:t>
      </w:r>
    </w:p>
    <w:p>
      <w:pPr>
        <w:spacing w:after="120" w:line="260"/>
        <w:ind w:left="720" w:hanging="720"/>
      </w:pPr>
      <w:r>
        <w:rPr>
          <w:sz w:val="20"/>
          <w:szCs w:val="20"/>
        </w:rPr>
        <w:t xml:space="preserve">DeepSeek. (2025). DeepSeek-R1: Incentivizing reasoning capability in LLMs via reinforcement learning. arXiv:2501.12948. https://arxiv.org/abs/2501.12948</w:t>
      </w:r>
    </w:p>
    <w:p>
      <w:pPr>
        <w:spacing w:after="120" w:line="260"/>
        <w:ind w:left="720" w:hanging="720"/>
      </w:pPr>
      <w:r>
        <w:rPr>
          <w:sz w:val="20"/>
          <w:szCs w:val="20"/>
        </w:rPr>
        <w:t xml:space="preserve">Del Gaudio, C., Di Ludovico, M., Polese, M., Manfredi, G., Prota, A., Ricci, P., &amp; Verderame, G. M. (2019). Seismic fragility for Italian RC buildings based on damage data of the last 50 years. Bulletin of Earthquake Engineering, 18(5), 2023–2059. https://doi.org/10.1007/s10518-019-00762-6</w:t>
      </w:r>
    </w:p>
    <w:p>
      <w:pPr>
        <w:spacing w:after="120" w:line="260"/>
        <w:ind w:left="720" w:hanging="720"/>
      </w:pPr>
      <w:r>
        <w:rPr>
          <w:sz w:val="20"/>
          <w:szCs w:val="20"/>
        </w:rPr>
        <w:t xml:space="preserve">Derakhshan, H., Khattak, N., Thambiratnam, D., &amp; Perera, N. (2022). Dataset from the detailed survey of vintage unreinforced masonry buildings in the State of Queensland, Australia. Data in Brief, 43. https://doi.org/10.1016/j.dib.2022.108360</w:t>
      </w:r>
    </w:p>
    <w:p>
      <w:pPr>
        <w:spacing w:after="120" w:line="260"/>
        <w:ind w:left="720" w:hanging="720"/>
      </w:pPr>
      <w:r>
        <w:rPr>
          <w:sz w:val="20"/>
          <w:szCs w:val="20"/>
        </w:rPr>
        <w:t xml:space="preserve">Elnashai, A., &amp; Mwafy, A. (2002). Overstrength and force reduction factors of multistorey reinforced concrete buildings. Structural Design of Tall Buildings, 11, 329–351. https://doi.org/10.1002/tal.204</w:t>
      </w:r>
    </w:p>
    <w:p>
      <w:pPr>
        <w:spacing w:after="120" w:line="260"/>
        <w:ind w:left="720" w:hanging="720"/>
      </w:pPr>
      <w:r>
        <w:rPr>
          <w:sz w:val="20"/>
          <w:szCs w:val="20"/>
        </w:rPr>
        <w:t xml:space="preserve">Emad, S., Elsisi, A., Sharaf, E., Eraky, A., &amp; Salama, A. (2026). Deep evaluation of structural time period formulae using finite element modelling. CivilEng. https://doi.org/10.3390/civileng7010010</w:t>
      </w:r>
    </w:p>
    <w:p>
      <w:pPr>
        <w:spacing w:after="120" w:line="260"/>
        <w:ind w:left="720" w:hanging="720"/>
      </w:pPr>
      <w:r>
        <w:rPr>
          <w:sz w:val="20"/>
          <w:szCs w:val="20"/>
        </w:rPr>
        <w:t xml:space="preserve">FEMA. (2003). HAZUS-MH multi-hazard loss estimation methodology: Earthquake model technical manual. Federal Emergency Management Agency.</w:t>
      </w:r>
    </w:p>
    <w:p>
      <w:pPr>
        <w:spacing w:after="120" w:line="260"/>
        <w:ind w:left="720" w:hanging="720"/>
      </w:pPr>
      <w:r>
        <w:rPr>
          <w:sz w:val="20"/>
          <w:szCs w:val="20"/>
        </w:rPr>
        <w:t xml:space="preserve">Geoscience Australia. (2024). National Seismic Hazard Assessment for Australia 2023 (NSHA23). https://www.ga.gov.au/scientific-topics/earth-obs/seismology-and-earthquakes/hazard</w:t>
      </w:r>
    </w:p>
    <w:p>
      <w:pPr>
        <w:spacing w:after="120" w:line="260"/>
        <w:ind w:left="720" w:hanging="720"/>
      </w:pPr>
      <w:r>
        <w:rPr>
          <w:sz w:val="20"/>
          <w:szCs w:val="20"/>
        </w:rPr>
        <w:t xml:space="preserve">Gregory, K., Moghtaderi, B., Sugo, H., &amp; Page, A. (2007). Effect of thermal mass on the thermal performance of various Australian residential construction systems. Energy and Buildings, 40, 459–465. https://doi.org/10.1016/j.enbuild.2007.04.001</w:t>
      </w:r>
    </w:p>
    <w:p>
      <w:pPr>
        <w:spacing w:after="120" w:line="260"/>
        <w:ind w:left="720" w:hanging="720"/>
      </w:pPr>
      <w:r>
        <w:rPr>
          <w:sz w:val="20"/>
          <w:szCs w:val="20"/>
        </w:rPr>
        <w:t xml:space="preserve">Hasan, M., Rahman, M., &amp; Karim, R. (2023). Nonlinear time-history analysis of a Dhaka RC residential building. Asian Journal of Civil Engineering, 24, 945–960.</w:t>
      </w:r>
    </w:p>
    <w:p>
      <w:pPr>
        <w:spacing w:after="120" w:line="260"/>
        <w:ind w:left="720" w:hanging="720"/>
      </w:pPr>
      <w:r>
        <w:rPr>
          <w:sz w:val="20"/>
          <w:szCs w:val="20"/>
        </w:rPr>
        <w:t xml:space="preserve">Heesch, R., Eilermann, S., Windmann, A., Diedrich, A., Rosenthal, P., &amp; Niggemann, O. (2025). Evaluating large language models for real-world engineering tasks. arXiv:2505.13484. https://doi.org/10.48550/arxiv.2505.13484</w:t>
      </w:r>
    </w:p>
    <w:p>
      <w:pPr>
        <w:spacing w:after="120" w:line="260"/>
        <w:ind w:left="720" w:hanging="720"/>
      </w:pPr>
      <w:r>
        <w:rPr>
          <w:sz w:val="20"/>
          <w:szCs w:val="20"/>
        </w:rPr>
        <w:t xml:space="preserve">Hevner, A. R., March, S. T., Park, J., &amp; Ram, S. (2004). Design science in information systems research. MIS Quarterly, 28(1), 75–105. https://doi.org/10.2307/25148625</w:t>
      </w:r>
    </w:p>
    <w:p>
      <w:pPr>
        <w:spacing w:after="120" w:line="260"/>
        <w:ind w:left="720" w:hanging="720"/>
      </w:pPr>
      <w:r>
        <w:rPr>
          <w:sz w:val="20"/>
          <w:szCs w:val="20"/>
        </w:rPr>
        <w:t xml:space="preserve">Hokmabadi, A., Fatahi, B., &amp; Samali, B. (2012). Recording inter-storey drifts of structures in time-history approach for seismic design of building frames. Australian Journal of Structural Engineering, 13, 175–179. https://doi.org/10.7158/13287982.2012.11465107</w:t>
      </w:r>
    </w:p>
    <w:p>
      <w:pPr>
        <w:spacing w:after="120" w:line="260"/>
        <w:ind w:left="720" w:hanging="720"/>
      </w:pPr>
      <w:r>
        <w:rPr>
          <w:sz w:val="20"/>
          <w:szCs w:val="20"/>
        </w:rPr>
        <w:t xml:space="preserve">Ismael, S., &amp; Ahmed, F. (2023). Seismic fragility curves for reinforced concrete dual system buildings. ARO Scientific Journal of Koya University. https://doi.org/10.14500/aro.11172</w:t>
      </w:r>
    </w:p>
    <w:p>
      <w:pPr>
        <w:spacing w:after="120" w:line="260"/>
        <w:ind w:left="720" w:hanging="720"/>
      </w:pPr>
      <w:r>
        <w:rPr>
          <w:sz w:val="20"/>
          <w:szCs w:val="20"/>
        </w:rPr>
        <w:t xml:space="preserve">Jiang, X., et al. (2024). EPlus-LLM: A large-language-model agent for automated building energy modelling. Building Simulation, 17, 1235–1252.</w:t>
      </w:r>
    </w:p>
    <w:p>
      <w:pPr>
        <w:spacing w:after="120" w:line="260"/>
        <w:ind w:left="720" w:hanging="720"/>
      </w:pPr>
      <w:r>
        <w:rPr>
          <w:sz w:val="20"/>
          <w:szCs w:val="20"/>
        </w:rPr>
        <w:t xml:space="preserve">Kappos, A. (1999). Evaluation of behaviour factors on the basis of ductility and overstrength studies. Engineering Structures, 21, 823–835. https://doi.org/10.1016/s0141-0296(98)00050-9</w:t>
      </w:r>
    </w:p>
    <w:p>
      <w:pPr>
        <w:spacing w:after="120" w:line="260"/>
        <w:ind w:left="720" w:hanging="720"/>
      </w:pPr>
      <w:r>
        <w:rPr>
          <w:sz w:val="20"/>
          <w:szCs w:val="20"/>
        </w:rPr>
        <w:t xml:space="preserve">Katsanos, E., Sextos, A., &amp; Elnashai, A. (2012). Period elongation of nonlinear systems modeled with degrading hysteretic rules. Proceedings of the 15th World Conference on Earthquake Engineering.</w:t>
      </w:r>
    </w:p>
    <w:p>
      <w:pPr>
        <w:spacing w:after="120" w:line="260"/>
        <w:ind w:left="720" w:hanging="720"/>
      </w:pPr>
      <w:r>
        <w:rPr>
          <w:sz w:val="20"/>
          <w:szCs w:val="20"/>
        </w:rPr>
        <w:t xml:space="preserve">Katsanos, E., Sextos, A., &amp; Elnashai, A. (2014). Prediction of inelastic response periods of buildings based on intensity measures and analytical model parameters. Engineering Structures, 71, 161–177. https://doi.org/10.1016/j.engstruct.2014.04.007</w:t>
      </w:r>
    </w:p>
    <w:p>
      <w:pPr>
        <w:spacing w:after="120" w:line="260"/>
        <w:ind w:left="720" w:hanging="720"/>
      </w:pPr>
      <w:r>
        <w:rPr>
          <w:sz w:val="20"/>
          <w:szCs w:val="20"/>
        </w:rPr>
        <w:t xml:space="preserve">Kaveh, A., Khalegi, M., &amp; Dadras, A. (2026). Machine learning prediction of seismic fragility parameters from a meta-database of 214 datasets. Earthquake Engineering and Structural Dynamics, 55, 312–334.</w:t>
      </w:r>
    </w:p>
    <w:p>
      <w:pPr>
        <w:spacing w:after="120" w:line="260"/>
        <w:ind w:left="720" w:hanging="720"/>
      </w:pPr>
      <w:r>
        <w:rPr>
          <w:sz w:val="20"/>
          <w:szCs w:val="20"/>
        </w:rPr>
        <w:t xml:space="preserve">Khattak, N., Derakhshan, H., Thambiratnam, D., &amp; Perera, N. (2022). Typological characterisation of vintage unreinforced masonry buildings of Queensland, Australia. Structures, 41, 1284–1297. https://doi.org/10.1016/j.istruc.2022.04.095</w:t>
      </w:r>
    </w:p>
    <w:p>
      <w:pPr>
        <w:spacing w:after="120" w:line="260"/>
        <w:ind w:left="720" w:hanging="720"/>
      </w:pPr>
      <w:r>
        <w:rPr>
          <w:sz w:val="20"/>
          <w:szCs w:val="20"/>
        </w:rPr>
        <w:t xml:space="preserve">Kundu, S., Bai, Y., Kadavath, S., Askell, A., Callahan, A., Chen, A., et al. (2023). Specific versus general principles for constitutional AI. arXiv:2310.13798. https://doi.org/10.48550/arxiv.2310.13798</w:t>
      </w:r>
    </w:p>
    <w:p>
      <w:pPr>
        <w:spacing w:after="120" w:line="260"/>
        <w:ind w:left="720" w:hanging="720"/>
      </w:pPr>
      <w:r>
        <w:rPr>
          <w:sz w:val="20"/>
          <w:szCs w:val="20"/>
        </w:rPr>
        <w:t xml:space="preserve">Laguerre, M., Salehi, M., &amp; Desroches, R. (2024). Empirical fragility analysis of Haitian reinforced concrete and masonry buildings. Buildings, 14. https://doi.org/10.3390/buildings14030792</w:t>
      </w:r>
    </w:p>
    <w:p>
      <w:pPr>
        <w:spacing w:after="120" w:line="260"/>
        <w:ind w:left="720" w:hanging="720"/>
      </w:pPr>
      <w:r>
        <w:rPr>
          <w:sz w:val="20"/>
          <w:szCs w:val="20"/>
        </w:rPr>
        <w:t xml:space="preserve">Lanz, D. J. A. (2025, January). Chinese open-source AI DeepSeek R1 matches OpenAI's o1 at 98% lower cost. Technology analysis.</w:t>
      </w:r>
    </w:p>
    <w:p>
      <w:pPr>
        <w:spacing w:after="120" w:line="260"/>
        <w:ind w:left="720" w:hanging="720"/>
      </w:pPr>
      <w:r>
        <w:rPr>
          <w:sz w:val="20"/>
          <w:szCs w:val="20"/>
        </w:rPr>
        <w:t xml:space="preserve">Liang, H., Talebi Kalaleh, M., &amp; Mei, Q. (2025a). Integrating large language models for automated structural analysis. arXiv:2504.09754.</w:t>
      </w:r>
    </w:p>
    <w:p>
      <w:pPr>
        <w:spacing w:after="120" w:line="260"/>
        <w:ind w:left="720" w:hanging="720"/>
      </w:pPr>
      <w:r>
        <w:rPr>
          <w:sz w:val="20"/>
          <w:szCs w:val="20"/>
        </w:rPr>
        <w:t xml:space="preserve">Liang, H., Zhou, Y., Talebi Kalaleh, M., &amp; Mei, Q. (2025b). Automating structural engineering workflows with large language model agents. arXiv:2510.11004.</w:t>
      </w:r>
    </w:p>
    <w:p>
      <w:pPr>
        <w:spacing w:after="120" w:line="260"/>
        <w:ind w:left="720" w:hanging="720"/>
      </w:pPr>
      <w:r>
        <w:rPr>
          <w:sz w:val="20"/>
          <w:szCs w:val="20"/>
        </w:rPr>
        <w:t xml:space="preserve">Lindström, A., Methnani, L., Krause, L., Ericson, P., De Rituerto De Troya, Í., Mollo, D., &amp; Dobbe, R. (2025). Helpful, harmless, honest? Sociotechnical limits of AI alignment and safety through reinforcement learning from human feedback. Ethics and Information Technology, 27. https://doi.org/10.1007/s10676-025-09837-2</w:t>
      </w:r>
    </w:p>
    <w:p>
      <w:pPr>
        <w:spacing w:after="120" w:line="260"/>
        <w:ind w:left="720" w:hanging="720"/>
      </w:pPr>
      <w:r>
        <w:rPr>
          <w:sz w:val="20"/>
          <w:szCs w:val="20"/>
        </w:rPr>
        <w:t xml:space="preserve">Liu, J., Geng, Z., Cao, R., Cheng, L., Bocchini, P., &amp; Cheng, M. (2025). A large language model-empowered agent for reliable and robust structural analysis. arXiv:2507.02938. https://doi.org/10.48550/arXiv.2507.02938</w:t>
      </w:r>
    </w:p>
    <w:p>
      <w:pPr>
        <w:spacing w:after="120" w:line="260"/>
        <w:ind w:left="720" w:hanging="720"/>
      </w:pPr>
      <w:r>
        <w:rPr>
          <w:sz w:val="20"/>
          <w:szCs w:val="20"/>
        </w:rPr>
        <w:t xml:space="preserve">Liu, M., Yang, Z., Li, S., &amp; Zhang, T. (2025). A lightweight large language model-based multi-agent system for 2D frame structural analysis. arXiv:2510.05414.</w:t>
      </w:r>
    </w:p>
    <w:p>
      <w:pPr>
        <w:spacing w:after="120" w:line="260"/>
        <w:ind w:left="720" w:hanging="720"/>
      </w:pPr>
      <w:r>
        <w:rPr>
          <w:sz w:val="20"/>
          <w:szCs w:val="20"/>
        </w:rPr>
        <w:t xml:space="preserve">Lopes, G., Vicente, R., Ferreira, T., &amp; Azenha, M. (2019). Intervened URM buildings with RC elements: Typological characterisation and associated challenges. Bulletin of Earthquake Engineering, 17, 4669–4701. https://doi.org/10.1007/s10518-019-00651-y</w:t>
      </w:r>
    </w:p>
    <w:p>
      <w:pPr>
        <w:spacing w:after="120" w:line="260"/>
        <w:ind w:left="720" w:hanging="720"/>
      </w:pPr>
      <w:r>
        <w:rPr>
          <w:sz w:val="20"/>
          <w:szCs w:val="20"/>
        </w:rPr>
        <w:t xml:space="preserve">Louzai, A., &amp; Abed, A. (2015). Evaluation of the seismic behavior factor of reinforced concrete frame structures based on comparative analysis between non-linear static pushover and incremental dynamic analyses. Bulletin of Earthquake Engineering, 13, 1773–1793. https://doi.org/10.1007/s10518-014-9689-7</w:t>
      </w:r>
    </w:p>
    <w:p>
      <w:pPr>
        <w:spacing w:after="120" w:line="260"/>
        <w:ind w:left="720" w:hanging="720"/>
      </w:pPr>
      <w:r>
        <w:rPr>
          <w:sz w:val="20"/>
          <w:szCs w:val="20"/>
        </w:rPr>
        <w:t xml:space="preserve">Lumantarna, E., Wilson, J. L., &amp; Lam, N. T. K. (2014). Bi-linear displacement response spectrum model for engineering applications in low and moderate seismicity regions. Soil Dynamics and Earthquake Engineering, 60, 48–62.</w:t>
      </w:r>
    </w:p>
    <w:p>
      <w:pPr>
        <w:spacing w:after="120" w:line="260"/>
        <w:ind w:left="720" w:hanging="720"/>
      </w:pPr>
      <w:r>
        <w:rPr>
          <w:sz w:val="20"/>
          <w:szCs w:val="20"/>
        </w:rPr>
        <w:t xml:space="preserve">Maqsood, T., Edwards, M., Ioannou, I., Kosmidis, I., Rossetto, T., &amp; Corby, N. (2016). Seismic vulnerability functions for Australian buildings by using GEM empirical vulnerability assessment guidelines. Natural Hazards, 80, 1625–1650. https://doi.org/10.1007/s11069-015-2042-x</w:t>
      </w:r>
    </w:p>
    <w:p>
      <w:pPr>
        <w:spacing w:after="120" w:line="260"/>
        <w:ind w:left="720" w:hanging="720"/>
      </w:pPr>
      <w:r>
        <w:rPr>
          <w:sz w:val="20"/>
          <w:szCs w:val="20"/>
        </w:rPr>
        <w:t xml:space="preserve">Masi, A., &amp; Vona, M. (2010). Experimental and numerical evaluation of the fundamental period of undamaged and damaged RC framed buildings. Bulletin of Earthquake Engineering, 8, 643–656. https://doi.org/10.1007/s10518-009-9136-3</w:t>
      </w:r>
    </w:p>
    <w:p>
      <w:pPr>
        <w:spacing w:after="120" w:line="260"/>
        <w:ind w:left="720" w:hanging="720"/>
      </w:pPr>
      <w:r>
        <w:rPr>
          <w:sz w:val="20"/>
          <w:szCs w:val="20"/>
        </w:rPr>
        <w:t xml:space="preserve">Mehdipanah, A., Lumantarna, E., &amp; Lam, N. (2021). Shear wall and frame dual systems featuring discontinuous load paths in frame elements in low-to-moderate seismic regions. Journal of Earthquake Engineering, 26, 7408–7443. https://doi.org/10.1080/13632469.2021.1964643</w:t>
      </w:r>
    </w:p>
    <w:p>
      <w:pPr>
        <w:spacing w:after="120" w:line="260"/>
        <w:ind w:left="720" w:hanging="720"/>
      </w:pPr>
      <w:r>
        <w:rPr>
          <w:sz w:val="20"/>
          <w:szCs w:val="20"/>
        </w:rPr>
        <w:t xml:space="preserve">Menegon, S. J., Wilson, J. L., Lam, N. T. K., &amp; McBean, P. (2018). RC walls in Australia: Seismic design and detailing to AS 1170.4 and AS 3600. Australian Journal of Structural Engineering, 19(1), 67–84. https://doi.org/10.1080/13287982.2017.1410309</w:t>
      </w:r>
    </w:p>
    <w:p>
      <w:pPr>
        <w:spacing w:after="120" w:line="260"/>
        <w:ind w:left="720" w:hanging="720"/>
      </w:pPr>
      <w:r>
        <w:rPr>
          <w:sz w:val="20"/>
          <w:szCs w:val="20"/>
        </w:rPr>
        <w:t xml:space="preserve">Menegon, S. J., Wilson, J. L., Gad, E. F., &amp; Lam, N. T. K. (2019). Development of a vulnerability assessment framework for Australian buildings. Proceedings of the Australian Earthquake Engineering Society Conference.</w:t>
      </w:r>
    </w:p>
    <w:p>
      <w:pPr>
        <w:spacing w:after="120" w:line="260"/>
        <w:ind w:left="720" w:hanging="720"/>
      </w:pPr>
      <w:r>
        <w:rPr>
          <w:sz w:val="20"/>
          <w:szCs w:val="20"/>
        </w:rPr>
        <w:t xml:space="preserve">Menegon, S., Tsang, H., Wilson, J., &amp; Lam, N. (2021). RC walls in Australia: Displacement-based seismic design in accordance with AS 1170.4 and AS 3600. Australian Journal of Structural Engineering, 22, 205–221. https://doi.org/10.1080/13287982.2021.1954306</w:t>
      </w:r>
    </w:p>
    <w:p>
      <w:pPr>
        <w:spacing w:after="120" w:line="260"/>
        <w:ind w:left="720" w:hanging="720"/>
      </w:pPr>
      <w:r>
        <w:rPr>
          <w:sz w:val="20"/>
          <w:szCs w:val="20"/>
        </w:rPr>
        <w:t xml:space="preserve">Menegon, S., Tsang, H., Wilson, J., &amp; Lam, N. (2024). Overstrength and ductility of limited-ductile RC walls: from the design engineer's perspective. Proceedings of the Australian Earthquake Engineering Society Conference.</w:t>
      </w:r>
    </w:p>
    <w:p>
      <w:pPr>
        <w:spacing w:after="120" w:line="260"/>
        <w:ind w:left="720" w:hanging="720"/>
      </w:pPr>
      <w:r>
        <w:rPr>
          <w:sz w:val="20"/>
          <w:szCs w:val="20"/>
        </w:rPr>
        <w:t xml:space="preserve">Muho, E., Pian, C., Qian, J., Shadabfar, M., &amp; Beskos, D. (2021). Deformation-dependent peak floor acceleration for the performance-based design of nonstructural elements attached to R/C structures. Earthquake Spectra, 37, 1035–1055. https://doi.org/10.1177/8755293020988015</w:t>
      </w:r>
    </w:p>
    <w:p>
      <w:pPr>
        <w:spacing w:after="120" w:line="260"/>
        <w:ind w:left="720" w:hanging="720"/>
      </w:pPr>
      <w:r>
        <w:rPr>
          <w:sz w:val="20"/>
          <w:szCs w:val="20"/>
        </w:rPr>
        <w:t xml:space="preserve">Page, A. (2012). The evolution of the design and construction of masonry buildings in Australia. Gestão &amp; Tecnologia de Projetos, 7, 27–34. https://doi.org/10.4237/gtp.v7i2.242</w:t>
      </w:r>
    </w:p>
    <w:p>
      <w:pPr>
        <w:spacing w:after="120" w:line="260"/>
        <w:ind w:left="720" w:hanging="720"/>
      </w:pPr>
      <w:r>
        <w:rPr>
          <w:sz w:val="20"/>
          <w:szCs w:val="20"/>
        </w:rPr>
        <w:t xml:space="preserve">Parizat, S., Kamai, R., Shaked, Y., &amp; Shmerling, A. (2024). Seismic vulnerability of a pre-code, reinforced concrete, apartment-block building. Bulletin of Earthquake Engineering, 22, 7547–7587. https://doi.org/10.1007/s10518-024-02054-0</w:t>
      </w:r>
    </w:p>
    <w:p>
      <w:pPr>
        <w:spacing w:after="120" w:line="260"/>
        <w:ind w:left="720" w:hanging="720"/>
      </w:pPr>
      <w:r>
        <w:rPr>
          <w:sz w:val="20"/>
          <w:szCs w:val="20"/>
        </w:rPr>
        <w:t xml:space="preserve">Patel, N., &amp; Khatri, A. (2023). Methodology for evaluating seismic analysis and performance of reinforced concrete buildings in seismic zones III and V. International Journal of Scientific Research in Engineering and Management. https://doi.org/10.55041/ijsrem26299</w:t>
      </w:r>
    </w:p>
    <w:p>
      <w:pPr>
        <w:spacing w:after="120" w:line="260"/>
        <w:ind w:left="720" w:hanging="720"/>
      </w:pPr>
      <w:r>
        <w:rPr>
          <w:sz w:val="20"/>
          <w:szCs w:val="20"/>
        </w:rPr>
        <w:t xml:space="preserve">Patel, N., &amp; Vasanwala, S. (2020). Propagating fragility curve for RC buildings via HAZUS methodology. Materials Today: Proceedings. https://doi.org/10.1016/j.matpr.2020.01.399</w:t>
      </w:r>
    </w:p>
    <w:p>
      <w:pPr>
        <w:spacing w:after="120" w:line="260"/>
        <w:ind w:left="720" w:hanging="720"/>
      </w:pPr>
      <w:r>
        <w:rPr>
          <w:sz w:val="20"/>
          <w:szCs w:val="20"/>
        </w:rPr>
        <w:t xml:space="preserve">Paton-Cole, V., Crawford, R., Turnbull, R., Fitzgerald, E., Michalewicz, A., &amp; Garber, J. (2022). Trends in residential building materials in the State of Victoria. IOP Conference Series: Earth and Environmental Science, 1101. https://doi.org/10.1088/1755-1315/1101/4/042022</w:t>
      </w:r>
    </w:p>
    <w:p>
      <w:pPr>
        <w:spacing w:after="120" w:line="260"/>
        <w:ind w:left="720" w:hanging="720"/>
      </w:pPr>
      <w:r>
        <w:rPr>
          <w:sz w:val="20"/>
          <w:szCs w:val="20"/>
        </w:rPr>
        <w:t xml:space="preserve">Pujades, L., Vargas-Alzate, Y., Lantada, N., &amp; González-Drigo, R. (2025). Probabilistic parametric analysis of capacity, fragility and expected seismic damage of framed reinforced concrete buildings. Bulletin of Earthquake Engineering, 23, 1591–1637. https://doi.org/10.1007/s10518-024-02066-w</w:t>
      </w:r>
    </w:p>
    <w:p>
      <w:pPr>
        <w:spacing w:after="120" w:line="260"/>
        <w:ind w:left="720" w:hanging="720"/>
      </w:pPr>
      <w:r>
        <w:rPr>
          <w:sz w:val="20"/>
          <w:szCs w:val="20"/>
        </w:rPr>
        <w:t xml:space="preserve">Risk Frontiers. (2024). The 2023 update of the Australian National Seismic Hazard Assessment (NSHA23). Risk Frontiers Research Note.</w:t>
      </w:r>
    </w:p>
    <w:p>
      <w:pPr>
        <w:spacing w:after="120" w:line="260"/>
        <w:ind w:left="720" w:hanging="720"/>
      </w:pPr>
      <w:r>
        <w:rPr>
          <w:sz w:val="20"/>
          <w:szCs w:val="20"/>
        </w:rPr>
        <w:t xml:space="preserve">Rosti, A., Rota, M., &amp; Penna, A. (2020). Empirical fragility curves for Italian residential RC buildings. Bulletin of Earthquake Engineering, 19, 3165–3197.</w:t>
      </w:r>
    </w:p>
    <w:p>
      <w:pPr>
        <w:spacing w:after="120" w:line="260"/>
        <w:ind w:left="720" w:hanging="720"/>
      </w:pPr>
      <w:r>
        <w:rPr>
          <w:sz w:val="20"/>
          <w:szCs w:val="20"/>
        </w:rPr>
        <w:t xml:space="preserve">Samuel, J., Filippou, F. C., &amp; Stojadinovic, B. (2024). Hybrid empirical-analytical seismic fragility methods for RC buildings: A review. Earthquake Engineering and Structural Dynamics, 53, 2890–2914.</w:t>
      </w:r>
    </w:p>
    <w:p>
      <w:pPr>
        <w:spacing w:after="120" w:line="260"/>
        <w:ind w:left="720" w:hanging="720"/>
      </w:pPr>
      <w:r>
        <w:rPr>
          <w:sz w:val="20"/>
          <w:szCs w:val="20"/>
        </w:rPr>
        <w:t xml:space="preserve">Shabbir, F. (2026). Comparative pushover and nonlinear time-history analysis of RC frames. International Journal of Structural Engineering, 17, 78–95.</w:t>
      </w:r>
    </w:p>
    <w:p>
      <w:pPr>
        <w:spacing w:after="120" w:line="260"/>
        <w:ind w:left="720" w:hanging="720"/>
      </w:pPr>
      <w:r>
        <w:rPr>
          <w:sz w:val="20"/>
          <w:szCs w:val="20"/>
        </w:rPr>
        <w:t xml:space="preserve">Standards Australia. (2007). AS 1170.4–2007: Structural design actions — Part 4: Earthquake actions in Australia.</w:t>
      </w:r>
    </w:p>
    <w:p>
      <w:pPr>
        <w:spacing w:after="120" w:line="260"/>
        <w:ind w:left="720" w:hanging="720"/>
      </w:pPr>
      <w:r>
        <w:rPr>
          <w:sz w:val="20"/>
          <w:szCs w:val="20"/>
        </w:rPr>
        <w:t xml:space="preserve">Standards Australia. (2018). AS 1170.4/Amdt 2/2018-02-22: Amendment No. 2 to AS 1170.4–2007.</w:t>
      </w:r>
    </w:p>
    <w:p>
      <w:pPr>
        <w:spacing w:after="120" w:line="260"/>
        <w:ind w:left="720" w:hanging="720"/>
      </w:pPr>
      <w:r>
        <w:rPr>
          <w:sz w:val="20"/>
          <w:szCs w:val="20"/>
        </w:rPr>
        <w:t xml:space="preserve">Standards Australia. (2018). AS 3600:2018: Concrete structures.</w:t>
      </w:r>
    </w:p>
    <w:p>
      <w:pPr>
        <w:spacing w:after="120" w:line="260"/>
        <w:ind w:left="720" w:hanging="720"/>
      </w:pPr>
      <w:r>
        <w:rPr>
          <w:sz w:val="20"/>
          <w:szCs w:val="20"/>
        </w:rPr>
        <w:t xml:space="preserve">Standards Australia. (2024). AS 1170.4–2024: Structural design actions — Part 4: Earthquake actions in Australia.</w:t>
      </w:r>
    </w:p>
    <w:p>
      <w:pPr>
        <w:spacing w:after="120" w:line="260"/>
        <w:ind w:left="720" w:hanging="720"/>
      </w:pPr>
      <w:r>
        <w:rPr>
          <w:sz w:val="20"/>
          <w:szCs w:val="20"/>
        </w:rPr>
        <w:t xml:space="preserve">Tenckhoff, S., Koddenbrock, M., &amp; Rodner, E. (2026). LLMStructBench: Benchmarking large language model structured data extraction. arXiv:2602.14743. https://doi.org/10.48550/arxiv.2602.14743</w:t>
      </w:r>
    </w:p>
    <w:p>
      <w:pPr>
        <w:spacing w:after="120" w:line="260"/>
        <w:ind w:left="720" w:hanging="720"/>
      </w:pPr>
      <w:r>
        <w:rPr>
          <w:sz w:val="20"/>
          <w:szCs w:val="20"/>
        </w:rPr>
        <w:t xml:space="preserve">Wang, Z., Chen, C., &amp; Li, H. (2024). Data governance and model interpretability as barriers to generative AI in architecture, engineering and construction. Automation in Construction, 162, 105410. https://doi.org/10.1016/j.autcon.2024.105410</w:t>
      </w:r>
    </w:p>
    <w:p>
      <w:pPr>
        <w:spacing w:after="120" w:line="260"/>
        <w:ind w:left="720" w:hanging="720"/>
      </w:pPr>
      <w:r>
        <w:rPr>
          <w:sz w:val="20"/>
          <w:szCs w:val="20"/>
        </w:rPr>
        <w:t xml:space="preserve">Xie, Y., Sichani, M. E., Padgett, J. E., &amp; DesRoches, R. (2020). The promise of implementing machine learning in earthquake engineering: A state-of-the-art review. Earthquake Spectra, 36(4), 1769–1801. https://doi.org/10.1177/8755293020919419</w:t>
      </w:r>
    </w:p>
    <w:p>
      <w:pPr>
        <w:spacing w:after="120" w:line="260"/>
        <w:ind w:left="720" w:hanging="720"/>
      </w:pPr>
      <w:r>
        <w:rPr>
          <w:sz w:val="20"/>
          <w:szCs w:val="20"/>
        </w:rPr>
        <w:t xml:space="preserve">Zahid, M., Robert, D., &amp; Shahrin, F. (2013). An evaluation of overstrength factor of seismic designed low-rise RC buildings. Procedia Engineering, 53, 48–51. https://doi.org/10.1016/j.proeng.2013.02.008</w:t>
      </w:r>
    </w:p>
    <w:p>
      <w:pPr>
        <w:spacing w:after="120" w:line="260"/>
        <w:ind w:left="720" w:hanging="720"/>
      </w:pPr>
      <w:r>
        <w:rPr>
          <w:sz w:val="20"/>
          <w:szCs w:val="20"/>
        </w:rPr>
        <w:t xml:space="preserve">Zhang, C., Lu, X., Cheng, Q., Tian, Y., &amp; Lin, K. (2024). Urban-scale time-history response prediction of RC frame buildings using deep learning. Engineering Structures, 305, 117643.</w:t>
      </w:r>
    </w:p>
    <w:p>
      <w:pPr>
        <w:spacing w:after="120" w:line="260"/>
        <w:ind w:left="720" w:hanging="720"/>
      </w:pPr>
      <w:r>
        <w:rPr>
          <w:sz w:val="20"/>
          <w:szCs w:val="20"/>
        </w:rPr>
        <w:t xml:space="preserve">Zhang, L., Wang, Y., &amp; Chen, P. (2025). Agentic large language model workflows for EnergyPlus simulation. Energy and Buildings, 310, 114108.</w:t>
      </w:r>
    </w:p>
    <w:p>
      <w:pPr>
        <w:spacing w:after="120" w:line="260"/>
        <w:ind w:left="720" w:hanging="720"/>
      </w:pPr>
      <w:r>
        <w:rPr>
          <w:sz w:val="20"/>
          <w:szCs w:val="20"/>
        </w:rPr>
        <w:t xml:space="preserve">Zhang, R., Sun, Z., &amp; Qu, C. (2022). P-Delta effects on nonlinear dynamic response of steel moment-resisting frame structures subjected to near-fault pulse-like ground motions. Structures, 42, 1148–1163. https://doi.org/10.1016/j.istruc.2022.05.042</w:t>
      </w:r>
    </w:p>
    <w:p>
      <w:pPr>
        <w:spacing w:after="120" w:line="260"/>
        <w:ind w:left="720" w:hanging="720"/>
      </w:pPr>
      <w:r>
        <w:rPr>
          <w:sz w:val="20"/>
          <w:szCs w:val="20"/>
        </w:rPr>
        <w:t xml:space="preserve">Zhang, X. (2025). Constitution or collapse? Exploring constitutional AI with Llama 3-8B. arXiv:2504.04918. https://doi.org/10.48550/arxiv.2504.04918</w:t>
      </w:r>
    </w:p>
    <w:p>
      <w:pPr>
        <w:spacing w:after="120" w:line="260"/>
        <w:ind w:left="720" w:hanging="720"/>
      </w:pPr>
      <w:r>
        <w:rPr>
          <w:sz w:val="20"/>
          <w:szCs w:val="20"/>
        </w:rPr>
        <w:t xml:space="preserve">Zhang, Y., Burton, H., Shokrabadi, M., &amp; Zareian, F. (2024). Benefit-cost analysis for earthquake-resilient building design and retrofit: State of the art and future research needs. Natural Hazards Review, 25(3), 03124001. https://doi.org/10.1061/NHREFO.NHENG-1910</w:t>
      </w:r>
    </w:p>
    <w:p>
      <w:pPr>
        <w:spacing w:after="120" w:line="260"/>
        <w:ind w:left="720" w:hanging="720"/>
      </w:pPr>
      <w:r>
        <w:rPr>
          <w:sz w:val="20"/>
          <w:szCs w:val="20"/>
        </w:rPr>
        <w:t xml:space="preserve">Zhu, M., McKenna, F., &amp; Scott, M. H. (2018). OpenSeesPy: Python library for the OpenSees finite element framework. SoftwareX, 7, 6–11. https://doi.org/10.1016/j.softx.2017.10.009</w:t>
      </w:r>
    </w:p>
    <w:p>
      <w:r>
        <w:br w:type="page"/>
      </w:r>
    </w:p>
    <w:p>
      <w:pPr>
        <w:pStyle w:val="Heading1"/>
        <w:spacing w:after="200" w:before="360"/>
      </w:pPr>
      <w:r>
        <w:rPr>
          <w:b/>
          <w:bCs/>
          <w:sz w:val="32"/>
          <w:szCs w:val="32"/>
        </w:rPr>
        <w:t xml:space="preserve">Appendix A: Declaration of Generative AI Use</w:t>
      </w:r>
    </w:p>
    <w:p>
      <w:pPr>
        <w:spacing w:after="120" w:line="280"/>
        <w:jc w:val="both"/>
      </w:pPr>
      <w:r>
        <w:t xml:space="preserve">In accordance with UTS guidelines on the use of generative AI in academic work, I declare that Claude (Anthropic, claude-sonnet-4-6, accessed 2026) and, in earlier drafts, GPT-4o (OpenAI, accessed 2026) were used in the following capacities:</w:t>
      </w:r>
    </w:p>
    <w:p>
      <w:pPr>
        <w:pStyle w:val="ListParagraph"/>
        <w:numPr>
          <w:ilvl w:val="0"/>
          <w:numId w:val="1"/>
        </w:numPr>
        <w:spacing w:after="80" w:line="280"/>
      </w:pPr>
      <w:r>
        <w:t xml:space="preserve">Code development: Claude assisted in writing and debugging all Python scripts. All code was reviewed, tested, and independently verified. The OpenSeesPy ARPACK–equalDOF incompatibility was identified through systematic debugging; Claude provided the hypothesis about the null-space initialisation problem, which was then independently verified and documented.</w:t>
      </w:r>
    </w:p>
    <w:p>
      <w:pPr>
        <w:pStyle w:val="ListParagraph"/>
        <w:numPr>
          <w:ilvl w:val="0"/>
          <w:numId w:val="1"/>
        </w:numPr>
        <w:spacing w:after="80" w:line="280"/>
      </w:pPr>
      <w:r>
        <w:t xml:space="preserve">Report writing: Claude assisted in drafting sections of this report. All content was reviewed, edited, and supplemented by the student. All engineering calculations and compliance determinations were independently verified. All in-text citations follow APA 7th edition and were checked against primary sources by the student.</w:t>
      </w:r>
    </w:p>
    <w:p>
      <w:pPr>
        <w:pStyle w:val="ListParagraph"/>
        <w:numPr>
          <w:ilvl w:val="0"/>
          <w:numId w:val="1"/>
        </w:numPr>
        <w:spacing w:after="80" w:line="280"/>
      </w:pPr>
      <w:r>
        <w:t xml:space="preserve">Literature synthesis: Claude assisted in identifying and summarising relevant papers. All papers were subsequently read and verified by the student.</w:t>
      </w:r>
    </w:p>
    <w:p>
      <w:pPr>
        <w:spacing w:after="120" w:line="280"/>
        <w:jc w:val="both"/>
      </w:pPr>
      <w:r>
        <w:rPr>
          <w:b/>
          <w:bCs/>
        </w:rPr>
        <w:t xml:space="preserve">Citation (APA 7): </w:t>
      </w:r>
      <w:r>
        <w:t xml:space="preserve">Anthropic. (2026). Claude (Version claude-sonnet-4-6) [Large language model]. https://claude.ai</w:t>
      </w:r>
    </w:p>
    <w:p>
      <w:pPr>
        <w:spacing w:after="120" w:line="280"/>
        <w:jc w:val="both"/>
      </w:pPr>
      <w:r>
        <w:rPr>
          <w:b/>
          <w:bCs/>
        </w:rPr>
        <w:t xml:space="preserve">Justification (~250 words): </w:t>
      </w:r>
      <w:r>
        <w:t xml:space="preserve">The use of generative AI was essential given the compressed one-semester timeline, the broad technical scope spanning structural engineering, seismic analysis, and AI systems, and the 7,000+ word report requirement. Claude was used primarily as a productivity amplifier for writing quality and code debugging, not as a generator of original research findings. All research objectives were developed through iterative discussion with Supervisor Prof. Jianchun Li. All building parameters were defined by the student. All AS 1170.4 calculations, including the Amendment 2 kpZ minimum, were independently verified. The literature review drew on papers identified and read by the student.</w:t>
      </w:r>
    </w:p>
    <w:p>
      <w:pPr>
        <w:spacing w:after="120" w:line="280"/>
        <w:jc w:val="both"/>
      </w:pPr>
      <w:r>
        <w:t xml:space="preserve">A recurring limitation of Claude's assistance was a tendency to frame the LLM-orchestrated workflow as more autonomous than it actually is — describing it as 'agentic AI' or 'autonomous assessment' in initial drafts, requiring consistent correction to 'LLM-orchestrated workflow' throughout. This observation itself constitutes a finding about LLM use in engineering writing: AI assistants default to more technically impressive framing that requires correction by the human author. Researchers using AI writing assistance for AI-related papers should be particularly alert to this tendency.</w:t>
      </w:r>
    </w:p>
    <w:p>
      <w:r>
        <w:br w:type="page"/>
      </w:r>
    </w:p>
    <w:p>
      <w:pPr>
        <w:pStyle w:val="Heading1"/>
        <w:spacing w:after="200" w:before="360"/>
      </w:pPr>
      <w:r>
        <w:rPr>
          <w:b/>
          <w:bCs/>
          <w:sz w:val="32"/>
          <w:szCs w:val="32"/>
        </w:rPr>
        <w:t xml:space="preserve">Appendix B: AS 1170.4 Amendment No. 2 Implementation Summary</w:t>
      </w:r>
    </w:p>
    <w:p>
      <w:pPr>
        <w:spacing w:after="120" w:line="280"/>
        <w:jc w:val="both"/>
      </w:pPr>
      <w:r>
        <w:t xml:space="preserve">Amendment No. 2 to AS 1170.4:2007 was published 22 February 2018 (Standards Australia, 2018). Table B1 summarises changes and their implementation status in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999999" w:sz="4"/>
              <w:left w:val="single" w:color="999999" w:sz="4"/>
              <w:bottom w:val="single" w:color="999999" w:sz="4"/>
              <w:right w:val="single" w:color="999999" w:sz="4"/>
            </w:tcBorders>
            <w:shd w:fill="D5E8F0" w:color="auto" w:val="clear"/>
            <w:tcMar>
              <w:top w:type="dxa" w:w="80"/>
              <w:left w:type="dxa" w:w="100"/>
              <w:bottom w:type="dxa" w:w="80"/>
              <w:right w:type="dxa" w:w="100"/>
            </w:tcMar>
          </w:tcPr>
          <w:p>
            <w:pPr>
              <w:spacing w:after="0"/>
            </w:pPr>
            <w:r>
              <w:rPr>
                <w:b/>
                <w:bCs/>
                <w:sz w:val="18"/>
                <w:szCs w:val="18"/>
              </w:rPr>
              <w:t xml:space="preserve">Clause</w:t>
            </w:r>
          </w:p>
        </w:tc>
        <w:tc>
          <w:tcPr>
            <w:tcW w:type="dxa" w:w="3500"/>
            <w:tcBorders>
              <w:top w:val="single" w:color="999999" w:sz="4"/>
              <w:left w:val="single" w:color="999999" w:sz="4"/>
              <w:bottom w:val="single" w:color="999999" w:sz="4"/>
              <w:right w:val="single" w:color="999999" w:sz="4"/>
            </w:tcBorders>
            <w:shd w:fill="D5E8F0" w:color="auto" w:val="clear"/>
            <w:tcMar>
              <w:top w:type="dxa" w:w="80"/>
              <w:left w:type="dxa" w:w="100"/>
              <w:bottom w:type="dxa" w:w="80"/>
              <w:right w:type="dxa" w:w="100"/>
            </w:tcMar>
          </w:tcPr>
          <w:p>
            <w:pPr>
              <w:spacing w:after="0"/>
            </w:pPr>
            <w:r>
              <w:rPr>
                <w:b/>
                <w:bCs/>
                <w:sz w:val="18"/>
                <w:szCs w:val="18"/>
              </w:rPr>
              <w:t xml:space="preserve">Change</w:t>
            </w:r>
          </w:p>
        </w:tc>
        <w:tc>
          <w:tcPr>
            <w:tcW w:type="dxa" w:w="4060"/>
            <w:tcBorders>
              <w:top w:val="single" w:color="999999" w:sz="4"/>
              <w:left w:val="single" w:color="999999" w:sz="4"/>
              <w:bottom w:val="single" w:color="999999" w:sz="4"/>
              <w:right w:val="single" w:color="999999" w:sz="4"/>
            </w:tcBorders>
            <w:shd w:fill="D5E8F0" w:color="auto" w:val="clear"/>
            <w:tcMar>
              <w:top w:type="dxa" w:w="80"/>
              <w:left w:type="dxa" w:w="100"/>
              <w:bottom w:type="dxa" w:w="80"/>
              <w:right w:type="dxa" w:w="100"/>
            </w:tcMar>
          </w:tcPr>
          <w:p>
            <w:pPr>
              <w:spacing w:after="0"/>
            </w:pPr>
            <w:r>
              <w:rPr>
                <w:b/>
                <w:bCs/>
                <w:sz w:val="18"/>
                <w:szCs w:val="18"/>
              </w:rPr>
              <w:t xml:space="preserve">Implementation</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Cl 3.3 (new) Table 3.3 (new)</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Minimum kpZ = 0.08 for 1/500 probability of exceedance. kpZ = max(kp × Z, 0.08).</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Implemented in static_analysis() as kpZ = max(kp * Z_raw, 0.08). Affects Brisbane/Hobart (Z_raw = 0.05 → kpZ = 0.08). Newcastle unaffected (Z = 0.11).</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Cl 1.4 Definitions</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Renamed 'hazard factor (Z)' to 'hazard design factor (Z)' throughout.</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Terminology updated throughout report and code documentation.</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Table 3.2</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Removed entries for cities with Z ≤ 0.08 (Brisbane, Hobart, Melbourne, Sydney, etc.).</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HAZARD_FACTORS dict retains raw Z values; minimum enforced via kpZ = max(kp × Z, 0.08).</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Figures 3.2(A)–(G)</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Updated hazard maps reflecting new minimum 0.08.</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Maps not used directly; Z values from Geoscience Australia (2024) consistent with current maps.</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Cl 4.2.2(a)</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Soil Class A: compressive strength 1–50 MPa or Vs30 &gt; 760 m/s.</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Not applicable (Site Class De used for all buildings).</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Cl 1.1 Item (h)</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Added transmission line towers to scope.</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Not applicable (residential buildings only).</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Bibliography</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Added AS 5100.2 (Bridge design).</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Not applicable.</w:t>
            </w:r>
          </w:p>
        </w:tc>
      </w:tr>
    </w:tbl>
    <w:p>
      <w:pPr>
        <w:spacing w:after="200" w:before="80"/>
        <w:jc w:val="both"/>
      </w:pPr>
      <w:r>
        <w:rPr>
          <w:i/>
          <w:iCs/>
          <w:sz w:val="18"/>
          <w:szCs w:val="18"/>
        </w:rPr>
        <w:t xml:space="preserve">Table B1. AS 1170.4 Amendment No. 2 changes and project implementation status (Standards Australia, 2018). Python implementation: kpZ = max(kp * Z_raw, 0.08) applied in static_analysis() in all scripts.</w:t>
      </w:r>
    </w:p>
    <w:p>
      <w:r>
        <w:br w:type="page"/>
      </w:r>
    </w:p>
    <w:p>
      <w:pPr>
        <w:pStyle w:val="Heading1"/>
        <w:spacing w:after="200" w:before="360"/>
      </w:pPr>
      <w:r>
        <w:rPr>
          <w:b/>
          <w:bCs/>
          <w:sz w:val="32"/>
          <w:szCs w:val="32"/>
        </w:rPr>
        <w:t xml:space="preserve">Appendix C: Project Management and Supervisor Communication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400"/>
        <w:gridCol w:w="4560"/>
      </w:tblGrid>
      <w:tr>
        <w:trPr>
          <w:tblHeader/>
        </w:trPr>
        <w:tc>
          <w:tcPr>
            <w:tcW w:type="dxa" w:w="800"/>
            <w:tcBorders>
              <w:top w:val="single" w:color="999999" w:sz="4"/>
              <w:left w:val="single" w:color="999999" w:sz="4"/>
              <w:bottom w:val="single" w:color="999999" w:sz="4"/>
              <w:right w:val="single" w:color="999999" w:sz="4"/>
            </w:tcBorders>
            <w:shd w:fill="D5E8F0" w:color="auto" w:val="clear"/>
            <w:tcMar>
              <w:top w:type="dxa" w:w="80"/>
              <w:left w:type="dxa" w:w="100"/>
              <w:bottom w:type="dxa" w:w="80"/>
              <w:right w:type="dxa" w:w="100"/>
            </w:tcMar>
          </w:tcPr>
          <w:p>
            <w:pPr>
              <w:spacing w:after="0"/>
            </w:pPr>
            <w:r>
              <w:rPr>
                <w:b/>
                <w:bCs/>
                <w:sz w:val="18"/>
                <w:szCs w:val="18"/>
              </w:rPr>
              <w:t xml:space="preserve">Week</w:t>
            </w:r>
          </w:p>
        </w:tc>
        <w:tc>
          <w:tcPr>
            <w:tcW w:type="dxa" w:w="1600"/>
            <w:tcBorders>
              <w:top w:val="single" w:color="999999" w:sz="4"/>
              <w:left w:val="single" w:color="999999" w:sz="4"/>
              <w:bottom w:val="single" w:color="999999" w:sz="4"/>
              <w:right w:val="single" w:color="999999" w:sz="4"/>
            </w:tcBorders>
            <w:shd w:fill="D5E8F0" w:color="auto" w:val="clear"/>
            <w:tcMar>
              <w:top w:type="dxa" w:w="80"/>
              <w:left w:type="dxa" w:w="100"/>
              <w:bottom w:type="dxa" w:w="80"/>
              <w:right w:type="dxa" w:w="100"/>
            </w:tcMar>
          </w:tcPr>
          <w:p>
            <w:pPr>
              <w:spacing w:after="0"/>
            </w:pPr>
            <w:r>
              <w:rPr>
                <w:b/>
                <w:bCs/>
                <w:sz w:val="18"/>
                <w:szCs w:val="18"/>
              </w:rPr>
              <w:t xml:space="preserve">Date</w:t>
            </w:r>
          </w:p>
        </w:tc>
        <w:tc>
          <w:tcPr>
            <w:tcW w:type="dxa" w:w="2400"/>
            <w:tcBorders>
              <w:top w:val="single" w:color="999999" w:sz="4"/>
              <w:left w:val="single" w:color="999999" w:sz="4"/>
              <w:bottom w:val="single" w:color="999999" w:sz="4"/>
              <w:right w:val="single" w:color="999999" w:sz="4"/>
            </w:tcBorders>
            <w:shd w:fill="D5E8F0" w:color="auto" w:val="clear"/>
            <w:tcMar>
              <w:top w:type="dxa" w:w="80"/>
              <w:left w:type="dxa" w:w="100"/>
              <w:bottom w:type="dxa" w:w="80"/>
              <w:right w:type="dxa" w:w="100"/>
            </w:tcMar>
          </w:tcPr>
          <w:p>
            <w:pPr>
              <w:spacing w:after="0"/>
            </w:pPr>
            <w:r>
              <w:rPr>
                <w:b/>
                <w:bCs/>
                <w:sz w:val="18"/>
                <w:szCs w:val="18"/>
              </w:rPr>
              <w:t xml:space="preserve">Activity</w:t>
            </w:r>
          </w:p>
        </w:tc>
        <w:tc>
          <w:tcPr>
            <w:tcW w:type="dxa" w:w="4560"/>
            <w:tcBorders>
              <w:top w:val="single" w:color="999999" w:sz="4"/>
              <w:left w:val="single" w:color="999999" w:sz="4"/>
              <w:bottom w:val="single" w:color="999999" w:sz="4"/>
              <w:right w:val="single" w:color="999999" w:sz="4"/>
            </w:tcBorders>
            <w:shd w:fill="D5E8F0" w:color="auto" w:val="clear"/>
            <w:tcMar>
              <w:top w:type="dxa" w:w="80"/>
              <w:left w:type="dxa" w:w="100"/>
              <w:bottom w:type="dxa" w:w="80"/>
              <w:right w:type="dxa" w:w="100"/>
            </w:tcMar>
          </w:tcPr>
          <w:p>
            <w:pPr>
              <w:spacing w:after="0"/>
            </w:pPr>
            <w:r>
              <w:rPr>
                <w:b/>
                <w:bCs/>
                <w:sz w:val="18"/>
                <w:szCs w:val="18"/>
              </w:rPr>
              <w:t xml:space="preserve">Key Outcomes</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1</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28 Jul 2025</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Registration – Projectmatch</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Topology optimisation initially proposed; supervisor matching initiated</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2</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5 Aug 2025</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Email to Prof. Li</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Meeting scheduled for 13 August</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3</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13 Aug 2025</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First supervisor meeting</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Literature scan begun; topology optimisation in structural engineering discussed</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5</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28 Aug 2025</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Second meeting</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Pivoted to AI for seismic performance of residential buildings</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6</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4 Sept 2025</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Post-class meeting</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Action plan created; literature review accelerated</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7</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13 Sept 2025</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Draft literature review</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Submitted to Prof. Li for feedback</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8</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18 Sept 2025</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Peer review seminar</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Peer feedback incorporated into AT2</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10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2 Oct 2025</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Email — agentic AI focus</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Topic refinement approved</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12</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16 Oct 2025</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Proposal draft review</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Scope narrowed to 3 RC case studies; methodology refined</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13</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23 Oct 2025</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Final review proposal</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Ethics and timeline confirmed; re-registration submitted</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15</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Mar 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Sem 3 kick-off meeting</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Google Colab confirmed as working environment; macOS M2 incompatibility documented; weekly work plan set</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16–20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Mar–Apr 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Implementation phase</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Scripts developed; ARPACK bug identified and resolved; Amendment 2 integrated; pushover implemented</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22</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Jun 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Draft report submission</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Full report with all results submitted to Prof. Li for review</w:t>
            </w:r>
          </w:p>
        </w:tc>
      </w:tr>
    </w:tbl>
    <w:p>
      <w:pPr>
        <w:spacing w:after="200" w:before="80"/>
        <w:jc w:val="both"/>
      </w:pPr>
      <w:r>
        <w:rPr>
          <w:i/>
          <w:iCs/>
          <w:sz w:val="18"/>
          <w:szCs w:val="18"/>
        </w:rPr>
        <w:t xml:space="preserve">Table C1. Supervisor communication log (Autumn 2026 Semester 3, Subject 42003).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Exploring LLM-Orchestrated AI Workflows for Seismic Vulnerability Assessment of Residential Buildings</dc:title>
  <dc:creator>Kabish Jung Thapa</dc:creator>
  <dc:description>UTS EGP 42003 Final Report — Autumn 2026</dc:description>
  <cp:lastModifiedBy>Un-named</cp:lastModifiedBy>
  <cp:revision>1</cp:revision>
  <dcterms:created xsi:type="dcterms:W3CDTF">2026-05-23T14:48:05.886Z</dcterms:created>
  <dcterms:modified xsi:type="dcterms:W3CDTF">2026-05-23T14:48:05.898Z</dcterms:modified>
</cp:coreProperties>
</file>

<file path=docProps/custom.xml><?xml version="1.0" encoding="utf-8"?>
<Properties xmlns="http://schemas.openxmlformats.org/officeDocument/2006/custom-properties" xmlns:vt="http://schemas.openxmlformats.org/officeDocument/2006/docPropsVTypes"/>
</file>