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Analyse Ergonomique des Écrans du Système POS</w:t>
      </w:r>
    </w:p>
    <w:p>
      <w:pPr>
        <w:pStyle w:val="MdParagraph"/>
      </w:pPr>
      <w:r>
        <w:t xml:space="preserve">Ce document présente une analyse détaillée des interfaces clés du système de point de vente (POS), basées sur les meilleurs concepts de design identifiés. Ces écrans couvrent les trois piliers opérationnels : la gestion des produits, la prise de commande et le suivi en cuisine (KDS).</w:t>
      </w:r>
    </w:p>
    <w:p>
      <w:pPr>
        <w:pStyle w:val="MdSpace"/>
        <w:spacing w:before="0" w:after="60"/>
      </w:pPr>
    </w:p>
    <w:p>
      <w:pPr>
        <w:pStyle w:val="Heading2"/>
        <w:pStyle w:val="MdHeading2"/>
      </w:pPr>
      <w:r>
        <w:t xml:space="preserve">1. Écran de Prise de Commande (Point of Sale)</w:t>
      </w:r>
    </w:p>
    <w:p>
      <w:pPr>
        <w:pStyle w:val="MdParagraph"/>
      </w:pPr>
      <w:r>
        <w:t xml:space="preserve">L'interface de commande est le cœur de l'activité. Elle doit être rapide, intuitive et minimiser les erreurs de saisie.</w:t>
      </w:r>
    </w:p>
    <w:p>
      <w:pPr>
        <w:pStyle w:val="MdSpace"/>
        <w:spacing w:before="0" w:after="60"/>
      </w:pPr>
    </w:p>
    <w:p>
      <w:pPr>
        <w:pStyle w:val="MdParagraph"/>
      </w:pPr>
      <w:r>
        <w:rPr>
          <w:i/>
          <w:iCs/>
        </w:rPr>
        <w:t xml:space="preserve">[Image failed to load: Écran de Prise de Commande]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Élément UI</w:t>
            </w:r>
          </w:p>
        </w:tc>
        <w:tc>
          <w:tcPr>
            <w:tcBorders>
              <w:right w:val="none"/>
            </w:tcBorders>
            <w:tcMar>
              <w:top w:type="dxa" w:w="100"/>
              <w:left w:type="dxa" w:w="120"/>
              <w:bottom w:type="dxa" w:w="100"/>
              <w:right w:type="dxa" w:w="120"/>
            </w:tcMar>
            <w:vAlign w:val="center"/>
          </w:tcPr>
          <w:p>
            <w:pPr>
              <w:pStyle w:val="MdTableHeader"/>
              <w:jc w:val="left"/>
            </w:pPr>
            <w:r>
              <w:t xml:space="preserve">Description et 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Grille de Produits</w:t>
            </w:r>
          </w:p>
        </w:tc>
        <w:tc>
          <w:tcPr>
            <w:tcBorders>
              <w:right w:val="none"/>
            </w:tcBorders>
            <w:tcMar>
              <w:top w:type="dxa" w:w="80"/>
              <w:left w:type="dxa" w:w="120"/>
              <w:bottom w:type="dxa" w:w="80"/>
              <w:right w:type="dxa" w:w="120"/>
            </w:tcMar>
            <w:vAlign w:val="center"/>
          </w:tcPr>
          <w:p>
            <w:pPr>
              <w:pStyle w:val="MdTableCell"/>
              <w:jc w:val="left"/>
            </w:pPr>
            <w:r>
              <w:t xml:space="preserve">Affichage des articles avec photos haute résolution et prix. Facilite l'identification visuelle rapide par le caissier.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Filtres par Catégorie</w:t>
            </w:r>
          </w:p>
        </w:tc>
        <w:tc>
          <w:tcPr>
            <w:tcBorders>
              <w:right w:val="none"/>
            </w:tcBorders>
            <w:tcMar>
              <w:top w:type="dxa" w:w="80"/>
              <w:left w:type="dxa" w:w="120"/>
              <w:bottom w:type="dxa" w:w="80"/>
              <w:right w:type="dxa" w:w="120"/>
            </w:tcMar>
            <w:vAlign w:val="center"/>
          </w:tcPr>
          <w:p>
            <w:pPr>
              <w:pStyle w:val="MdTableCell"/>
              <w:jc w:val="left"/>
            </w:pPr>
            <w:r>
              <w:t xml:space="preserve">Onglets supérieurs (Burgers, Poulet, Boissons) pour une navigation fluide dans le catalogue.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Panier Dynamique</w:t>
            </w:r>
          </w:p>
        </w:tc>
        <w:tc>
          <w:tcPr>
            <w:tcBorders>
              <w:right w:val="none"/>
            </w:tcBorders>
            <w:tcMar>
              <w:top w:type="dxa" w:w="80"/>
              <w:left w:type="dxa" w:w="120"/>
              <w:bottom w:type="dxa" w:w="80"/>
              <w:right w:type="dxa" w:w="120"/>
            </w:tcMar>
            <w:vAlign w:val="center"/>
          </w:tcPr>
          <w:p>
            <w:pPr>
              <w:pStyle w:val="MdTableCell"/>
              <w:jc w:val="left"/>
            </w:pPr>
            <w:r>
              <w:t xml:space="preserve">Récapitulatif en temps réel à droite de l'écran, affichant les articles, les options choisies et le total.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Paiement Rapide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Boutons d'accès direct aux différents modes de règlement (Espèces, CB, Mobile Money).</w:t>
            </w:r>
          </w:p>
        </w:tc>
      </w:tr>
    </w:tbl>
    <w:p>
      <w:pPr>
        <w:pStyle w:val="MdBlockquote"/>
      </w:pPr>
      <w:r>
        <w:t xml:space="preserve">"L'ergonomie de cet écran est optimisée pour une utilisation tactile intensive, avec des zones de clic larges et une hiérarchie visuelle claire."</w:t>
      </w:r>
    </w:p>
    <w:p>
      <w:pPr>
        <w:pStyle w:val="MdSpace"/>
        <w:spacing w:before="0" w:after="60"/>
      </w:pPr>
    </w:p>
    <w:p>
      <w:pPr>
        <w:pStyle w:val="Heading2"/>
        <w:pStyle w:val="MdHeading2"/>
      </w:pPr>
      <w:r>
        <w:t xml:space="preserve">2. Écran de Gestion des Produits (Back-office)</w:t>
      </w:r>
    </w:p>
    <w:p>
      <w:pPr>
        <w:pStyle w:val="MdParagraph"/>
      </w:pPr>
      <w:r>
        <w:t xml:space="preserve">Cet écran permet au manager de contrôler l'offre commerciale et les stocks de manière centralisée.</w:t>
      </w:r>
    </w:p>
    <w:p>
      <w:pPr>
        <w:pStyle w:val="MdSpace"/>
        <w:spacing w:before="0" w:after="60"/>
      </w:pPr>
    </w:p>
    <w:p>
      <w:pPr>
        <w:pStyle w:val="MdParagraph"/>
      </w:pPr>
      <w:r>
        <w:rPr>
          <w:i/>
          <w:iCs/>
        </w:rPr>
        <w:t xml:space="preserve">[Image failed to load: Écran de Gestion des Produits]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Élément UI</w:t>
            </w:r>
          </w:p>
        </w:tc>
        <w:tc>
          <w:tcPr>
            <w:tcBorders>
              <w:right w:val="none"/>
            </w:tcBorders>
            <w:tcMar>
              <w:top w:type="dxa" w:w="100"/>
              <w:left w:type="dxa" w:w="120"/>
              <w:bottom w:type="dxa" w:w="100"/>
              <w:right w:type="dxa" w:w="120"/>
            </w:tcMar>
            <w:vAlign w:val="center"/>
          </w:tcPr>
          <w:p>
            <w:pPr>
              <w:pStyle w:val="MdTableHeader"/>
              <w:jc w:val="left"/>
            </w:pPr>
            <w:r>
              <w:t xml:space="preserve">Description et 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Liste des Articles</w:t>
            </w:r>
          </w:p>
        </w:tc>
        <w:tc>
          <w:tcPr>
            <w:tcBorders>
              <w:right w:val="none"/>
            </w:tcBorders>
            <w:tcMar>
              <w:top w:type="dxa" w:w="80"/>
              <w:left w:type="dxa" w:w="120"/>
              <w:bottom w:type="dxa" w:w="80"/>
              <w:right w:type="dxa" w:w="120"/>
            </w:tcMar>
            <w:vAlign w:val="center"/>
          </w:tcPr>
          <w:p>
            <w:pPr>
              <w:pStyle w:val="MdTableCell"/>
              <w:jc w:val="left"/>
            </w:pPr>
            <w:r>
              <w:t xml:space="preserve">Vue tabulaire avec colonnes pour le nom, la catégorie, le prix et l'état du 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Édition Rapide</w:t>
            </w:r>
          </w:p>
        </w:tc>
        <w:tc>
          <w:tcPr>
            <w:tcBorders>
              <w:right w:val="none"/>
            </w:tcBorders>
            <w:tcMar>
              <w:top w:type="dxa" w:w="80"/>
              <w:left w:type="dxa" w:w="120"/>
              <w:bottom w:type="dxa" w:w="80"/>
              <w:right w:type="dxa" w:w="120"/>
            </w:tcMar>
            <w:vAlign w:val="center"/>
          </w:tcPr>
          <w:p>
            <w:pPr>
              <w:pStyle w:val="MdTableCell"/>
              <w:jc w:val="left"/>
            </w:pPr>
            <w:r>
              <w:t xml:space="preserve">Possibilité de modifier les prix ou de désactiver un produit en un clic en cas de rupture.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Indicateurs de Stock</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Codes couleur (vert, orange, rouge) pour visualiser instantanément les niveaux de stock critiques.</w:t>
            </w:r>
          </w:p>
        </w:tc>
      </w:tr>
    </w:tbl>
    <w:p>
      <w:pPr>
        <w:pStyle w:val="Heading2"/>
        <w:pStyle w:val="MdHeading2"/>
      </w:pPr>
      <w:r>
        <w:t xml:space="preserve">3. Écran de Cuisine (Kitchen Display System - KDS)</w:t>
      </w:r>
    </w:p>
    <w:p>
      <w:pPr>
        <w:pStyle w:val="MdParagraph"/>
      </w:pPr>
      <w:r>
        <w:t xml:space="preserve">Le KDS remplace les tickets papier traditionnels pour une meilleure coordination entre la salle et la cuisine.</w:t>
      </w:r>
    </w:p>
    <w:p>
      <w:pPr>
        <w:pStyle w:val="MdSpace"/>
        <w:spacing w:before="0" w:after="60"/>
      </w:pPr>
    </w:p>
    <w:p>
      <w:pPr>
        <w:pStyle w:val="MdParagraph"/>
      </w:pPr>
      <w:r>
        <w:rPr>
          <w:i/>
          <w:iCs/>
        </w:rPr>
        <w:t xml:space="preserve">[Image failed to load: Écran de Cuisine (KDS)]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Élément UI</w:t>
            </w:r>
          </w:p>
        </w:tc>
        <w:tc>
          <w:tcPr>
            <w:tcBorders>
              <w:right w:val="none"/>
            </w:tcBorders>
            <w:tcMar>
              <w:top w:type="dxa" w:w="100"/>
              <w:left w:type="dxa" w:w="120"/>
              <w:bottom w:type="dxa" w:w="100"/>
              <w:right w:type="dxa" w:w="120"/>
            </w:tcMar>
            <w:vAlign w:val="center"/>
          </w:tcPr>
          <w:p>
            <w:pPr>
              <w:pStyle w:val="MdTableHeader"/>
              <w:jc w:val="left"/>
            </w:pPr>
            <w:r>
              <w:t xml:space="preserve">Description et 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Cartes de Commande</w:t>
            </w:r>
          </w:p>
        </w:tc>
        <w:tc>
          <w:tcPr>
            <w:tcBorders>
              <w:right w:val="none"/>
            </w:tcBorders>
            <w:tcMar>
              <w:top w:type="dxa" w:w="80"/>
              <w:left w:type="dxa" w:w="120"/>
              <w:bottom w:type="dxa" w:w="80"/>
              <w:right w:type="dxa" w:w="120"/>
            </w:tcMar>
            <w:vAlign w:val="center"/>
          </w:tcPr>
          <w:p>
            <w:pPr>
              <w:pStyle w:val="MdTableCell"/>
              <w:jc w:val="left"/>
            </w:pPr>
            <w:r>
              <w:t xml:space="preserve">Chaque commande est représentée par une carte listant les articles et les modifications spéciales.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Indicateurs de Temps</w:t>
            </w:r>
          </w:p>
        </w:tc>
        <w:tc>
          <w:tcPr>
            <w:tcBorders>
              <w:right w:val="none"/>
            </w:tcBorders>
            <w:tcMar>
              <w:top w:type="dxa" w:w="80"/>
              <w:left w:type="dxa" w:w="120"/>
              <w:bottom w:type="dxa" w:w="80"/>
              <w:right w:type="dxa" w:w="120"/>
            </w:tcMar>
            <w:vAlign w:val="center"/>
          </w:tcPr>
          <w:p>
            <w:pPr>
              <w:pStyle w:val="MdTableCell"/>
              <w:jc w:val="left"/>
            </w:pPr>
            <w:r>
              <w:t xml:space="preserve">Chronomètre intégré sur chaque carte pour suivre le temps de préparation et respecter les délais.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Statuts de Préparation</w:t>
            </w:r>
          </w:p>
        </w:tc>
        <w:tc>
          <w:tcPr>
            <w:tcBorders>
              <w:right w:val="none"/>
            </w:tcBorders>
            <w:tcMar>
              <w:top w:type="dxa" w:w="80"/>
              <w:left w:type="dxa" w:w="120"/>
              <w:bottom w:type="dxa" w:w="80"/>
              <w:right w:type="dxa" w:w="120"/>
            </w:tcMar>
            <w:vAlign w:val="center"/>
          </w:tcPr>
          <w:p>
            <w:pPr>
              <w:pStyle w:val="MdTableCell"/>
              <w:jc w:val="left"/>
            </w:pPr>
            <w:r>
              <w:t xml:space="preserve">Boutons pour marquer une commande comme "En cours" ou "Prête", notifiant instantanément le caissier.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Code Couleur de Priorité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Changement de couleur des cartes selon l'urgence (ex: rouge si le temps dépasse 10 min).</w:t>
            </w:r>
          </w:p>
        </w:tc>
      </w:tr>
    </w:tbl>
    <w:p>
      <w:pPr>
        <w:pStyle w:val="Heading2"/>
        <w:pStyle w:val="MdHeading2"/>
      </w:pPr>
      <w:r>
        <w:t xml:space="preserve">4. Conclusion sur l'Expérience Utilisateur</w:t>
      </w:r>
    </w:p>
    <w:p>
      <w:pPr>
        <w:pStyle w:val="MdParagraph"/>
      </w:pPr>
      <w:r>
        <w:t xml:space="preserve">L'intégration de ces trois interfaces au sein d'un écosystème unique garantit une fluidité totale de l'information. La cohérence visuelle entre les écrans réduit le temps de formation du personnel et améliore l'efficacité globale de la franchise.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2026-05-17T00:24:13.830Z</dcterms:created>
  <dcterms:modified xsi:type="dcterms:W3CDTF">2026-05-17T00:24:13.830Z</dcterms:modified>
</cp:coreProperties>
</file>

<file path=docProps/custom.xml><?xml version="1.0" encoding="utf-8"?>
<Properties xmlns="http://schemas.openxmlformats.org/officeDocument/2006/custom-properties" xmlns:vt="http://schemas.openxmlformats.org/officeDocument/2006/docPropsVTypes"/>
</file>