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Analyse des Designs Figma pour le Système POS</w:t>
      </w:r>
    </w:p>
    <w:p>
      <w:pPr>
        <w:pStyle w:val="MdParagraph"/>
      </w:pPr>
      <w:r>
        <w:t xml:space="preserve">Cette section présente une analyse des designs Figma extraits, mettant en évidence les composants UI pertinents pour le système de point de vente (POS) de restauration rapide, ainsi que leur adéquation avec les exigences du cahier des charges.</w:t>
      </w:r>
    </w:p>
    <w:p>
      <w:pPr>
        <w:pStyle w:val="MdSpace"/>
        <w:spacing w:before="0" w:after="60"/>
      </w:pPr>
    </w:p>
    <w:p>
      <w:pPr>
        <w:pStyle w:val="Heading2"/>
        <w:pStyle w:val="MdHeading2"/>
      </w:pPr>
      <w:r>
        <w:t xml:space="preserve">1. Aperçu des Designs Sélectionnés</w:t>
      </w:r>
    </w:p>
    <w:p>
      <w:pPr>
        <w:pStyle w:val="MdParagraph"/>
      </w:pPr>
      <w:r>
        <w:t xml:space="preserve">Nous avons examiné plusieurs kits UI et concepts de design Figma. Les captures d'écran suivantes illustrent les éléments clés qui serviront d'inspiration pour la conception de votre interface utilisateur.</w:t>
      </w:r>
    </w:p>
    <w:p>
      <w:pPr>
        <w:pStyle w:val="MdSpace"/>
        <w:spacing w:before="0" w:after="60"/>
      </w:pPr>
    </w:p>
    <w:p>
      <w:pPr>
        <w:pStyle w:val="Heading3"/>
        <w:pStyle w:val="MdHeading3"/>
      </w:pPr>
      <w:r>
        <w:t xml:space="preserve">1.1. Restaurant POS UI Kits</w:t>
      </w:r>
    </w:p>
    <w:p>
      <w:pPr>
        <w:pStyle w:val="MdParagraph"/>
      </w:pPr>
      <w:r>
        <w:t xml:space="preserve">Ce kit offre une large gamme de composants et de modèles. La capture d'écran ci-dessous montre un aperçu général de son style et de sa structure.</w:t>
      </w:r>
    </w:p>
    <w:p>
      <w:pPr>
        <w:pStyle w:val="MdSpace"/>
        <w:spacing w:before="0" w:after="60"/>
      </w:pPr>
    </w:p>
    <w:p>
      <w:pPr>
        <w:pStyle w:val="MdParagraph"/>
      </w:pPr>
      <w:r>
        <w:rPr>
          <w:i/>
          <w:iCs/>
        </w:rPr>
        <w:t xml:space="preserve">[Image failed to load: Aperçu du Restaurant POS UI Kits]</w:t>
      </w:r>
    </w:p>
    <w:p>
      <w:pPr>
        <w:pStyle w:val="MdSpace"/>
        <w:spacing w:before="0" w:after="60"/>
      </w:pPr>
    </w:p>
    <w:p>
      <w:pPr>
        <w:pStyle w:val="MdParagraph"/>
      </w:pPr>
      <w:r>
        <w:rPr>
          <w:rStyle w:val="MdStrong"/>
          <w:b/>
          <w:bCs/>
        </w:rPr>
        <w:t xml:space="preserve">Points Forts :</w:t>
      </w:r>
    </w:p>
    <w:p>
      <w:pPr>
        <w:pStyle w:val="MdListItem"/>
        <w:numPr>
          <w:ilvl w:val="0"/>
          <w:numId w:val="2"/>
        </w:numPr>
      </w:pPr>
      <w:r>
        <w:rPr>
          <w:rStyle w:val="MdStrong"/>
          <w:b/>
          <w:bCs/>
        </w:rPr>
        <w:t xml:space="preserve">Modularité</w:t>
      </w:r>
      <w:r>
        <w:t xml:space="preserve"> : Composants réutilisables pour construire rapidement différentes vues (menu, commandes, paiements).</w:t>
      </w:r>
    </w:p>
    <w:p>
      <w:pPr>
        <w:pStyle w:val="MdListItem"/>
        <w:numPr>
          <w:ilvl w:val="0"/>
          <w:numId w:val="2"/>
        </w:numPr>
      </w:pPr>
      <w:r>
        <w:rPr>
          <w:rStyle w:val="MdStrong"/>
          <w:b/>
          <w:bCs/>
        </w:rPr>
        <w:t xml:space="preserve">Design System</w:t>
      </w:r>
      <w:r>
        <w:t xml:space="preserve"> : Souvent inclus, il assure une cohérence visuelle sur l'ensemble de l'application.</w:t>
      </w:r>
    </w:p>
    <w:p>
      <w:pPr>
        <w:pStyle w:val="MdListItem"/>
        <w:numPr>
          <w:ilvl w:val="0"/>
          <w:numId w:val="2"/>
        </w:numPr>
      </w:pPr>
      <w:r>
        <w:rPr>
          <w:rStyle w:val="MdStrong"/>
          <w:b/>
          <w:bCs/>
        </w:rPr>
        <w:t xml:space="preserve">Flexibilité</w:t>
      </w:r>
      <w:r>
        <w:t xml:space="preserve"> : Adaptable pour les écrans de caisse, les bornes de commande et les tablettes.</w:t>
      </w:r>
    </w:p>
    <w:p>
      <w:pPr>
        <w:pStyle w:val="MdSpace"/>
        <w:spacing w:before="0" w:after="60"/>
      </w:pPr>
    </w:p>
    <w:p>
      <w:pPr>
        <w:pStyle w:val="Heading3"/>
        <w:pStyle w:val="MdHeading3"/>
      </w:pPr>
      <w:r>
        <w:t xml:space="preserve">1.2. POS Restaurant UI System</w:t>
      </w:r>
    </w:p>
    <w:p>
      <w:pPr>
        <w:pStyle w:val="MdParagraph"/>
      </w:pPr>
      <w:r>
        <w:t xml:space="preserve">Ce design se concentre spécifiquement sur les flux de commande et de paiement, essentiels pour un POS.</w:t>
      </w:r>
    </w:p>
    <w:p>
      <w:pPr>
        <w:pStyle w:val="MdSpace"/>
        <w:spacing w:before="0" w:after="60"/>
      </w:pPr>
    </w:p>
    <w:p>
      <w:pPr>
        <w:pStyle w:val="MdParagraph"/>
      </w:pPr>
      <w:r>
        <w:rPr>
          <w:i/>
          <w:iCs/>
        </w:rPr>
        <w:t xml:space="preserve">[Image failed to load: Aperçu du POS Restaurant UI System]</w:t>
      </w:r>
    </w:p>
    <w:p>
      <w:pPr>
        <w:pStyle w:val="MdSpace"/>
        <w:spacing w:before="0" w:after="60"/>
      </w:pPr>
    </w:p>
    <w:p>
      <w:pPr>
        <w:pStyle w:val="MdParagraph"/>
      </w:pPr>
      <w:r>
        <w:rPr>
          <w:rStyle w:val="MdStrong"/>
          <w:b/>
          <w:bCs/>
        </w:rPr>
        <w:t xml:space="preserve">Points Forts :</w:t>
      </w:r>
    </w:p>
    <w:p>
      <w:pPr>
        <w:pStyle w:val="MdListItem"/>
        <w:numPr>
          <w:ilvl w:val="0"/>
          <w:numId w:val="2"/>
        </w:numPr>
      </w:pPr>
      <w:r>
        <w:rPr>
          <w:rStyle w:val="MdStrong"/>
          <w:b/>
          <w:bCs/>
        </w:rPr>
        <w:t xml:space="preserve">Flux de Commande Clair</w:t>
      </w:r>
      <w:r>
        <w:t xml:space="preserve"> : Interface intuitive pour l'ajout d'articles, la gestion des quantités et des options.</w:t>
      </w:r>
    </w:p>
    <w:p>
      <w:pPr>
        <w:pStyle w:val="MdListItem"/>
        <w:numPr>
          <w:ilvl w:val="0"/>
          <w:numId w:val="2"/>
        </w:numPr>
      </w:pPr>
      <w:r>
        <w:rPr>
          <w:rStyle w:val="MdStrong"/>
          <w:b/>
          <w:bCs/>
        </w:rPr>
        <w:t xml:space="preserve">Gestion des Paiements</w:t>
      </w:r>
      <w:r>
        <w:t xml:space="preserve"> : Écrans dédiés pour la sélection des méthodes de paiement (espèces, carte, mobile money).</w:t>
      </w:r>
    </w:p>
    <w:p>
      <w:pPr>
        <w:pStyle w:val="MdListItem"/>
        <w:numPr>
          <w:ilvl w:val="0"/>
          <w:numId w:val="2"/>
        </w:numPr>
      </w:pPr>
      <w:r>
        <w:rPr>
          <w:rStyle w:val="MdStrong"/>
          <w:b/>
          <w:bCs/>
        </w:rPr>
        <w:t xml:space="preserve">Ergonomie</w:t>
      </w:r>
      <w:r>
        <w:t xml:space="preserve"> : Conception épurée favorisant une prise en main rapide par les caissiers.</w:t>
      </w:r>
    </w:p>
    <w:p>
      <w:pPr>
        <w:pStyle w:val="MdSpace"/>
        <w:spacing w:before="0" w:after="60"/>
      </w:pPr>
    </w:p>
    <w:p>
      <w:pPr>
        <w:pStyle w:val="Heading2"/>
        <w:pStyle w:val="MdHeading2"/>
      </w:pPr>
      <w:r>
        <w:t xml:space="preserve">2. Composants UI Clés et Adéquation avec le Cahier des Charges</w:t>
      </w:r>
    </w:p>
    <w:p>
      <w:pPr>
        <w:pStyle w:val="MdParagraph"/>
      </w:pPr>
      <w:r>
        <w:t xml:space="preserve">L'analyse des designs Figma met en lumière plusieurs composants UI directement applicables aux fonctionnalités requises par votre cahier des charges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Composant UI</w:t>
            </w:r>
          </w:p>
        </w:tc>
        <w:tc>
          <w:tcPr>
            <w:tcMar>
              <w:top w:type="dxa" w:w="100"/>
              <w:left w:type="dxa" w:w="120"/>
              <w:bottom w:type="dxa" w:w="100"/>
              <w:right w:type="dxa" w:w="120"/>
            </w:tcMar>
            <w:vAlign w:val="center"/>
          </w:tcPr>
          <w:p>
            <w:pPr>
              <w:pStyle w:val="MdTableHeader"/>
              <w:jc w:val="left"/>
            </w:pPr>
            <w:r>
              <w:t xml:space="preserve">Fonctionnalité du Cahier des Charges</w:t>
            </w:r>
          </w:p>
        </w:tc>
        <w:tc>
          <w:tcPr>
            <w:tcBorders>
              <w:right w:val="none"/>
            </w:tcBorders>
            <w:tcMar>
              <w:top w:type="dxa" w:w="100"/>
              <w:left w:type="dxa" w:w="120"/>
              <w:bottom w:type="dxa" w:w="100"/>
              <w:right w:type="dxa" w:w="120"/>
            </w:tcMar>
            <w:vAlign w:val="center"/>
          </w:tcPr>
          <w:p>
            <w:pPr>
              <w:pStyle w:val="MdTableHeader"/>
              <w:jc w:val="left"/>
            </w:pPr>
            <w:r>
              <w:t xml:space="preserve">Adéquation et Optimisation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de Commande Tactile</w:t>
            </w:r>
          </w:p>
        </w:tc>
        <w:tc>
          <w:tcPr>
            <w:tcMar>
              <w:top w:type="dxa" w:w="80"/>
              <w:left w:type="dxa" w:w="120"/>
              <w:bottom w:type="dxa" w:w="80"/>
              <w:right w:type="dxa" w:w="120"/>
            </w:tcMar>
            <w:vAlign w:val="center"/>
          </w:tcPr>
          <w:p>
            <w:pPr>
              <w:pStyle w:val="MdTableCell"/>
              <w:jc w:val="left"/>
            </w:pPr>
            <w:r>
              <w:t xml:space="preserve">Prise de commande rapide (sur place, à emporter, livraison)</w:t>
            </w:r>
          </w:p>
        </w:tc>
        <w:tc>
          <w:tcPr>
            <w:tcBorders>
              <w:right w:val="none"/>
            </w:tcBorders>
            <w:tcMar>
              <w:top w:type="dxa" w:w="80"/>
              <w:left w:type="dxa" w:w="120"/>
              <w:bottom w:type="dxa" w:w="80"/>
              <w:right w:type="dxa" w:w="120"/>
            </w:tcMar>
            <w:vAlign w:val="center"/>
          </w:tcPr>
          <w:p>
            <w:pPr>
              <w:pStyle w:val="MdTableCell"/>
              <w:jc w:val="left"/>
            </w:pPr>
            <w:r>
              <w:t xml:space="preserve">Les designs proposent des grilles de produits avec de grandes icônes/photos, facilitant la sélection tactile. Les filtres par catégorie accélèrent la navigation.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Panier / Récapitulatif de Commande</w:t>
            </w:r>
          </w:p>
        </w:tc>
        <w:tc>
          <w:tcPr>
            <w:tcMar>
              <w:top w:type="dxa" w:w="80"/>
              <w:left w:type="dxa" w:w="120"/>
              <w:bottom w:type="dxa" w:w="80"/>
              <w:right w:type="dxa" w:w="120"/>
            </w:tcMar>
            <w:vAlign w:val="center"/>
          </w:tcPr>
          <w:p>
            <w:pPr>
              <w:pStyle w:val="MdTableCell"/>
              <w:jc w:val="left"/>
            </w:pPr>
            <w:r>
              <w:t xml:space="preserve">Gestion des tickets et factures</w:t>
            </w:r>
          </w:p>
        </w:tc>
        <w:tc>
          <w:tcPr>
            <w:tcBorders>
              <w:right w:val="none"/>
            </w:tcBorders>
            <w:tcMar>
              <w:top w:type="dxa" w:w="80"/>
              <w:left w:type="dxa" w:w="120"/>
              <w:bottom w:type="dxa" w:w="80"/>
              <w:right w:type="dxa" w:w="120"/>
            </w:tcMar>
            <w:vAlign w:val="center"/>
          </w:tcPr>
          <w:p>
            <w:pPr>
              <w:pStyle w:val="MdTableCell"/>
              <w:jc w:val="left"/>
            </w:pPr>
            <w:r>
              <w:t xml:space="preserve">Affichage clair des articles, quantités, prix unitaires et total. Possibilité d'ajouter des notes ou des modifications par article.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Interface de Paiement Multi-mode</w:t>
            </w:r>
          </w:p>
        </w:tc>
        <w:tc>
          <w:tcPr>
            <w:tcMar>
              <w:top w:type="dxa" w:w="80"/>
              <w:left w:type="dxa" w:w="120"/>
              <w:bottom w:type="dxa" w:w="80"/>
              <w:right w:type="dxa" w:w="120"/>
            </w:tcMar>
            <w:vAlign w:val="center"/>
          </w:tcPr>
          <w:p>
            <w:pPr>
              <w:pStyle w:val="MdTableCell"/>
              <w:jc w:val="left"/>
            </w:pPr>
            <w:r>
              <w:t xml:space="preserve">Gestion multimode de paiement (espèces, carte bancaire, mobile money)</w:t>
            </w:r>
          </w:p>
        </w:tc>
        <w:tc>
          <w:tcPr>
            <w:tcBorders>
              <w:right w:val="none"/>
            </w:tcBorders>
            <w:tcMar>
              <w:top w:type="dxa" w:w="80"/>
              <w:left w:type="dxa" w:w="120"/>
              <w:bottom w:type="dxa" w:w="80"/>
              <w:right w:type="dxa" w:w="120"/>
            </w:tcMar>
            <w:vAlign w:val="center"/>
          </w:tcPr>
          <w:p>
            <w:pPr>
              <w:pStyle w:val="MdTableCell"/>
              <w:jc w:val="left"/>
            </w:pPr>
            <w:r>
              <w:t xml:space="preserve">Écrans dédiés permettant de choisir la méthode de paiement, de saisir les montants et de gérer la monnaie rendue. Intégration visuelle des terminaux de paiement.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Tableau de Bord (Dashboard)</w:t>
            </w:r>
          </w:p>
        </w:tc>
        <w:tc>
          <w:tcPr>
            <w:tcMar>
              <w:top w:type="dxa" w:w="80"/>
              <w:left w:type="dxa" w:w="120"/>
              <w:bottom w:type="dxa" w:w="80"/>
              <w:right w:type="dxa" w:w="120"/>
            </w:tcMar>
            <w:vAlign w:val="center"/>
          </w:tcPr>
          <w:p>
            <w:pPr>
              <w:pStyle w:val="MdTableCell"/>
              <w:jc w:val="left"/>
            </w:pPr>
            <w:r>
              <w:t xml:space="preserve">Visualisation en temps réel des performances</w:t>
            </w:r>
          </w:p>
        </w:tc>
        <w:tc>
          <w:tcPr>
            <w:tcBorders>
              <w:right w:val="none"/>
            </w:tcBorders>
            <w:tcMar>
              <w:top w:type="dxa" w:w="80"/>
              <w:left w:type="dxa" w:w="120"/>
              <w:bottom w:type="dxa" w:w="80"/>
              <w:right w:type="dxa" w:w="120"/>
            </w:tcMar>
            <w:vAlign w:val="center"/>
          </w:tcPr>
          <w:p>
            <w:pPr>
              <w:pStyle w:val="MdTableCell"/>
              <w:jc w:val="left"/>
            </w:pPr>
            <w:r>
              <w:t xml:space="preserve">Les designs incluent des widgets pour les ventes journalières, les articles les plus vendus, et les statistiques clés, offrant une vue d'ensemble rapide pour les managers.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 KDS (Kitchen Display System)</w:t>
            </w:r>
          </w:p>
        </w:tc>
        <w:tc>
          <w:tcPr>
            <w:tcMar>
              <w:top w:type="dxa" w:w="80"/>
              <w:left w:type="dxa" w:w="120"/>
              <w:bottom w:type="dxa" w:w="80"/>
              <w:right w:type="dxa" w:w="120"/>
            </w:tcMar>
            <w:vAlign w:val="center"/>
          </w:tcPr>
          <w:p>
            <w:pPr>
              <w:pStyle w:val="MdTableCell"/>
              <w:jc w:val="left"/>
            </w:pPr>
            <w:r>
              <w:t xml:space="preserve">Transmission automatique des commandes en cuisine, écran de suivi des préparations</w:t>
            </w:r>
          </w:p>
        </w:tc>
        <w:tc>
          <w:tcPr>
            <w:tcBorders>
              <w:right w:val="none"/>
            </w:tcBorders>
            <w:tcMar>
              <w:top w:type="dxa" w:w="80"/>
              <w:left w:type="dxa" w:w="120"/>
              <w:bottom w:type="dxa" w:w="80"/>
              <w:right w:type="dxa" w:w="120"/>
            </w:tcMar>
            <w:vAlign w:val="center"/>
          </w:tcPr>
          <w:p>
            <w:pPr>
              <w:pStyle w:val="MdTableCell"/>
              <w:jc w:val="left"/>
            </w:pPr>
            <w:r>
              <w:t xml:space="preserve">Le concept McDonald's KDS est un excellent exemple, avec des cartes de commande claires, des indicateurs de temps de préparation et des options de gestion des priorités.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Gestion des Promotions / Fidélité</w:t>
            </w:r>
          </w:p>
        </w:tc>
        <w:tc>
          <w:tcPr>
            <w:tcBorders>
              <w:bottom w:val="single" w:color="E1E4E8" w:sz="4"/>
            </w:tcBorders>
            <w:tcMar>
              <w:top w:type="dxa" w:w="80"/>
              <w:left w:type="dxa" w:w="120"/>
              <w:bottom w:type="dxa" w:w="80"/>
              <w:right w:type="dxa" w:w="120"/>
            </w:tcMar>
            <w:vAlign w:val="center"/>
          </w:tcPr>
          <w:p>
            <w:pPr>
              <w:pStyle w:val="MdTableCell"/>
              <w:jc w:val="left"/>
            </w:pPr>
            <w:r>
              <w:t xml:space="preserve">Création de promotions, gestion des programmes de fidélité</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Les interfaces permettent d'appliquer des réductions, des codes promo ou d'enregistrer des points de fidélité directement lors de l'encaissement.</w:t>
            </w:r>
          </w:p>
        </w:tc>
      </w:tr>
    </w:tbl>
    <w:p>
      <w:pPr>
        <w:pStyle w:val="Heading2"/>
        <w:pStyle w:val="MdHeading2"/>
      </w:pPr>
      <w:r>
        <w:t xml:space="preserve">3. Prochaines Étapes pour le Design UI/UX</w:t>
      </w:r>
    </w:p>
    <w:p>
      <w:pPr>
        <w:pStyle w:val="MdParagraph"/>
      </w:pPr>
      <w:r>
        <w:t xml:space="preserve">Ces designs Figma serviront de point de départ pour la création d'un design system personnalisé et des maquettes interactives sur Figma. L'objectif sera d'adapter ces concepts à l'identité visuelle de votre franchise et d'affiner les flux utilisateurs en collaboration avec vos équipes, en se basant sur les principes d'ergonomie et de facilité d'utilisation essentiels pour un POS performant.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2026-05-17T00:30:01.175Z</dcterms:created>
  <dcterms:modified xsi:type="dcterms:W3CDTF">2026-05-17T00:30:01.175Z</dcterms:modified>
</cp:coreProperties>
</file>

<file path=docProps/custom.xml><?xml version="1.0" encoding="utf-8"?>
<Properties xmlns="http://schemas.openxmlformats.org/officeDocument/2006/custom-properties" xmlns:vt="http://schemas.openxmlformats.org/officeDocument/2006/docPropsVTypes"/>
</file>