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Rapport de Validation : Avancement du Système POS</w:t>
      </w:r>
    </w:p>
    <w:p>
      <w:pPr>
        <w:pStyle w:val="MdParagraph"/>
      </w:pPr>
      <w:r>
        <w:t xml:space="preserve">Ce rapport présente une analyse approfondie des travaux réalisés par l'équipe de développement pour la mise en œuvre du système de Point de Vente (POS). L'objectif est de valider la conformité technique et fonctionnelle des développements actuels par rapport au cahier des charges et aux spécifications d'architecture fournies.</w:t>
      </w:r>
    </w:p>
    <w:p>
      <w:pPr>
        <w:pStyle w:val="MdSpace"/>
        <w:spacing w:before="0" w:after="60"/>
      </w:pPr>
    </w:p>
    <w:p>
      <w:pPr>
        <w:pStyle w:val="Heading2"/>
        <w:pStyle w:val="MdHeading2"/>
      </w:pPr>
      <w:r>
        <w:t xml:space="preserve">1. Évaluation de la Stack Technique et de l'Infrastructure</w:t>
      </w:r>
    </w:p>
    <w:p>
      <w:pPr>
        <w:pStyle w:val="MdParagraph"/>
      </w:pPr>
      <w:r>
        <w:t xml:space="preserve">L'équipe de développement a scrupuleusement respecté les choix technologiques préconisés, garantissant ainsi une base solide et évolutive pour le projet. L'utilisation de </w:t>
      </w:r>
      <w:r>
        <w:rPr>
          <w:rStyle w:val="MdStrong"/>
          <w:b/>
          <w:bCs/>
        </w:rPr>
        <w:t xml:space="preserve">Next.js</w:t>
      </w:r>
      <w:r>
        <w:t xml:space="preserve"> avec l'App Router et </w:t>
      </w:r>
      <w:r>
        <w:rPr>
          <w:rStyle w:val="MdStrong"/>
          <w:b/>
          <w:bCs/>
        </w:rPr>
        <w:t xml:space="preserve">TypeScript</w:t>
      </w:r>
      <w:r>
        <w:t xml:space="preserve"> assure une structure moderne et typée, tandis que </w:t>
      </w:r>
      <w:r>
        <w:rPr>
          <w:rStyle w:val="MdStrong"/>
          <w:b/>
          <w:bCs/>
        </w:rPr>
        <w:t xml:space="preserve">Tailwind CSS</w:t>
      </w:r>
      <w:r>
        <w:t xml:space="preserve"> permet une interface réactive et performante.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Composant</w:t>
            </w:r>
          </w:p>
        </w:tc>
        <w:tc>
          <w:tcPr>
            <w:tcMar>
              <w:top w:type="dxa" w:w="100"/>
              <w:left w:type="dxa" w:w="120"/>
              <w:bottom w:type="dxa" w:w="100"/>
              <w:right w:type="dxa" w:w="120"/>
            </w:tcMar>
            <w:vAlign w:val="center"/>
          </w:tcPr>
          <w:p>
            <w:pPr>
              <w:pStyle w:val="MdTableHeader"/>
              <w:jc w:val="left"/>
            </w:pPr>
            <w:r>
              <w:t xml:space="preserve">Statut</w:t>
            </w:r>
          </w:p>
        </w:tc>
        <w:tc>
          <w:tcPr>
            <w:tcBorders>
              <w:right w:val="none"/>
            </w:tcBorders>
            <w:tcMar>
              <w:top w:type="dxa" w:w="100"/>
              <w:left w:type="dxa" w:w="120"/>
              <w:bottom w:type="dxa" w:w="100"/>
              <w:right w:type="dxa" w:w="120"/>
            </w:tcMar>
            <w:vAlign w:val="center"/>
          </w:tcPr>
          <w:p>
            <w:pPr>
              <w:pStyle w:val="MdTableHeader"/>
              <w:jc w:val="left"/>
            </w:pPr>
            <w:r>
              <w:t xml:space="preserve">Observation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Framework UI</w:t>
            </w:r>
          </w:p>
        </w:tc>
        <w:tc>
          <w:tcPr>
            <w:tcMar>
              <w:top w:type="dxa" w:w="80"/>
              <w:left w:type="dxa" w:w="120"/>
              <w:bottom w:type="dxa" w:w="80"/>
              <w:right w:type="dxa" w:w="120"/>
            </w:tcMar>
            <w:vAlign w:val="center"/>
          </w:tcPr>
          <w:p>
            <w:pPr>
              <w:pStyle w:val="MdTableCell"/>
              <w:jc w:val="left"/>
            </w:pPr>
            <w:r>
              <w:t xml:space="preserve">Validé</w:t>
            </w:r>
          </w:p>
        </w:tc>
        <w:tc>
          <w:tcPr>
            <w:tcBorders>
              <w:right w:val="none"/>
            </w:tcBorders>
            <w:tcMar>
              <w:top w:type="dxa" w:w="80"/>
              <w:left w:type="dxa" w:w="120"/>
              <w:bottom w:type="dxa" w:w="80"/>
              <w:right w:type="dxa" w:w="120"/>
            </w:tcMar>
            <w:vAlign w:val="center"/>
          </w:tcPr>
          <w:p>
            <w:pPr>
              <w:pStyle w:val="MdTableCell"/>
              <w:jc w:val="left"/>
            </w:pPr>
            <w:r>
              <w:t xml:space="preserve">Utilisation de Next.js 14+ et Tailwind CSS conforme aux attentes.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Base de Données</w:t>
            </w:r>
          </w:p>
        </w:tc>
        <w:tc>
          <w:tcPr>
            <w:tcMar>
              <w:top w:type="dxa" w:w="80"/>
              <w:left w:type="dxa" w:w="120"/>
              <w:bottom w:type="dxa" w:w="80"/>
              <w:right w:type="dxa" w:w="120"/>
            </w:tcMar>
            <w:vAlign w:val="center"/>
          </w:tcPr>
          <w:p>
            <w:pPr>
              <w:pStyle w:val="MdTableCell"/>
              <w:jc w:val="left"/>
            </w:pPr>
            <w:r>
              <w:t xml:space="preserve">Validé</w:t>
            </w:r>
          </w:p>
        </w:tc>
        <w:tc>
          <w:tcPr>
            <w:tcBorders>
              <w:right w:val="none"/>
            </w:tcBorders>
            <w:tcMar>
              <w:top w:type="dxa" w:w="80"/>
              <w:left w:type="dxa" w:w="120"/>
              <w:bottom w:type="dxa" w:w="80"/>
              <w:right w:type="dxa" w:w="120"/>
            </w:tcMar>
            <w:vAlign w:val="center"/>
          </w:tcPr>
          <w:p>
            <w:pPr>
              <w:pStyle w:val="MdTableCell"/>
              <w:jc w:val="left"/>
            </w:pPr>
            <w:r>
              <w:t xml:space="preserve">PostgreSQL avec Prisma ORM, migrations initialisées avec succès.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Infrastructure</w:t>
            </w:r>
          </w:p>
        </w:tc>
        <w:tc>
          <w:tcPr>
            <w:tcMar>
              <w:top w:type="dxa" w:w="80"/>
              <w:left w:type="dxa" w:w="120"/>
              <w:bottom w:type="dxa" w:w="80"/>
              <w:right w:type="dxa" w:w="120"/>
            </w:tcMar>
            <w:vAlign w:val="center"/>
          </w:tcPr>
          <w:p>
            <w:pPr>
              <w:pStyle w:val="MdTableCell"/>
              <w:jc w:val="left"/>
            </w:pPr>
            <w:r>
              <w:t xml:space="preserve">Validé</w:t>
            </w:r>
          </w:p>
        </w:tc>
        <w:tc>
          <w:tcPr>
            <w:tcBorders>
              <w:right w:val="none"/>
            </w:tcBorders>
            <w:tcMar>
              <w:top w:type="dxa" w:w="80"/>
              <w:left w:type="dxa" w:w="120"/>
              <w:bottom w:type="dxa" w:w="80"/>
              <w:right w:type="dxa" w:w="120"/>
            </w:tcMar>
            <w:vAlign w:val="center"/>
          </w:tcPr>
          <w:p>
            <w:pPr>
              <w:pStyle w:val="MdTableCell"/>
              <w:jc w:val="left"/>
            </w:pPr>
            <w:r>
              <w:t xml:space="preserve">Environnement Dockerisé (PostgreSQL, Redis) facilitant le déploiement.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Temps Réel</w:t>
            </w:r>
          </w:p>
        </w:tc>
        <w:tc>
          <w:tcPr>
            <w:tcBorders>
              <w:bottom w:val="single" w:color="E1E4E8" w:sz="4"/>
            </w:tcBorders>
            <w:tcMar>
              <w:top w:type="dxa" w:w="80"/>
              <w:left w:type="dxa" w:w="120"/>
              <w:bottom w:type="dxa" w:w="80"/>
              <w:right w:type="dxa" w:w="120"/>
            </w:tcMar>
            <w:vAlign w:val="center"/>
          </w:tcPr>
          <w:p>
            <w:pPr>
              <w:pStyle w:val="MdTableCell"/>
              <w:jc w:val="left"/>
            </w:pPr>
            <w:r>
              <w:t xml:space="preserve">Validé</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Intégration de Redis et API SSE pour le système de cuisine (KDS).</w:t>
            </w:r>
          </w:p>
        </w:tc>
      </w:tr>
    </w:tbl>
    <w:p>
      <w:pPr>
        <w:pStyle w:val="MdParagraph"/>
      </w:pPr>
      <w:r>
        <w:t xml:space="preserve">L'infrastructure mise en place via Docker permet une isolation parfaite des services et une reproductibilité de l'environnement de développement, ce qui est essentiel pour la stabilité future de la franchise.</w:t>
      </w:r>
    </w:p>
    <w:p>
      <w:pPr>
        <w:pStyle w:val="MdSpace"/>
        <w:spacing w:before="0" w:after="60"/>
      </w:pPr>
    </w:p>
    <w:p>
      <w:pPr>
        <w:pStyle w:val="Heading2"/>
        <w:pStyle w:val="MdHeading2"/>
      </w:pPr>
      <w:r>
        <w:t xml:space="preserve">2. Analyse de l'Interface Utilisateur et de l'Ergonomie</w:t>
      </w:r>
    </w:p>
    <w:p>
      <w:pPr>
        <w:pStyle w:val="MdParagraph"/>
      </w:pPr>
      <w:r>
        <w:t xml:space="preserve">L'interface de prise de commande, telle que présentée dans les captures d'écran, témoigne d'une excellente compréhension des besoins opérationnels. Le choix du </w:t>
      </w:r>
      <w:r>
        <w:rPr>
          <w:rStyle w:val="MdStrong"/>
          <w:b/>
          <w:bCs/>
        </w:rPr>
        <w:t xml:space="preserve">Dark Mode</w:t>
      </w:r>
      <w:r>
        <w:t xml:space="preserve"> est particulièrement pertinent pour réduire la fatigue visuelle des caissiers lors de longues sessions de travail. La localisation en </w:t>
      </w:r>
      <w:r>
        <w:rPr>
          <w:rStyle w:val="MdStrong"/>
          <w:b/>
          <w:bCs/>
        </w:rPr>
        <w:t xml:space="preserve">Franc CFA (FCFA)</w:t>
      </w:r>
      <w:r>
        <w:t xml:space="preserve"> et l'adaptation au contexte ivoirien démontrent une attention aux détails cruciale pour l'adoption locale du système.</w:t>
      </w:r>
    </w:p>
    <w:p>
      <w:pPr>
        <w:pStyle w:val="MdSpace"/>
        <w:spacing w:before="0" w:after="60"/>
      </w:pPr>
    </w:p>
    <w:p>
      <w:pPr>
        <w:pStyle w:val="MdBlockquote"/>
      </w:pPr>
      <w:r>
        <w:t xml:space="preserve">"L'interface est intuitive et moderne, intégrant des icônes claires via Lucide-React. La structure avec une sidebar de navigation et une gestion dynamique du panier à droite optimise le flux de travail pour une prise de commande rapide."</w:t>
      </w:r>
    </w:p>
    <w:p>
      <w:pPr>
        <w:pStyle w:val="MdSpace"/>
        <w:spacing w:before="0" w:after="60"/>
      </w:pPr>
    </w:p>
    <w:p>
      <w:pPr>
        <w:pStyle w:val="MdParagraph"/>
      </w:pPr>
      <w:r>
        <w:t xml:space="preserve">L'intégration des Server Actions pour la gestion des produits et des commandes assure une communication fluide entre le front-end et le back-office, tout en maintenant un haut niveau de sécurité.</w:t>
      </w:r>
    </w:p>
    <w:p>
      <w:pPr>
        <w:pStyle w:val="MdSpace"/>
        <w:spacing w:before="0" w:after="60"/>
      </w:pPr>
    </w:p>
    <w:p>
      <w:pPr>
        <w:pStyle w:val="Heading2"/>
        <w:pStyle w:val="MdHeading2"/>
      </w:pPr>
      <w:r>
        <w:t xml:space="preserve">3. Conformité avec la Modélisation UML</w:t>
      </w:r>
    </w:p>
    <w:p>
      <w:pPr>
        <w:pStyle w:val="MdParagraph"/>
      </w:pPr>
      <w:r>
        <w:t xml:space="preserve">La traduction du diagramme de classes UML en schéma </w:t>
      </w:r>
      <w:r>
        <w:rPr>
          <w:rStyle w:val="MdStrong"/>
          <w:b/>
          <w:bCs/>
        </w:rPr>
        <w:t xml:space="preserve">Prisma</w:t>
      </w:r>
      <w:r>
        <w:t xml:space="preserve"> est fidèle et complète. L'inclusion des entités multi-sites (</w:t>
      </w:r>
      <w:r>
        <w:rPr>
          <w:rStyle w:val="MdCode"/>
          <w:u w:val="single"/>
        </w:rPr>
        <w:t xml:space="preserve">Store</w:t>
      </w:r>
      <w:r>
        <w:t xml:space="preserve">) et de gestion avancée (</w:t>
      </w:r>
      <w:r>
        <w:rPr>
          <w:rStyle w:val="MdCode"/>
          <w:u w:val="single"/>
        </w:rPr>
        <w:t xml:space="preserve">Inventory</w:t>
      </w:r>
      <w:r>
        <w:t xml:space="preserve">, </w:t>
      </w:r>
      <w:r>
        <w:rPr>
          <w:rStyle w:val="MdCode"/>
          <w:u w:val="single"/>
        </w:rPr>
        <w:t xml:space="preserve">Reservation</w:t>
      </w:r>
      <w:r>
        <w:t xml:space="preserve">, </w:t>
      </w:r>
      <w:r>
        <w:rPr>
          <w:rStyle w:val="MdCode"/>
          <w:u w:val="single"/>
        </w:rPr>
        <w:t xml:space="preserve">Table</w:t>
      </w:r>
      <w:r>
        <w:t xml:space="preserve">) dès cette phase initiale garantit que le système pourra évoluer sans nécessiter de refonte majeure de la base de données. Le script de seeding permet également de valider immédiatement les processus métier avec des données réalistes.</w:t>
      </w:r>
    </w:p>
    <w:p>
      <w:pPr>
        <w:pStyle w:val="MdSpace"/>
        <w:spacing w:before="0" w:after="60"/>
      </w:pPr>
    </w:p>
    <w:p>
      <w:pPr>
        <w:pStyle w:val="Heading2"/>
        <w:pStyle w:val="MdHeading2"/>
      </w:pPr>
      <w:r>
        <w:t xml:space="preserve">4. Recommandations pour les Prochaines Étapes</w:t>
      </w:r>
    </w:p>
    <w:p>
      <w:pPr>
        <w:pStyle w:val="MdParagraph"/>
      </w:pPr>
      <w:r>
        <w:t xml:space="preserve">Bien que l'avancement soit exemplaire, la phase suivante est critique pour la promesse "Offline-First" du projet. Il est impératif de porter une attention particulière aux points suivants :</w:t>
      </w:r>
    </w:p>
    <w:p>
      <w:pPr>
        <w:pStyle w:val="MdSpace"/>
        <w:spacing w:before="0" w:after="60"/>
      </w:pPr>
    </w:p>
    <w:p>
      <w:pPr>
        <w:pStyle w:val="MdListItem"/>
        <w:numPr>
          <w:ilvl w:val="0"/>
          <w:numId w:val="2"/>
        </w:numPr>
      </w:pPr>
      <w:r>
        <w:rPr>
          <w:rStyle w:val="MdStrong"/>
          <w:b/>
          <w:bCs/>
        </w:rPr>
        <w:t xml:space="preserve">Mise en œuvre du mode PWA</w:t>
      </w:r>
      <w:r>
        <w:t xml:space="preserve"> : La configuration de </w:t>
      </w:r>
      <w:r>
        <w:rPr>
          <w:rStyle w:val="MdCode"/>
          <w:u w:val="single"/>
        </w:rPr>
        <w:t xml:space="preserve">next-pwa</w:t>
      </w:r>
      <w:r>
        <w:t xml:space="preserve"> doit être couplée à une gestion robuste de la synchronisation via </w:t>
      </w:r>
      <w:r>
        <w:rPr>
          <w:rStyle w:val="MdStrong"/>
          <w:b/>
          <w:bCs/>
        </w:rPr>
        <w:t xml:space="preserve">IndexedDB</w:t>
      </w:r>
      <w:r>
        <w:t xml:space="preserve">.</w:t>
      </w:r>
    </w:p>
    <w:p>
      <w:pPr>
        <w:pStyle w:val="MdListItem"/>
        <w:numPr>
          <w:ilvl w:val="0"/>
          <w:numId w:val="2"/>
        </w:numPr>
      </w:pPr>
      <w:r>
        <w:rPr>
          <w:rStyle w:val="MdStrong"/>
          <w:b/>
          <w:bCs/>
        </w:rPr>
        <w:t xml:space="preserve">Optimisation des Web Workers</w:t>
      </w:r>
      <w:r>
        <w:t xml:space="preserve"> : Comme préconisé, les opérations de stockage local lourdes doivent être déportées dans des Web Workers pour maintenir une interface à 60 FPS, même lors de synchronisations massives.</w:t>
      </w:r>
    </w:p>
    <w:p>
      <w:pPr>
        <w:pStyle w:val="MdListItem"/>
        <w:numPr>
          <w:ilvl w:val="0"/>
          <w:numId w:val="2"/>
        </w:numPr>
      </w:pPr>
      <w:r>
        <w:rPr>
          <w:rStyle w:val="MdStrong"/>
          <w:b/>
          <w:bCs/>
        </w:rPr>
        <w:t xml:space="preserve">Gestion des Conflits</w:t>
      </w:r>
      <w:r>
        <w:t xml:space="preserve"> : Définir une stratégie claire (ex: "Last Write Wins" ou réconciliation manuelle) pour les commandes synchronisées après une période hors-ligne.</w:t>
      </w:r>
    </w:p>
    <w:p>
      <w:pPr>
        <w:pStyle w:val="MdListItem"/>
        <w:numPr>
          <w:ilvl w:val="0"/>
          <w:numId w:val="2"/>
        </w:numPr>
      </w:pPr>
      <w:r>
        <w:rPr>
          <w:rStyle w:val="MdStrong"/>
          <w:b/>
          <w:bCs/>
        </w:rPr>
        <w:t xml:space="preserve">Finalisation du KDS</w:t>
      </w:r>
      <w:r>
        <w:t xml:space="preserve"> : L'interface de cuisine doit consommer les flux SSE de manière efficace, avec une gestion visuelle des priorités et des temps de préparation.</w:t>
      </w:r>
    </w:p>
    <w:p>
      <w:pPr>
        <w:pStyle w:val="MdSpace"/>
        <w:spacing w:before="0" w:after="60"/>
      </w:pPr>
    </w:p>
    <w:p>
      <w:pPr>
        <w:pStyle w:val="Heading2"/>
        <w:pStyle w:val="MdHeading2"/>
      </w:pPr>
      <w:r>
        <w:t xml:space="preserve">5. Conclusion de Validation</w:t>
      </w:r>
    </w:p>
    <w:p>
      <w:pPr>
        <w:pStyle w:val="MdParagraph"/>
      </w:pPr>
      <w:r>
        <w:t xml:space="preserve">En conclusion, le travail réalisé par le développeur est </w:t>
      </w:r>
      <w:r>
        <w:rPr>
          <w:rStyle w:val="MdStrong"/>
          <w:b/>
          <w:bCs/>
        </w:rPr>
        <w:t xml:space="preserve">totalement conforme</w:t>
      </w:r>
      <w:r>
        <w:t xml:space="preserve"> aux directives techniques et architecturales. La qualité du code, la rigueur de l'infrastructure et l'esthétique de l'interface placent le projet sur une trajectoire de succès. Nous recommandons de poursuivre sur cette lancée en priorisant la robustesse du mode hors-ligne.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2026-05-17T00:30:57.472Z</dcterms:created>
  <dcterms:modified xsi:type="dcterms:W3CDTF">2026-05-17T00:30:57.472Z</dcterms:modified>
</cp:coreProperties>
</file>

<file path=docProps/custom.xml><?xml version="1.0" encoding="utf-8"?>
<Properties xmlns="http://schemas.openxmlformats.org/officeDocument/2006/custom-properties" xmlns:vt="http://schemas.openxmlformats.org/officeDocument/2006/docPropsVTypes"/>
</file>