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Recommandations Matérielles et Planning de Déploiement</w:t>
      </w:r>
    </w:p>
    <w:p>
      <w:pPr>
        <w:pStyle w:val="Heading2"/>
        <w:pStyle w:val="MdHeading2"/>
      </w:pPr>
      <w:r>
        <w:t xml:space="preserve">1. Recommandations Matérielles</w:t>
      </w:r>
    </w:p>
    <w:p>
      <w:pPr>
        <w:pStyle w:val="MdParagraph"/>
      </w:pPr>
      <w:r>
        <w:t xml:space="preserve">Pour assurer le bon fonctionnement du système de point de vente (POS) et garantir une expérience utilisateur optimale, les équipements matériels suivants sont recommandés. La solution étant basée sur une application web, la compatibilité est large, mais certains critères sont essentiels pour la performance et la durabilité en environnement de restauration.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Type de Matériel</w:t>
            </w:r>
          </w:p>
        </w:tc>
        <w:tc>
          <w:tcPr>
            <w:tcMar>
              <w:top w:type="dxa" w:w="100"/>
              <w:left w:type="dxa" w:w="120"/>
              <w:bottom w:type="dxa" w:w="100"/>
              <w:right w:type="dxa" w:w="120"/>
            </w:tcMar>
            <w:vAlign w:val="center"/>
          </w:tcPr>
          <w:p>
            <w:pPr>
              <w:pStyle w:val="MdTableHeader"/>
              <w:jc w:val="left"/>
            </w:pPr>
            <w:r>
              <w:t xml:space="preserve">Recommandations Clés</w:t>
            </w:r>
          </w:p>
        </w:tc>
        <w:tc>
          <w:tcPr>
            <w:tcBorders>
              <w:right w:val="none"/>
            </w:tcBorders>
            <w:tcMar>
              <w:top w:type="dxa" w:w="100"/>
              <w:left w:type="dxa" w:w="120"/>
              <w:bottom w:type="dxa" w:w="100"/>
              <w:right w:type="dxa" w:w="120"/>
            </w:tcMar>
            <w:vAlign w:val="center"/>
          </w:tcPr>
          <w:p>
            <w:pPr>
              <w:pStyle w:val="MdTableHeader"/>
              <w:jc w:val="left"/>
            </w:pPr>
            <w:r>
              <w:t xml:space="preserve">Justification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Terminaux de Prise de Commande</w:t>
            </w:r>
          </w:p>
        </w:tc>
        <w:tc>
          <w:tcPr>
            <w:tcMar>
              <w:top w:type="dxa" w:w="80"/>
              <w:left w:type="dxa" w:w="120"/>
              <w:bottom w:type="dxa" w:w="80"/>
              <w:right w:type="dxa" w:w="120"/>
            </w:tcMar>
            <w:vAlign w:val="center"/>
          </w:tcPr>
          <w:p>
            <w:pPr>
              <w:pStyle w:val="MdTableCell"/>
              <w:jc w:val="left"/>
            </w:pPr>
            <w:r>
              <w:t xml:space="preserve">Tablettes robustes (ex: iPad Pro, Samsung Galaxy Tab S Series) ou POS tactiles intégrés (ex: Elo Touch, Posiflex) avec écran capacitif. Bornes libre-service avec écran tactile de 15-21 pouces.</w:t>
            </w:r>
          </w:p>
        </w:tc>
        <w:tc>
          <w:tcPr>
            <w:tcBorders>
              <w:right w:val="none"/>
            </w:tcBorders>
            <w:tcMar>
              <w:top w:type="dxa" w:w="80"/>
              <w:left w:type="dxa" w:w="120"/>
              <w:bottom w:type="dxa" w:w="80"/>
              <w:right w:type="dxa" w:w="120"/>
            </w:tcMar>
            <w:vAlign w:val="center"/>
          </w:tcPr>
          <w:p>
            <w:pPr>
              <w:pStyle w:val="MdTableCell"/>
              <w:jc w:val="left"/>
            </w:pPr>
            <w:r>
              <w:t xml:space="preserve">Nécessitent une interface tactile réactive et durable. Les tablettes offrent une flexibilité pour la prise de commande en salle, tandis que les POS intégrés sont adaptés aux postes fixes. Les bornes libre-service doivent être résistantes aux chocs et aux éclaboussures.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Imprimantes Tickets</w:t>
            </w:r>
          </w:p>
        </w:tc>
        <w:tc>
          <w:tcPr>
            <w:tcMar>
              <w:top w:type="dxa" w:w="80"/>
              <w:left w:type="dxa" w:w="120"/>
              <w:bottom w:type="dxa" w:w="80"/>
              <w:right w:type="dxa" w:w="120"/>
            </w:tcMar>
            <w:vAlign w:val="center"/>
          </w:tcPr>
          <w:p>
            <w:pPr>
              <w:pStyle w:val="MdTableCell"/>
              <w:jc w:val="left"/>
            </w:pPr>
            <w:r>
              <w:t xml:space="preserve">Imprimantes thermiques de reçus (ex: Epson TM-T88VI, Star Micronics TSP100III) avec connectivité Ethernet ou Wi-Fi.</w:t>
            </w:r>
          </w:p>
        </w:tc>
        <w:tc>
          <w:tcPr>
            <w:tcBorders>
              <w:right w:val="none"/>
            </w:tcBorders>
            <w:tcMar>
              <w:top w:type="dxa" w:w="80"/>
              <w:left w:type="dxa" w:w="120"/>
              <w:bottom w:type="dxa" w:w="80"/>
              <w:right w:type="dxa" w:w="120"/>
            </w:tcMar>
            <w:vAlign w:val="center"/>
          </w:tcPr>
          <w:p>
            <w:pPr>
              <w:pStyle w:val="MdTableCell"/>
              <w:jc w:val="left"/>
            </w:pPr>
            <w:r>
              <w:t xml:space="preserve">Rapidité d'impression, faible coût de consommables (pas d'encre), connectivité réseau pour une intégration facile avec l'application web.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Écrans Cuisine (KDS)</w:t>
            </w:r>
          </w:p>
        </w:tc>
        <w:tc>
          <w:tcPr>
            <w:tcMar>
              <w:top w:type="dxa" w:w="80"/>
              <w:left w:type="dxa" w:w="120"/>
              <w:bottom w:type="dxa" w:w="80"/>
              <w:right w:type="dxa" w:w="120"/>
            </w:tcMar>
            <w:vAlign w:val="center"/>
          </w:tcPr>
          <w:p>
            <w:pPr>
              <w:pStyle w:val="MdTableCell"/>
              <w:jc w:val="left"/>
            </w:pPr>
            <w:r>
              <w:t xml:space="preserve">Écrans industriels ou tablettes grand format (15-22 pouces) avec protection IP (résistance à l'eau et à la poussière).</w:t>
            </w:r>
          </w:p>
        </w:tc>
        <w:tc>
          <w:tcPr>
            <w:tcBorders>
              <w:right w:val="none"/>
            </w:tcBorders>
            <w:tcMar>
              <w:top w:type="dxa" w:w="80"/>
              <w:left w:type="dxa" w:w="120"/>
              <w:bottom w:type="dxa" w:w="80"/>
              <w:right w:type="dxa" w:w="120"/>
            </w:tcMar>
            <w:vAlign w:val="center"/>
          </w:tcPr>
          <w:p>
            <w:pPr>
              <w:pStyle w:val="MdTableCell"/>
              <w:jc w:val="left"/>
            </w:pPr>
            <w:r>
              <w:t xml:space="preserve">Doivent être lisibles dans un environnement de cuisine souvent lumineux et humide. La protection IP assure la durabilité.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Tiroir-Caisse</w:t>
            </w:r>
          </w:p>
        </w:tc>
        <w:tc>
          <w:tcPr>
            <w:tcMar>
              <w:top w:type="dxa" w:w="80"/>
              <w:left w:type="dxa" w:w="120"/>
              <w:bottom w:type="dxa" w:w="80"/>
              <w:right w:type="dxa" w:w="120"/>
            </w:tcMar>
            <w:vAlign w:val="center"/>
          </w:tcPr>
          <w:p>
            <w:pPr>
              <w:pStyle w:val="MdTableCell"/>
              <w:jc w:val="left"/>
            </w:pPr>
            <w:r>
              <w:t xml:space="preserve">Tiroir-caisse standard (ex: APG Vasario, MMF Val-u-Line) avec interface RJ11 pour connexion à l'imprimante de reçus.</w:t>
            </w:r>
          </w:p>
        </w:tc>
        <w:tc>
          <w:tcPr>
            <w:tcBorders>
              <w:right w:val="none"/>
            </w:tcBorders>
            <w:tcMar>
              <w:top w:type="dxa" w:w="80"/>
              <w:left w:type="dxa" w:w="120"/>
              <w:bottom w:type="dxa" w:w="80"/>
              <w:right w:type="dxa" w:w="120"/>
            </w:tcMar>
            <w:vAlign w:val="center"/>
          </w:tcPr>
          <w:p>
            <w:pPr>
              <w:pStyle w:val="MdTableCell"/>
              <w:jc w:val="left"/>
            </w:pPr>
            <w:r>
              <w:t xml:space="preserve">Fiabilité et sécurité pour la gestion des espèces. L'ouverture est déclenchée par l'imprimante de reçus après une transaction en espèces.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Terminaux de Paiement (TPE)</w:t>
            </w:r>
          </w:p>
        </w:tc>
        <w:tc>
          <w:tcPr>
            <w:tcBorders>
              <w:bottom w:val="single" w:color="E1E4E8" w:sz="4"/>
            </w:tcBorders>
            <w:tcMar>
              <w:top w:type="dxa" w:w="80"/>
              <w:left w:type="dxa" w:w="120"/>
              <w:bottom w:type="dxa" w:w="80"/>
              <w:right w:type="dxa" w:w="120"/>
            </w:tcMar>
            <w:vAlign w:val="center"/>
          </w:tcPr>
          <w:p>
            <w:pPr>
              <w:pStyle w:val="MdTableCell"/>
              <w:jc w:val="left"/>
            </w:pPr>
            <w:r>
              <w:t xml:space="preserve">Terminaux de paiement électroniques (ex: Ingenico, Verifone) compatibles avec les solutions de paiement mobile et sans contact, avec intégration API/SDK pour le POS.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Doivent supporter les paiements par carte bancaire, mobile money et sans contact. L'intégration logicielle est cruciale pour une expérience d'encaissement fluide et sans erreur de saisie.</w:t>
            </w:r>
          </w:p>
        </w:tc>
      </w:tr>
    </w:tbl>
    <w:p>
      <w:pPr>
        <w:pStyle w:val="Heading2"/>
        <w:pStyle w:val="MdHeading2"/>
      </w:pPr>
      <w:r>
        <w:t xml:space="preserve">2. Planning Prévisionnel de Déploiement</w:t>
      </w:r>
    </w:p>
    <w:p>
      <w:pPr>
        <w:pStyle w:val="MdParagraph"/>
      </w:pPr>
      <w:r>
        <w:t xml:space="preserve">Le planning suivant est une estimation basée sur les délais indiqués dans le cahier des charges. Il sera affiné après une analyse détaillée des spécificités de chaque site et des ressources disponibles.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Phase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Durée Estimée</w:t>
            </w:r>
          </w:p>
        </w:tc>
        <w:tc>
          <w:tcPr>
            <w:tcBorders>
              <w:right w:val="none"/>
            </w:tcBorders>
            <w:tcMar>
              <w:top w:type="dxa" w:w="100"/>
              <w:left w:type="dxa" w:w="120"/>
              <w:bottom w:type="dxa" w:w="100"/>
              <w:right w:type="dxa" w:w="120"/>
            </w:tcMar>
            <w:vAlign w:val="center"/>
          </w:tcPr>
          <w:p>
            <w:pPr>
              <w:pStyle w:val="MdTableHeader"/>
              <w:jc w:val="left"/>
            </w:pPr>
            <w:r>
              <w:t xml:space="preserve">Date Cible (à partir de la réception des offres)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Analyse Détaillée &amp; Conception</w:t>
            </w:r>
          </w:p>
        </w:tc>
        <w:tc>
          <w:tcPr>
            <w:tcMar>
              <w:top w:type="dxa" w:w="80"/>
              <w:left w:type="dxa" w:w="120"/>
              <w:bottom w:type="dxa" w:w="80"/>
              <w:right w:type="dxa" w:w="120"/>
            </w:tcMar>
            <w:vAlign w:val="center"/>
          </w:tcPr>
          <w:p>
            <w:pPr>
              <w:pStyle w:val="MdTableCell"/>
              <w:jc w:val="left"/>
            </w:pPr>
            <w:r>
              <w:t xml:space="preserve">Affinage des spécifications, design UI/UX (Figma), modélisation finale de la base de données, architecture technique détaillée.</w:t>
            </w:r>
          </w:p>
        </w:tc>
        <w:tc>
          <w:tcPr>
            <w:tcMar>
              <w:top w:type="dxa" w:w="80"/>
              <w:left w:type="dxa" w:w="120"/>
              <w:bottom w:type="dxa" w:w="80"/>
              <w:right w:type="dxa" w:w="120"/>
            </w:tcMar>
            <w:vAlign w:val="center"/>
          </w:tcPr>
          <w:p>
            <w:pPr>
              <w:pStyle w:val="MdTableCell"/>
              <w:jc w:val="left"/>
            </w:pPr>
            <w:r>
              <w:t xml:space="preserve">4 semaines</w:t>
            </w:r>
          </w:p>
        </w:tc>
        <w:tc>
          <w:tcPr>
            <w:tcBorders>
              <w:right w:val="none"/>
            </w:tcBorders>
            <w:tcMar>
              <w:top w:type="dxa" w:w="80"/>
              <w:left w:type="dxa" w:w="120"/>
              <w:bottom w:type="dxa" w:w="80"/>
              <w:right w:type="dxa" w:w="120"/>
            </w:tcMar>
            <w:vAlign w:val="center"/>
          </w:tcPr>
          <w:p>
            <w:pPr>
              <w:pStyle w:val="MdTableCell"/>
              <w:jc w:val="left"/>
            </w:pPr>
            <w:r>
              <w:t xml:space="preserve">Mi-juin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Développement Frontend &amp; Backend</w:t>
            </w:r>
          </w:p>
        </w:tc>
        <w:tc>
          <w:tcPr>
            <w:tcMar>
              <w:top w:type="dxa" w:w="80"/>
              <w:left w:type="dxa" w:w="120"/>
              <w:bottom w:type="dxa" w:w="80"/>
              <w:right w:type="dxa" w:w="120"/>
            </w:tcMar>
            <w:vAlign w:val="center"/>
          </w:tcPr>
          <w:p>
            <w:pPr>
              <w:pStyle w:val="MdTableCell"/>
              <w:jc w:val="left"/>
            </w:pPr>
            <w:r>
              <w:t xml:space="preserve">Implémentation des modules clés (ventes, KDS, stocks, rapports), intégration des API de paiement, développement du mode hors-ligne.</w:t>
            </w:r>
          </w:p>
        </w:tc>
        <w:tc>
          <w:tcPr>
            <w:tcMar>
              <w:top w:type="dxa" w:w="80"/>
              <w:left w:type="dxa" w:w="120"/>
              <w:bottom w:type="dxa" w:w="80"/>
              <w:right w:type="dxa" w:w="120"/>
            </w:tcMar>
            <w:vAlign w:val="center"/>
          </w:tcPr>
          <w:p>
            <w:pPr>
              <w:pStyle w:val="MdTableCell"/>
              <w:jc w:val="left"/>
            </w:pPr>
            <w:r>
              <w:t xml:space="preserve">8 semaines</w:t>
            </w:r>
          </w:p>
        </w:tc>
        <w:tc>
          <w:tcPr>
            <w:tcBorders>
              <w:right w:val="none"/>
            </w:tcBorders>
            <w:tcMar>
              <w:top w:type="dxa" w:w="80"/>
              <w:left w:type="dxa" w:w="120"/>
              <w:bottom w:type="dxa" w:w="80"/>
              <w:right w:type="dxa" w:w="120"/>
            </w:tcMar>
            <w:vAlign w:val="center"/>
          </w:tcPr>
          <w:p>
            <w:pPr>
              <w:pStyle w:val="MdTableCell"/>
              <w:jc w:val="left"/>
            </w:pPr>
            <w:r>
              <w:t xml:space="preserve">Mi-août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Tests &amp; Recettes</w:t>
            </w:r>
          </w:p>
        </w:tc>
        <w:tc>
          <w:tcPr>
            <w:tcMar>
              <w:top w:type="dxa" w:w="80"/>
              <w:left w:type="dxa" w:w="120"/>
              <w:bottom w:type="dxa" w:w="80"/>
              <w:right w:type="dxa" w:w="120"/>
            </w:tcMar>
            <w:vAlign w:val="center"/>
          </w:tcPr>
          <w:p>
            <w:pPr>
              <w:pStyle w:val="MdTableCell"/>
              <w:jc w:val="left"/>
            </w:pPr>
            <w:r>
              <w:t xml:space="preserve">Tests unitaires, d'intégration, fonctionnels et de performance. Recette par le client et les utilisateurs clés.</w:t>
            </w:r>
          </w:p>
        </w:tc>
        <w:tc>
          <w:tcPr>
            <w:tcMar>
              <w:top w:type="dxa" w:w="80"/>
              <w:left w:type="dxa" w:w="120"/>
              <w:bottom w:type="dxa" w:w="80"/>
              <w:right w:type="dxa" w:w="120"/>
            </w:tcMar>
            <w:vAlign w:val="center"/>
          </w:tcPr>
          <w:p>
            <w:pPr>
              <w:pStyle w:val="MdTableCell"/>
              <w:jc w:val="left"/>
            </w:pPr>
            <w:r>
              <w:t xml:space="preserve">3 semaines</w:t>
            </w:r>
          </w:p>
        </w:tc>
        <w:tc>
          <w:tcPr>
            <w:tcBorders>
              <w:right w:val="none"/>
            </w:tcBorders>
            <w:tcMar>
              <w:top w:type="dxa" w:w="80"/>
              <w:left w:type="dxa" w:w="120"/>
              <w:bottom w:type="dxa" w:w="80"/>
              <w:right w:type="dxa" w:w="120"/>
            </w:tcMar>
            <w:vAlign w:val="center"/>
          </w:tcPr>
          <w:p>
            <w:pPr>
              <w:pStyle w:val="MdTableCell"/>
              <w:jc w:val="left"/>
            </w:pPr>
            <w:r>
              <w:t xml:space="preserve">Fin août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Déploiement &amp; Installation Matériel</w:t>
            </w:r>
          </w:p>
        </w:tc>
        <w:tc>
          <w:tcPr>
            <w:tcMar>
              <w:top w:type="dxa" w:w="80"/>
              <w:left w:type="dxa" w:w="120"/>
              <w:bottom w:type="dxa" w:w="80"/>
              <w:right w:type="dxa" w:w="120"/>
            </w:tcMar>
            <w:vAlign w:val="center"/>
          </w:tcPr>
          <w:p>
            <w:pPr>
              <w:pStyle w:val="MdTableCell"/>
              <w:jc w:val="left"/>
            </w:pPr>
            <w:r>
              <w:t xml:space="preserve">Installation et configuration des terminaux POS, imprimantes, KDS, tiroirs-caisses et TPE sur site.</w:t>
            </w:r>
          </w:p>
        </w:tc>
        <w:tc>
          <w:tcPr>
            <w:tcMar>
              <w:top w:type="dxa" w:w="80"/>
              <w:left w:type="dxa" w:w="120"/>
              <w:bottom w:type="dxa" w:w="80"/>
              <w:right w:type="dxa" w:w="120"/>
            </w:tcMar>
            <w:vAlign w:val="center"/>
          </w:tcPr>
          <w:p>
            <w:pPr>
              <w:pStyle w:val="MdTableCell"/>
              <w:jc w:val="left"/>
            </w:pPr>
            <w:r>
              <w:t xml:space="preserve">1 semaine par site</w:t>
            </w:r>
          </w:p>
        </w:tc>
        <w:tc>
          <w:tcPr>
            <w:tcBorders>
              <w:right w:val="none"/>
            </w:tcBorders>
            <w:tcMar>
              <w:top w:type="dxa" w:w="80"/>
              <w:left w:type="dxa" w:w="120"/>
              <w:bottom w:type="dxa" w:w="80"/>
              <w:right w:type="dxa" w:w="120"/>
            </w:tcMar>
            <w:vAlign w:val="center"/>
          </w:tcPr>
          <w:p>
            <w:pPr>
              <w:pStyle w:val="MdTableCell"/>
              <w:jc w:val="left"/>
            </w:pPr>
            <w:r>
              <w:t xml:space="preserve">Début septembre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Formation des Équipes</w:t>
            </w:r>
          </w:p>
        </w:tc>
        <w:tc>
          <w:tcPr>
            <w:tcMar>
              <w:top w:type="dxa" w:w="80"/>
              <w:left w:type="dxa" w:w="120"/>
              <w:bottom w:type="dxa" w:w="80"/>
              <w:right w:type="dxa" w:w="120"/>
            </w:tcMar>
            <w:vAlign w:val="center"/>
          </w:tcPr>
          <w:p>
            <w:pPr>
              <w:pStyle w:val="MdTableCell"/>
              <w:jc w:val="left"/>
            </w:pPr>
            <w:r>
              <w:t xml:space="preserve">Formation des caissiers, managers et personnel de cuisine à l'utilisation du nouveau système.</w:t>
            </w:r>
          </w:p>
        </w:tc>
        <w:tc>
          <w:tcPr>
            <w:tcMar>
              <w:top w:type="dxa" w:w="80"/>
              <w:left w:type="dxa" w:w="120"/>
              <w:bottom w:type="dxa" w:w="80"/>
              <w:right w:type="dxa" w:w="120"/>
            </w:tcMar>
            <w:vAlign w:val="center"/>
          </w:tcPr>
          <w:p>
            <w:pPr>
              <w:pStyle w:val="MdTableCell"/>
              <w:jc w:val="left"/>
            </w:pPr>
            <w:r>
              <w:t xml:space="preserve">1 semaine par site</w:t>
            </w:r>
          </w:p>
        </w:tc>
        <w:tc>
          <w:tcPr>
            <w:tcBorders>
              <w:right w:val="none"/>
            </w:tcBorders>
            <w:tcMar>
              <w:top w:type="dxa" w:w="80"/>
              <w:left w:type="dxa" w:w="120"/>
              <w:bottom w:type="dxa" w:w="80"/>
              <w:right w:type="dxa" w:w="120"/>
            </w:tcMar>
            <w:vAlign w:val="center"/>
          </w:tcPr>
          <w:p>
            <w:pPr>
              <w:pStyle w:val="MdTableCell"/>
              <w:jc w:val="left"/>
            </w:pPr>
            <w:r>
              <w:t xml:space="preserve">Mi-septembre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Mise en Production &amp; Suivi Initial</w:t>
            </w:r>
          </w:p>
        </w:tc>
        <w:tc>
          <w:tcPr>
            <w:tcBorders>
              <w:bottom w:val="single" w:color="E1E4E8" w:sz="4"/>
            </w:tcBorders>
            <w:tcMar>
              <w:top w:type="dxa" w:w="80"/>
              <w:left w:type="dxa" w:w="120"/>
              <w:bottom w:type="dxa" w:w="80"/>
              <w:right w:type="dxa" w:w="120"/>
            </w:tcMar>
            <w:vAlign w:val="center"/>
          </w:tcPr>
          <w:p>
            <w:pPr>
              <w:pStyle w:val="MdTableCell"/>
              <w:jc w:val="left"/>
            </w:pPr>
            <w:r>
              <w:t xml:space="preserve">Lancement officiel du système, support intensif post-lancement.</w:t>
            </w:r>
          </w:p>
        </w:tc>
        <w:tc>
          <w:tcPr>
            <w:tcBorders>
              <w:bottom w:val="single" w:color="E1E4E8" w:sz="4"/>
            </w:tcBorders>
            <w:tcMar>
              <w:top w:type="dxa" w:w="80"/>
              <w:left w:type="dxa" w:w="120"/>
              <w:bottom w:type="dxa" w:w="80"/>
              <w:right w:type="dxa" w:w="120"/>
            </w:tcMar>
            <w:vAlign w:val="center"/>
          </w:tcPr>
          <w:p>
            <w:pPr>
              <w:pStyle w:val="MdTableCell"/>
              <w:jc w:val="left"/>
            </w:pPr>
            <w:r>
              <w:t xml:space="preserve">2 semaines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Fin septembre</w:t>
            </w:r>
          </w:p>
        </w:tc>
      </w:tr>
    </w:tbl>
    <w:p>
      <w:pPr>
        <w:pStyle w:val="MdParagraph"/>
      </w:pPr>
      <w:r>
        <w:rPr>
          <w:rStyle w:val="MdStrong"/>
          <w:b/>
          <w:bCs/>
        </w:rPr>
        <w:t xml:space="preserve">Objectif de Déploiement Souhaité : Août.</w:t>
      </w:r>
      <w:r>
        <w:t xml:space="preserve"> Le planning ci-dessus est ambitieux mais réalisable avec une collaboration étroite et une allocation de ressources adéquate. La phase de développement et de tests peut être parallélisée pour respecter l'objectif d'août pour les premières livraisons, avec une mise en production progressive si nécessaire.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2026-05-17T00:28:17.091Z</dcterms:created>
  <dcterms:modified xsi:type="dcterms:W3CDTF">2026-05-17T00:28:17.091Z</dcterms:modified>
</cp:coreProperties>
</file>

<file path=docProps/custom.xml><?xml version="1.0" encoding="utf-8"?>
<Properties xmlns="http://schemas.openxmlformats.org/officeDocument/2006/custom-properties" xmlns:vt="http://schemas.openxmlformats.org/officeDocument/2006/docPropsVTypes"/>
</file>