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Stratégie de Maintenance, Support et Formation</w:t>
      </w:r>
    </w:p>
    <w:p>
      <w:pPr>
        <w:pStyle w:val="MdParagraph"/>
      </w:pPr>
      <w:r>
        <w:t xml:space="preserve">Pour garantir la pérennité, la fiabilité et l'adoption du système de point de vente (POS), une stratégie complète de maintenance, de support technique et de formation des utilisateurs est essentielle.</w:t>
      </w:r>
    </w:p>
    <w:p>
      <w:pPr>
        <w:pStyle w:val="MdSpace"/>
        <w:spacing w:before="0" w:after="60"/>
      </w:pPr>
    </w:p>
    <w:p>
      <w:pPr>
        <w:pStyle w:val="Heading2"/>
        <w:pStyle w:val="MdHeading2"/>
      </w:pPr>
      <w:r>
        <w:t xml:space="preserve">1. Maintenance</w:t>
      </w:r>
    </w:p>
    <w:p>
      <w:pPr>
        <w:pStyle w:val="MdParagraph"/>
      </w:pPr>
      <w:r>
        <w:t xml:space="preserve">La maintenance du système sera proactive et réactive, visant à minimiser les interruptions de service et à assurer l'évolution continue de la solution.</w:t>
      </w:r>
    </w:p>
    <w:p>
      <w:pPr>
        <w:pStyle w:val="MdSpace"/>
        <w:spacing w:before="0" w:after="60"/>
      </w:pPr>
    </w:p>
    <w:p>
      <w:pPr>
        <w:pStyle w:val="Heading3"/>
        <w:pStyle w:val="MdHeading3"/>
      </w:pPr>
      <w:r>
        <w:t xml:space="preserve">1.1. Maintenance Préventive et Évolutive</w:t>
      </w:r>
    </w:p>
    <w:p>
      <w:pPr>
        <w:pStyle w:val="MdListItem"/>
        <w:numPr>
          <w:ilvl w:val="0"/>
          <w:numId w:val="2"/>
        </w:numPr>
      </w:pPr>
      <w:r>
        <w:rPr>
          <w:rStyle w:val="MdStrong"/>
          <w:b/>
          <w:bCs/>
        </w:rPr>
        <w:t xml:space="preserve">Mises à jour Régulières</w:t>
      </w:r>
      <w:r>
        <w:t xml:space="preserve"> : Application des mises à jour de sécurité et des nouvelles fonctionnalités pour le système d'exploitation du serveur, la base de données (PostgreSQL), les dépendances logicielles (Next.js, Prisma, Redis) et l'application POS elle-même. Ces mises à jour seront planifiées en dehors des heures de pointe pour minimiser l'impact sur les opérations.</w:t>
      </w:r>
    </w:p>
    <w:p>
      <w:pPr>
        <w:pStyle w:val="MdListItem"/>
        <w:numPr>
          <w:ilvl w:val="0"/>
          <w:numId w:val="2"/>
        </w:numPr>
      </w:pPr>
      <w:r>
        <w:rPr>
          <w:rStyle w:val="MdStrong"/>
          <w:b/>
          <w:bCs/>
        </w:rPr>
        <w:t xml:space="preserve">Surveillance Continue</w:t>
      </w:r>
      <w:r>
        <w:t xml:space="preserve"> : Mise en place d'outils de monitoring pour surveiller la performance du serveur, l'utilisation des ressources (CPU, mémoire, disque), la latence de la base de données et les erreurs applicatives. Des alertes automatiques seront configurées pour détecter les anomalies en temps réel.</w:t>
      </w:r>
    </w:p>
    <w:p>
      <w:pPr>
        <w:pStyle w:val="MdListItem"/>
        <w:numPr>
          <w:ilvl w:val="0"/>
          <w:numId w:val="2"/>
        </w:numPr>
      </w:pPr>
      <w:r>
        <w:rPr>
          <w:rStyle w:val="MdStrong"/>
          <w:b/>
          <w:bCs/>
        </w:rPr>
        <w:t xml:space="preserve">Optimisation des Performances</w:t>
      </w:r>
      <w:r>
        <w:t xml:space="preserve"> : Audits réguliers des performances de l'application et de la base de données pour identifier les goulots d'étranglement et proposer des optimisations (ex: optimisation des requêtes SQL, gestion du cache Redis).</w:t>
      </w:r>
    </w:p>
    <w:p>
      <w:pPr>
        <w:pStyle w:val="MdSpace"/>
        <w:spacing w:before="0" w:after="60"/>
      </w:pPr>
    </w:p>
    <w:p>
      <w:pPr>
        <w:pStyle w:val="Heading3"/>
        <w:pStyle w:val="MdHeading3"/>
      </w:pPr>
      <w:r>
        <w:t xml:space="preserve">1.2. Maintenance Corrective</w:t>
      </w:r>
    </w:p>
    <w:p>
      <w:pPr>
        <w:pStyle w:val="MdListItem"/>
        <w:numPr>
          <w:ilvl w:val="0"/>
          <w:numId w:val="2"/>
        </w:numPr>
      </w:pPr>
      <w:r>
        <w:rPr>
          <w:rStyle w:val="MdStrong"/>
          <w:b/>
          <w:bCs/>
        </w:rPr>
        <w:t xml:space="preserve">Correction des Bugs</w:t>
      </w:r>
      <w:r>
        <w:t xml:space="preserve"> : Prise en charge rapide des anomalies et des bugs signalés par les utilisateurs. Un processus de gestion des incidents sera mis en place pour prioriser et résoudre les problèmes selon leur criticité.</w:t>
      </w:r>
    </w:p>
    <w:p>
      <w:pPr>
        <w:pStyle w:val="MdListItem"/>
        <w:numPr>
          <w:ilvl w:val="0"/>
          <w:numId w:val="2"/>
        </w:numPr>
      </w:pPr>
      <w:r>
        <w:rPr>
          <w:rStyle w:val="MdStrong"/>
          <w:b/>
          <w:bCs/>
        </w:rPr>
        <w:t xml:space="preserve">Gestion des Incidents</w:t>
      </w:r>
      <w:r>
        <w:t xml:space="preserve"> : En cas d'incident majeur affectant la disponibilité du système, une équipe dédiée interviendra pour diagnostiquer et restaurer le service dans les plus brefs délais, conformément aux Accords de Niveau de Service (SLA).</w:t>
      </w:r>
    </w:p>
    <w:p>
      <w:pPr>
        <w:pStyle w:val="MdSpace"/>
        <w:spacing w:before="0" w:after="60"/>
      </w:pPr>
    </w:p>
    <w:p>
      <w:pPr>
        <w:pStyle w:val="Heading2"/>
        <w:pStyle w:val="MdHeading2"/>
      </w:pPr>
      <w:r>
        <w:t xml:space="preserve">2. Support Technique</w:t>
      </w:r>
    </w:p>
    <w:p>
      <w:pPr>
        <w:pStyle w:val="MdParagraph"/>
      </w:pPr>
      <w:r>
        <w:t xml:space="preserve">Un support technique réactif et compétent est crucial pour accompagner les utilisateurs au quotidien.</w:t>
      </w:r>
    </w:p>
    <w:p>
      <w:pPr>
        <w:pStyle w:val="MdSpace"/>
        <w:spacing w:before="0" w:after="60"/>
      </w:pPr>
    </w:p>
    <w:p>
      <w:pPr>
        <w:pStyle w:val="Heading3"/>
        <w:pStyle w:val="MdHeading3"/>
      </w:pPr>
      <w:r>
        <w:t xml:space="preserve">2.1. Niveaux de Support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Niveau de Support</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Horaires</w:t>
            </w:r>
          </w:p>
        </w:tc>
        <w:tc>
          <w:tcPr>
            <w:tcBorders>
              <w:right w:val="none"/>
            </w:tcBorders>
            <w:tcMar>
              <w:top w:type="dxa" w:w="100"/>
              <w:left w:type="dxa" w:w="120"/>
              <w:bottom w:type="dxa" w:w="100"/>
              <w:right w:type="dxa" w:w="120"/>
            </w:tcMar>
            <w:vAlign w:val="center"/>
          </w:tcPr>
          <w:p>
            <w:pPr>
              <w:pStyle w:val="MdTableHeader"/>
              <w:jc w:val="left"/>
            </w:pPr>
            <w:r>
              <w:t xml:space="preserve">Délais d'Intervention (SLA)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Niveau 1 (Utilisateur)</w:t>
            </w:r>
          </w:p>
        </w:tc>
        <w:tc>
          <w:tcPr>
            <w:tcMar>
              <w:top w:type="dxa" w:w="80"/>
              <w:left w:type="dxa" w:w="120"/>
              <w:bottom w:type="dxa" w:w="80"/>
              <w:right w:type="dxa" w:w="120"/>
            </w:tcMar>
            <w:vAlign w:val="center"/>
          </w:tcPr>
          <w:p>
            <w:pPr>
              <w:pStyle w:val="MdTableCell"/>
              <w:jc w:val="left"/>
            </w:pPr>
            <w:r>
              <w:t xml:space="preserve">Auto-assistance via documentation, FAQ.</w:t>
            </w:r>
          </w:p>
        </w:tc>
        <w:tc>
          <w:tcPr>
            <w:tcMar>
              <w:top w:type="dxa" w:w="80"/>
              <w:left w:type="dxa" w:w="120"/>
              <w:bottom w:type="dxa" w:w="80"/>
              <w:right w:type="dxa" w:w="120"/>
            </w:tcMar>
            <w:vAlign w:val="center"/>
          </w:tcPr>
          <w:p>
            <w:pPr>
              <w:pStyle w:val="MdTableCell"/>
              <w:jc w:val="left"/>
            </w:pPr>
            <w:r>
              <w:t xml:space="preserve">24/7</w:t>
            </w:r>
          </w:p>
        </w:tc>
        <w:tc>
          <w:tcPr>
            <w:tcBorders>
              <w:right w:val="none"/>
            </w:tcBorders>
            <w:tcMar>
              <w:top w:type="dxa" w:w="80"/>
              <w:left w:type="dxa" w:w="120"/>
              <w:bottom w:type="dxa" w:w="80"/>
              <w:right w:type="dxa" w:w="120"/>
            </w:tcMar>
            <w:vAlign w:val="center"/>
          </w:tcPr>
          <w:p>
            <w:pPr>
              <w:pStyle w:val="MdTableCell"/>
              <w:jc w:val="left"/>
            </w:pPr>
            <w:r>
              <w:t xml:space="preserve">Immédiat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Niveau 2 (Local Manager)</w:t>
            </w:r>
          </w:p>
        </w:tc>
        <w:tc>
          <w:tcPr>
            <w:tcMar>
              <w:top w:type="dxa" w:w="80"/>
              <w:left w:type="dxa" w:w="120"/>
              <w:bottom w:type="dxa" w:w="80"/>
              <w:right w:type="dxa" w:w="120"/>
            </w:tcMar>
            <w:vAlign w:val="center"/>
          </w:tcPr>
          <w:p>
            <w:pPr>
              <w:pStyle w:val="MdTableCell"/>
              <w:jc w:val="left"/>
            </w:pPr>
            <w:r>
              <w:t xml:space="preserve">Résolution des problèmes courants, assistance à l'utilisation.</w:t>
            </w:r>
          </w:p>
        </w:tc>
        <w:tc>
          <w:tcPr>
            <w:tcMar>
              <w:top w:type="dxa" w:w="80"/>
              <w:left w:type="dxa" w:w="120"/>
              <w:bottom w:type="dxa" w:w="80"/>
              <w:right w:type="dxa" w:w="120"/>
            </w:tcMar>
            <w:vAlign w:val="center"/>
          </w:tcPr>
          <w:p>
            <w:pPr>
              <w:pStyle w:val="MdTableCell"/>
              <w:jc w:val="left"/>
            </w:pPr>
            <w:r>
              <w:t xml:space="preserve">Heures d'ouverture du restaurant</w:t>
            </w:r>
          </w:p>
        </w:tc>
        <w:tc>
          <w:tcPr>
            <w:tcBorders>
              <w:right w:val="none"/>
            </w:tcBorders>
            <w:tcMar>
              <w:top w:type="dxa" w:w="80"/>
              <w:left w:type="dxa" w:w="120"/>
              <w:bottom w:type="dxa" w:w="80"/>
              <w:right w:type="dxa" w:w="120"/>
            </w:tcMar>
            <w:vAlign w:val="center"/>
          </w:tcPr>
          <w:p>
            <w:pPr>
              <w:pStyle w:val="MdTableCell"/>
              <w:jc w:val="left"/>
            </w:pPr>
            <w:r>
              <w:t xml:space="preserve">&lt; 1 heure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Niveau 3 (Équipe Technique)</w:t>
            </w:r>
          </w:p>
        </w:tc>
        <w:tc>
          <w:tcPr>
            <w:tcBorders>
              <w:bottom w:val="single" w:color="E1E4E8" w:sz="4"/>
            </w:tcBorders>
            <w:tcMar>
              <w:top w:type="dxa" w:w="80"/>
              <w:left w:type="dxa" w:w="120"/>
              <w:bottom w:type="dxa" w:w="80"/>
              <w:right w:type="dxa" w:w="120"/>
            </w:tcMar>
            <w:vAlign w:val="center"/>
          </w:tcPr>
          <w:p>
            <w:pPr>
              <w:pStyle w:val="MdTableCell"/>
              <w:jc w:val="left"/>
            </w:pPr>
            <w:r>
              <w:t xml:space="preserve">Diagnostic et résolution des problèmes techniques complexes, bugs, incidents.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8h-20h, 7j/7</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Critique: &lt; 30 min, Majeur: &lt; 2h, Mineur: &lt; 4h</w:t>
            </w:r>
          </w:p>
        </w:tc>
      </w:tr>
    </w:tbl>
    <w:p>
      <w:pPr>
        <w:pStyle w:val="Heading3"/>
        <w:pStyle w:val="MdHeading3"/>
      </w:pPr>
      <w:r>
        <w:t xml:space="preserve">2.2. Canaux de Communication</w:t>
      </w:r>
    </w:p>
    <w:p>
      <w:pPr>
        <w:pStyle w:val="MdParagraph"/>
      </w:pPr>
      <w:r>
        <w:t xml:space="preserve">Les utilisateurs pourront contacter le support via un portail dédié, par téléphone ou par email, en fonction de la criticité du problème.</w:t>
      </w:r>
    </w:p>
    <w:p>
      <w:pPr>
        <w:pStyle w:val="MdSpace"/>
        <w:spacing w:before="0" w:after="60"/>
      </w:pPr>
    </w:p>
    <w:p>
      <w:pPr>
        <w:pStyle w:val="Heading2"/>
        <w:pStyle w:val="MdHeading2"/>
      </w:pPr>
      <w:r>
        <w:t xml:space="preserve">3. Formation</w:t>
      </w:r>
    </w:p>
    <w:p>
      <w:pPr>
        <w:pStyle w:val="MdParagraph"/>
      </w:pPr>
      <w:r>
        <w:t xml:space="preserve">La formation est un pilier pour assurer une adoption réussie du nouveau système et maximiser son efficacité.</w:t>
      </w:r>
    </w:p>
    <w:p>
      <w:pPr>
        <w:pStyle w:val="MdSpace"/>
        <w:spacing w:before="0" w:after="60"/>
      </w:pPr>
    </w:p>
    <w:p>
      <w:pPr>
        <w:pStyle w:val="Heading3"/>
        <w:pStyle w:val="MdHeading3"/>
      </w:pPr>
      <w:r>
        <w:t xml:space="preserve">3.1. Formation Initiale</w:t>
      </w:r>
    </w:p>
    <w:p>
      <w:pPr>
        <w:pStyle w:val="MdListItem"/>
        <w:numPr>
          <w:ilvl w:val="0"/>
          <w:numId w:val="2"/>
        </w:numPr>
      </w:pPr>
      <w:r>
        <w:rPr>
          <w:rStyle w:val="MdStrong"/>
          <w:b/>
          <w:bCs/>
        </w:rPr>
        <w:t xml:space="preserve">Caissiers</w:t>
      </w:r>
      <w:r>
        <w:t xml:space="preserve"> : Formation pratique sur la prise de commande, l'encaissement, la gestion des retours et l'utilisation des périphériques (imprimante, TPE).</w:t>
      </w:r>
    </w:p>
    <w:p>
      <w:pPr>
        <w:pStyle w:val="MdListItem"/>
        <w:numPr>
          <w:ilvl w:val="0"/>
          <w:numId w:val="2"/>
        </w:numPr>
      </w:pPr>
      <w:r>
        <w:rPr>
          <w:rStyle w:val="MdStrong"/>
          <w:b/>
          <w:bCs/>
        </w:rPr>
        <w:t xml:space="preserve">Managers</w:t>
      </w:r>
      <w:r>
        <w:t xml:space="preserve"> : Formation approfondie sur la gestion des stocks, les promotions, les rapports, les réservations, la gestion des utilisateurs et la résolution des problèmes de Niveau 2.</w:t>
      </w:r>
    </w:p>
    <w:p>
      <w:pPr>
        <w:pStyle w:val="MdListItem"/>
        <w:numPr>
          <w:ilvl w:val="0"/>
          <w:numId w:val="2"/>
        </w:numPr>
      </w:pPr>
      <w:r>
        <w:rPr>
          <w:rStyle w:val="MdStrong"/>
          <w:b/>
          <w:bCs/>
        </w:rPr>
        <w:t xml:space="preserve">Personnel de Cuisine</w:t>
      </w:r>
      <w:r>
        <w:t xml:space="preserve"> : Formation à l'utilisation du Kitchen Display System (KDS), à la gestion des priorités et à la communication avec la caisse.</w:t>
      </w:r>
    </w:p>
    <w:p>
      <w:pPr>
        <w:pStyle w:val="MdSpace"/>
        <w:spacing w:before="0" w:after="60"/>
      </w:pPr>
    </w:p>
    <w:p>
      <w:pPr>
        <w:pStyle w:val="Heading3"/>
        <w:pStyle w:val="MdHeading3"/>
      </w:pPr>
      <w:r>
        <w:t xml:space="preserve">3.2. Supports de Formation</w:t>
      </w:r>
    </w:p>
    <w:p>
      <w:pPr>
        <w:pStyle w:val="MdListItem"/>
        <w:numPr>
          <w:ilvl w:val="0"/>
          <w:numId w:val="2"/>
        </w:numPr>
      </w:pPr>
      <w:r>
        <w:rPr>
          <w:rStyle w:val="MdStrong"/>
          <w:b/>
          <w:bCs/>
        </w:rPr>
        <w:t xml:space="preserve">Guides Utilisateur</w:t>
      </w:r>
      <w:r>
        <w:t xml:space="preserve"> : Documentation détaillée et illustrée pour chaque rôle et chaque fonctionnalité.</w:t>
      </w:r>
    </w:p>
    <w:p>
      <w:pPr>
        <w:pStyle w:val="MdListItem"/>
        <w:numPr>
          <w:ilvl w:val="0"/>
          <w:numId w:val="2"/>
        </w:numPr>
      </w:pPr>
      <w:r>
        <w:rPr>
          <w:rStyle w:val="MdStrong"/>
          <w:b/>
          <w:bCs/>
        </w:rPr>
        <w:t xml:space="preserve">Tutoriels Vidéo</w:t>
      </w:r>
      <w:r>
        <w:t xml:space="preserve"> : Courtes vidéos explicatives pour les tâches clés, accessibles à tout moment.</w:t>
      </w:r>
    </w:p>
    <w:p>
      <w:pPr>
        <w:pStyle w:val="MdListItem"/>
        <w:numPr>
          <w:ilvl w:val="0"/>
          <w:numId w:val="2"/>
        </w:numPr>
      </w:pPr>
      <w:r>
        <w:rPr>
          <w:rStyle w:val="MdStrong"/>
          <w:b/>
          <w:bCs/>
        </w:rPr>
        <w:t xml:space="preserve">FAQ et Base de Connaissances</w:t>
      </w:r>
      <w:r>
        <w:t xml:space="preserve"> : Une ressource en ligne pour répondre aux questions fréquentes et fournir des solutions aux problèmes courants.</w:t>
      </w:r>
    </w:p>
    <w:p>
      <w:pPr>
        <w:pStyle w:val="MdSpace"/>
        <w:spacing w:before="0" w:after="60"/>
      </w:pPr>
    </w:p>
    <w:p>
      <w:pPr>
        <w:pStyle w:val="Heading3"/>
        <w:pStyle w:val="MdHeading3"/>
      </w:pPr>
      <w:r>
        <w:t xml:space="preserve">3.3. Formation Continue</w:t>
      </w:r>
    </w:p>
    <w:p>
      <w:pPr>
        <w:pStyle w:val="MdParagraph"/>
      </w:pPr>
      <w:r>
        <w:t xml:space="preserve">Des sessions de formation de rafraîchissement ou sur les nouvelles fonctionnalités seront proposées régulièrement, notamment lors des mises à jour majeures du système.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2026-05-17T00:28:25.877Z</dcterms:created>
  <dcterms:modified xsi:type="dcterms:W3CDTF">2026-05-17T00:28:25.877Z</dcterms:modified>
</cp:coreProperties>
</file>

<file path=docProps/custom.xml><?xml version="1.0" encoding="utf-8"?>
<Properties xmlns="http://schemas.openxmlformats.org/officeDocument/2006/custom-properties" xmlns:vt="http://schemas.openxmlformats.org/officeDocument/2006/docPropsVTypes"/>
</file>