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413"/>
      </w:tblGrid>
      <w:tr>
        <w:tc>
          <w:tcPr>
            <w:tcW w:type="dxa" w:w="4730"/>
          </w:tcPr>
          <w:p>
            <w:pPr>
              <w:spacing w:after="40"/>
            </w:pPr>
            <w:r>
              <w:rPr>
                <w:rFonts w:ascii="Georgia" w:hAnsi="Georgia"/>
                <w:b/>
                <w:color w:val="0A2540"/>
                <w:sz w:val="28"/>
              </w:rPr>
              <w:t>KABUOR BUILDS LIMITED</w:t>
            </w:r>
          </w:p>
          <w:p>
            <w:pPr>
              <w:spacing w:after="0"/>
            </w:pPr>
            <w:r>
              <w:rPr>
                <w:rFonts w:ascii="Calibri" w:hAnsi="Calibri"/>
                <w:b/>
                <w:color w:val="0070F0"/>
                <w:sz w:val="17"/>
              </w:rPr>
              <w:t>KABUOR ERP · FINANCIAL OPERATING SYSTEM</w:t>
            </w:r>
          </w:p>
        </w:tc>
        <w:tc>
          <w:tcPr>
            <w:tcW w:type="dxa" w:w="4730"/>
          </w:tcPr>
          <w:p>
            <w:pPr>
              <w:spacing w:after="20"/>
              <w:jc w:val="right"/>
            </w:pPr>
            <w:r>
              <w:rPr>
                <w:rFonts w:ascii="Calibri" w:hAnsi="Calibri"/>
                <w:color w:val="4A5568"/>
                <w:sz w:val="16"/>
              </w:rPr>
              <w:t>The Mirage Tower, Mezzanine 2</w:t>
              <w:br/>
            </w:r>
            <w:r>
              <w:rPr>
                <w:rFonts w:ascii="Calibri" w:hAnsi="Calibri"/>
                <w:color w:val="4A5568"/>
                <w:sz w:val="16"/>
              </w:rPr>
              <w:t>Chiromo Road, Westlands, Nairobi</w:t>
              <w:br/>
            </w:r>
            <w:r>
              <w:rPr>
                <w:rFonts w:ascii="Calibri" w:hAnsi="Calibri"/>
                <w:color w:val="4A5568"/>
                <w:sz w:val="16"/>
              </w:rPr>
              <w:t>Republic of Kenya · P.O. Box 45210-00100</w:t>
              <w:br/>
            </w:r>
            <w:r>
              <w:rPr>
                <w:rFonts w:ascii="Calibri" w:hAnsi="Calibri"/>
                <w:color w:val="4A5568"/>
                <w:sz w:val="16"/>
              </w:rPr>
              <w:t>legal@kabuor.com · www.kabuor.com</w:t>
              <w:br/>
            </w:r>
          </w:p>
        </w:tc>
      </w:tr>
    </w:tbl>
    <w:p>
      <w:pPr>
        <w:spacing w:before="80" w:after="240"/>
        <w:pBdr>
          <w:bottom w:val="single" w:sz="12" w:space="1" w:color="0A2540"/>
        </w:pBdr>
      </w:pPr>
    </w:p>
    <w:tbl>
      <w:tblPr>
        <w:tblW w:type="auto" w:w="0"/>
        <w:jc w:val="center"/>
        <w:tblLook w:firstColumn="1" w:firstRow="1" w:lastColumn="0" w:lastRow="0" w:noHBand="0" w:noVBand="1" w:val="04A0"/>
      </w:tblPr>
      <w:tblGrid>
        <w:gridCol w:w="6048"/>
        <w:gridCol w:w="3413"/>
      </w:tblGrid>
      <w:tr>
        <w:tc>
          <w:tcPr>
            <w:tcW w:type="dxa" w:w="4730"/>
          </w:tcPr>
          <w:p>
            <w:pPr>
              <w:spacing w:after="0"/>
            </w:pPr>
            <w:r>
              <w:rPr>
                <w:b/>
                <w:color w:val="0A2540"/>
                <w:sz w:val="18"/>
              </w:rPr>
              <w:t>REF: KAB-LEG-NDA-2026</w:t>
              <w:br/>
            </w:r>
            <w:r>
              <w:rPr>
                <w:color w:val="4A5568"/>
                <w:sz w:val="17"/>
              </w:rPr>
              <w:t>CLASSIFICATION: LEGAL &amp; PROPRIETARY INFORMATION AGREEMENT</w:t>
            </w:r>
          </w:p>
        </w:tc>
        <w:tc>
          <w:tcPr>
            <w:tcW w:type="dxa" w:w="4730"/>
          </w:tcPr>
          <w:p>
            <w:pPr>
              <w:spacing w:after="0"/>
              <w:jc w:val="right"/>
            </w:pPr>
            <w:r>
              <w:rPr>
                <w:color w:val="1A202C"/>
                <w:sz w:val="18"/>
              </w:rPr>
              <w:t>DATE: [Insert Date, e.g., 25th October 2026]</w:t>
              <w:br/>
            </w:r>
            <w:r>
              <w:rPr>
                <w:color w:val="4A5568"/>
                <w:sz w:val="17"/>
              </w:rPr>
              <w:t>JURISDICTION: Republic of Kenya</w:t>
            </w:r>
          </w:p>
        </w:tc>
      </w:tr>
    </w:tbl>
    <w:p>
      <w:pPr>
        <w:spacing w:after="120"/>
      </w:pPr>
    </w:p>
    <w:p>
      <w:pPr>
        <w:jc w:val="center"/>
      </w:pPr>
      <w:r>
        <w:rPr>
          <w:rFonts w:ascii="Georgia" w:hAnsi="Georgia"/>
          <w:b/>
          <w:color w:val="0A2540"/>
          <w:sz w:val="26"/>
        </w:rPr>
        <w:t>MUTUAL NON-DISCLOSURE AND INTELLECTUAL PROPERTY AGREEMENT</w:t>
      </w:r>
    </w:p>
    <w:p>
      <w:pPr>
        <w:spacing w:before="0" w:after="120" w:line="276" w:lineRule="auto"/>
      </w:pPr>
      <w:r>
        <w:rPr>
          <w:rFonts w:ascii="Calibri" w:hAnsi="Calibri"/>
          <w:b/>
          <w:color w:val="1A202C"/>
          <w:sz w:val="20"/>
        </w:rPr>
        <w:t xml:space="preserve">PREAMBLE: </w:t>
      </w:r>
      <w:r>
        <w:rPr>
          <w:rFonts w:ascii="Calibri" w:hAnsi="Calibri"/>
          <w:color w:val="1A202C"/>
          <w:sz w:val="20"/>
        </w:rPr>
        <w:t>This Mutual Non-Disclosure and Proprietary Information Agreement (the "Agreement") is entered into as of the date written below by and between:</w:t>
      </w:r>
    </w:p>
    <w:p>
      <w:pPr>
        <w:pStyle w:val="ListBullet"/>
        <w:spacing w:before="0" w:after="60" w:line="269" w:lineRule="auto"/>
      </w:pPr>
      <w:r>
        <w:rPr>
          <w:rFonts w:ascii="Calibri" w:hAnsi="Calibri"/>
          <w:b/>
          <w:color w:val="1A202C"/>
          <w:sz w:val="19"/>
        </w:rPr>
        <w:t xml:space="preserve">Party 1: </w:t>
      </w:r>
      <w:r>
        <w:rPr>
          <w:rFonts w:ascii="Calibri" w:hAnsi="Calibri"/>
          <w:color w:val="1A202C"/>
          <w:sz w:val="19"/>
        </w:rPr>
        <w:t>KABUOR BUILDS LIMITED, a company incorporated under the Companies Act of the Republic of Kenya, having its principal office at The Mirage Tower, Chiromo Road, Westlands, Nairobi, Kenya ("Disclosing Party" / "Company"); and</w:t>
      </w:r>
    </w:p>
    <w:p>
      <w:pPr>
        <w:pStyle w:val="ListBullet"/>
        <w:spacing w:before="0" w:after="60" w:line="269" w:lineRule="auto"/>
      </w:pPr>
      <w:r>
        <w:rPr>
          <w:rFonts w:ascii="Calibri" w:hAnsi="Calibri"/>
          <w:b/>
          <w:color w:val="1A202C"/>
          <w:sz w:val="19"/>
        </w:rPr>
        <w:t xml:space="preserve">Party 2: </w:t>
      </w:r>
      <w:r>
        <w:rPr>
          <w:rFonts w:ascii="Calibri" w:hAnsi="Calibri"/>
          <w:color w:val="1A202C"/>
          <w:sz w:val="19"/>
        </w:rPr>
        <w:t>[Insert Full Legal Name], residing at [Insert Address / City], holder of Kenyan National ID / Passport No. [Insert Number] ("Receiving Party" / "Prospective Partner / Candidate").</w:t>
      </w:r>
    </w:p>
    <w:p>
      <w:pPr>
        <w:spacing w:before="0" w:after="120" w:line="276" w:lineRule="auto"/>
      </w:pPr>
      <w:r>
        <w:rPr>
          <w:rFonts w:ascii="Calibri" w:hAnsi="Calibri"/>
          <w:color w:val="1A202C"/>
          <w:sz w:val="20"/>
        </w:rPr>
        <w:t>The Company and the Receiving Party are collectively referred to as the "Parties" and individually as a "Party".</w:t>
      </w:r>
    </w:p>
    <w:p>
      <w:pPr>
        <w:keepNext/>
        <w:spacing w:before="280" w:after="120"/>
        <w:pBdr>
          <w:bottom w:val="single" w:sz="6" w:space="2" w:color="E2E8F0"/>
        </w:pBdr>
      </w:pPr>
      <w:r>
        <w:rPr>
          <w:rFonts w:ascii="Georgia" w:hAnsi="Georgia"/>
          <w:b/>
          <w:color w:val="0A2540"/>
          <w:sz w:val="25"/>
        </w:rPr>
        <w:t>1. Purpose of Disclosure</w:t>
      </w:r>
    </w:p>
    <w:p>
      <w:pPr>
        <w:spacing w:before="0" w:after="120" w:line="276" w:lineRule="auto"/>
      </w:pPr>
      <w:r>
        <w:rPr>
          <w:rFonts w:ascii="Calibri" w:hAnsi="Calibri"/>
          <w:color w:val="1A202C"/>
          <w:sz w:val="20"/>
        </w:rPr>
        <w:t>The Parties intend to engage in highly sensitive discussions concerning potential employment, executive co-founding, advisory roles, strategic partnerships, and technical collaboration regarding Kabuor ERP—the financial operating system and cloud ERP developed by Kabuor Builds Limited (the "Permitted Purpose").</w:t>
      </w:r>
    </w:p>
    <w:p>
      <w:pPr>
        <w:keepNext/>
        <w:spacing w:before="280" w:after="120"/>
        <w:pBdr>
          <w:bottom w:val="single" w:sz="6" w:space="2" w:color="E2E8F0"/>
        </w:pBdr>
      </w:pPr>
      <w:r>
        <w:rPr>
          <w:rFonts w:ascii="Georgia" w:hAnsi="Georgia"/>
          <w:b/>
          <w:color w:val="0A2540"/>
          <w:sz w:val="25"/>
        </w:rPr>
        <w:t>2. Definition of Confidential Information</w:t>
      </w:r>
    </w:p>
    <w:p>
      <w:pPr>
        <w:spacing w:before="0" w:after="120" w:line="276" w:lineRule="auto"/>
      </w:pPr>
      <w:r>
        <w:rPr>
          <w:rFonts w:ascii="Calibri" w:hAnsi="Calibri"/>
          <w:color w:val="1A202C"/>
          <w:sz w:val="20"/>
        </w:rPr>
        <w:t>"Confidential Information" encompasses all technical, business, financial, operational, and architectural data disclosed by the Company to the Receiving Party, whether oral, written, electronic, or visual, including but not limited to:</w:t>
      </w:r>
    </w:p>
    <w:p>
      <w:pPr>
        <w:pStyle w:val="ListBullet"/>
        <w:spacing w:before="0" w:after="60" w:line="269" w:lineRule="auto"/>
      </w:pPr>
      <w:r>
        <w:rPr>
          <w:rFonts w:ascii="Calibri" w:hAnsi="Calibri"/>
          <w:b/>
          <w:color w:val="1A202C"/>
          <w:sz w:val="19"/>
        </w:rPr>
        <w:t xml:space="preserve">Source Code &amp; Architecture: </w:t>
      </w:r>
      <w:r>
        <w:rPr>
          <w:rFonts w:ascii="Calibri" w:hAnsi="Calibri"/>
          <w:color w:val="1A202C"/>
          <w:sz w:val="19"/>
        </w:rPr>
        <w:t>Proprietary source code, modular monolith architecture, Entity Framework Core schemas, and SQLite/PostgreSQL synchronization protocols (.NET 10 &amp; React 19).</w:t>
      </w:r>
    </w:p>
    <w:p>
      <w:pPr>
        <w:pStyle w:val="ListBullet"/>
        <w:spacing w:before="0" w:after="60" w:line="269" w:lineRule="auto"/>
      </w:pPr>
      <w:r>
        <w:rPr>
          <w:rFonts w:ascii="Calibri" w:hAnsi="Calibri"/>
          <w:b/>
          <w:color w:val="1A202C"/>
          <w:sz w:val="19"/>
        </w:rPr>
        <w:t xml:space="preserve">Concurrency Algorithms: </w:t>
      </w:r>
      <w:r>
        <w:rPr>
          <w:rFonts w:ascii="Calibri" w:hAnsi="Calibri"/>
          <w:color w:val="1A202C"/>
          <w:sz w:val="19"/>
        </w:rPr>
        <w:t>The SequenceGate concurrency control arbiter, in-memory sequence caches, and optimistic locking mechanisms.</w:t>
      </w:r>
    </w:p>
    <w:p>
      <w:pPr>
        <w:pStyle w:val="ListBullet"/>
        <w:spacing w:before="0" w:after="60" w:line="269" w:lineRule="auto"/>
      </w:pPr>
      <w:r>
        <w:rPr>
          <w:rFonts w:ascii="Calibri" w:hAnsi="Calibri"/>
          <w:b/>
          <w:color w:val="1A202C"/>
          <w:sz w:val="19"/>
        </w:rPr>
        <w:t xml:space="preserve">Fiscal Integrations: </w:t>
      </w:r>
      <w:r>
        <w:rPr>
          <w:rFonts w:ascii="Calibri" w:hAnsi="Calibri"/>
          <w:color w:val="1A202C"/>
          <w:sz w:val="19"/>
        </w:rPr>
        <w:t>Real-time cryptographic eTIMS OSCU/VSCU signing pipelines, control number generation, and KRA protocol adapters.</w:t>
      </w:r>
    </w:p>
    <w:p>
      <w:pPr>
        <w:pStyle w:val="ListBullet"/>
        <w:spacing w:before="0" w:after="60" w:line="269" w:lineRule="auto"/>
      </w:pPr>
      <w:r>
        <w:rPr>
          <w:rFonts w:ascii="Calibri" w:hAnsi="Calibri"/>
          <w:b/>
          <w:color w:val="1A202C"/>
          <w:sz w:val="19"/>
        </w:rPr>
        <w:t xml:space="preserve">Fintech &amp; Payment Rails: </w:t>
      </w:r>
      <w:r>
        <w:rPr>
          <w:rFonts w:ascii="Calibri" w:hAnsi="Calibri"/>
          <w:color w:val="1A202C"/>
          <w:sz w:val="19"/>
        </w:rPr>
        <w:t>Safaricom Daraja M-Pesa C2B/B2C webhook handlers, STK push orchestration, and settlement routing architecture.</w:t>
      </w:r>
    </w:p>
    <w:p>
      <w:pPr>
        <w:pStyle w:val="ListBullet"/>
        <w:spacing w:before="0" w:after="60" w:line="269" w:lineRule="auto"/>
      </w:pPr>
      <w:r>
        <w:rPr>
          <w:rFonts w:ascii="Calibri" w:hAnsi="Calibri"/>
          <w:b/>
          <w:color w:val="1A202C"/>
          <w:sz w:val="19"/>
        </w:rPr>
        <w:t xml:space="preserve">Commercial Data: </w:t>
      </w:r>
      <w:r>
        <w:rPr>
          <w:rFonts w:ascii="Calibri" w:hAnsi="Calibri"/>
          <w:color w:val="1A202C"/>
          <w:sz w:val="19"/>
        </w:rPr>
        <w:t>Financial models, customer pipeline data, merchant take-rate economics, Series A valuation benchmarks, and VDR documents.</w:t>
      </w:r>
    </w:p>
    <w:p>
      <w:pPr>
        <w:keepNext/>
        <w:spacing w:before="280" w:after="120"/>
        <w:pBdr>
          <w:bottom w:val="single" w:sz="6" w:space="2" w:color="E2E8F0"/>
        </w:pBdr>
      </w:pPr>
      <w:r>
        <w:rPr>
          <w:rFonts w:ascii="Georgia" w:hAnsi="Georgia"/>
          <w:b/>
          <w:color w:val="0A2540"/>
          <w:sz w:val="25"/>
        </w:rPr>
        <w:t>3. Obligations of Confidentiality &amp; Non-Use</w:t>
      </w:r>
    </w:p>
    <w:p>
      <w:pPr>
        <w:spacing w:before="0" w:after="120" w:line="276" w:lineRule="auto"/>
      </w:pPr>
      <w:r>
        <w:rPr>
          <w:rFonts w:ascii="Calibri" w:hAnsi="Calibri"/>
          <w:color w:val="1A202C"/>
          <w:sz w:val="20"/>
        </w:rPr>
        <w:t>The Receiving Party agrees to maintain the strictest confidentiality regarding the Disclosing Party's Confidential Information and specifically covenants that it shall:</w:t>
      </w:r>
    </w:p>
    <w:p>
      <w:pPr>
        <w:pStyle w:val="ListBullet"/>
        <w:spacing w:before="0" w:after="60" w:line="269" w:lineRule="auto"/>
      </w:pPr>
      <w:r>
        <w:rPr>
          <w:rFonts w:ascii="Calibri" w:hAnsi="Calibri"/>
          <w:b/>
          <w:color w:val="1A202C"/>
          <w:sz w:val="19"/>
        </w:rPr>
        <w:t xml:space="preserve">Strict Purpose Limitation: </w:t>
      </w:r>
      <w:r>
        <w:rPr>
          <w:rFonts w:ascii="Calibri" w:hAnsi="Calibri"/>
          <w:color w:val="1A202C"/>
          <w:sz w:val="19"/>
        </w:rPr>
        <w:t>Use the Confidential Information solely and exclusively for the Permitted Purpose.</w:t>
      </w:r>
    </w:p>
    <w:p>
      <w:pPr>
        <w:pStyle w:val="ListBullet"/>
        <w:spacing w:before="0" w:after="60" w:line="269" w:lineRule="auto"/>
      </w:pPr>
      <w:r>
        <w:rPr>
          <w:rFonts w:ascii="Calibri" w:hAnsi="Calibri"/>
          <w:b/>
          <w:color w:val="1A202C"/>
          <w:sz w:val="19"/>
        </w:rPr>
        <w:t xml:space="preserve">Standard of Care: </w:t>
      </w:r>
      <w:r>
        <w:rPr>
          <w:rFonts w:ascii="Calibri" w:hAnsi="Calibri"/>
          <w:color w:val="1A202C"/>
          <w:sz w:val="19"/>
        </w:rPr>
        <w:t>Apply no less than a reasonable degree of care, and at least the same degree of care it uses to protect its own highly confidential assets.</w:t>
      </w:r>
    </w:p>
    <w:p>
      <w:pPr>
        <w:pStyle w:val="ListBullet"/>
        <w:spacing w:before="0" w:after="60" w:line="269" w:lineRule="auto"/>
      </w:pPr>
      <w:r>
        <w:rPr>
          <w:rFonts w:ascii="Calibri" w:hAnsi="Calibri"/>
          <w:b/>
          <w:color w:val="1A202C"/>
          <w:sz w:val="19"/>
        </w:rPr>
        <w:t xml:space="preserve">Non-Circumvention: </w:t>
      </w:r>
      <w:r>
        <w:rPr>
          <w:rFonts w:ascii="Calibri" w:hAnsi="Calibri"/>
          <w:color w:val="1A202C"/>
          <w:sz w:val="19"/>
        </w:rPr>
        <w:t>Not disclose, publish, duplicate, decompile, reverse-engineer, or transmit any Confidential Information to third parties without prior written consent.</w:t>
      </w:r>
    </w:p>
    <w:p>
      <w:pPr>
        <w:pStyle w:val="ListBullet"/>
        <w:spacing w:before="0" w:after="60" w:line="269" w:lineRule="auto"/>
      </w:pPr>
      <w:r>
        <w:rPr>
          <w:rFonts w:ascii="Calibri" w:hAnsi="Calibri"/>
          <w:b/>
          <w:color w:val="1A202C"/>
          <w:sz w:val="19"/>
        </w:rPr>
        <w:t xml:space="preserve">Data Protection Act: </w:t>
      </w:r>
      <w:r>
        <w:rPr>
          <w:rFonts w:ascii="Calibri" w:hAnsi="Calibri"/>
          <w:color w:val="1A202C"/>
          <w:sz w:val="19"/>
        </w:rPr>
        <w:t>Comply with the Kenya Data Protection Act, 2019 regarding any customer, merchant, or employee personal data encountered.</w:t>
      </w:r>
    </w:p>
    <w:p>
      <w:pPr>
        <w:keepNext/>
        <w:spacing w:before="280" w:after="120"/>
        <w:pBdr>
          <w:bottom w:val="single" w:sz="6" w:space="2" w:color="E2E8F0"/>
        </w:pBdr>
      </w:pPr>
      <w:r>
        <w:rPr>
          <w:rFonts w:ascii="Georgia" w:hAnsi="Georgia"/>
          <w:b/>
          <w:color w:val="0A2540"/>
          <w:sz w:val="25"/>
        </w:rPr>
        <w:t>4. Intellectual Property &amp; Inventions</w:t>
      </w:r>
    </w:p>
    <w:p>
      <w:pPr>
        <w:spacing w:before="0" w:after="120" w:line="276" w:lineRule="auto"/>
      </w:pPr>
      <w:r>
        <w:rPr>
          <w:rFonts w:ascii="Calibri" w:hAnsi="Calibri"/>
          <w:color w:val="1A202C"/>
          <w:sz w:val="20"/>
        </w:rPr>
        <w:t>All right, title, and interest in and to any intellectual property, software, documentation, trade secrets, trademarks, patents, and technical discoveries concerning Kabuor ERP remain the sole, absolute, and exclusive property of Kabuor Builds Limited. Nothing in this Agreement grants the Receiving Party any license, right, or title to the Company's IP.</w:t>
      </w:r>
    </w:p>
    <w:p>
      <w:pPr>
        <w:keepNext/>
        <w:spacing w:before="280" w:after="120"/>
        <w:pBdr>
          <w:bottom w:val="single" w:sz="6" w:space="2" w:color="E2E8F0"/>
        </w:pBdr>
      </w:pPr>
      <w:r>
        <w:rPr>
          <w:rFonts w:ascii="Georgia" w:hAnsi="Georgia"/>
          <w:b/>
          <w:color w:val="0A2540"/>
          <w:sz w:val="25"/>
        </w:rPr>
        <w:t>5. Term, Return of Materials &amp; Remedies</w:t>
      </w:r>
    </w:p>
    <w:p>
      <w:pPr>
        <w:spacing w:before="0" w:after="120" w:line="276" w:lineRule="auto"/>
      </w:pPr>
      <w:r>
        <w:rPr>
          <w:rFonts w:ascii="Calibri" w:hAnsi="Calibri"/>
          <w:color w:val="1A202C"/>
          <w:sz w:val="20"/>
        </w:rPr>
        <w:t>This Agreement shall remain in force for a period of three (3) years from the date of execution. Upon written request, the Receiving Party shall immediately destroy or return all materials, notes, electronic files, and code repositories containing Confidential Information.</w:t>
      </w:r>
    </w:p>
    <w:p>
      <w:pPr>
        <w:spacing w:before="0" w:after="120" w:line="276" w:lineRule="auto"/>
      </w:pPr>
      <w:r>
        <w:rPr>
          <w:rFonts w:ascii="Calibri" w:hAnsi="Calibri"/>
          <w:color w:val="1A202C"/>
          <w:sz w:val="20"/>
        </w:rPr>
        <w:t>The Receiving Party acknowledges that any breach of this Agreement would cause irreparable harm to the Company for which monetary damages alone would be inadequate, and the Company shall be entitled to seek injunctive relief before the High Court of Kenya without posting bond.</w:t>
      </w:r>
    </w:p>
    <w:p>
      <w:pPr>
        <w:keepNext/>
        <w:spacing w:before="280" w:after="120"/>
        <w:pBdr>
          <w:bottom w:val="single" w:sz="6" w:space="2" w:color="E2E8F0"/>
        </w:pBdr>
      </w:pPr>
      <w:r>
        <w:rPr>
          <w:rFonts w:ascii="Georgia" w:hAnsi="Georgia"/>
          <w:b/>
          <w:color w:val="0A2540"/>
          <w:sz w:val="25"/>
        </w:rPr>
        <w:t>6. Governing Law &amp; Dispute Resolution</w:t>
      </w:r>
    </w:p>
    <w:p>
      <w:pPr>
        <w:spacing w:before="0" w:after="120" w:line="276" w:lineRule="auto"/>
      </w:pPr>
      <w:r>
        <w:rPr>
          <w:rFonts w:ascii="Calibri" w:hAnsi="Calibri"/>
          <w:color w:val="1A202C"/>
          <w:sz w:val="20"/>
        </w:rPr>
        <w:t>This Agreement shall be governed by and construed in accordance with the laws of the Republic of Kenya. Any dispute arising out of or in connection with this Agreement shall be referred to arbitration in Nairobi under the Arbitration Act, 1995, before a single arbitrator appointed by the Chartered Institute of Arbitrators (Kenya Branch).</w:t>
      </w:r>
    </w:p>
    <w:p>
      <w:pPr>
        <w:spacing w:before="240" w:after="80"/>
      </w:pPr>
    </w:p>
    <w:tbl>
      <w:tblPr>
        <w:tblW w:type="auto" w:w="0"/>
        <w:jc w:val="center"/>
        <w:tblLook w:firstColumn="1" w:firstRow="1" w:lastColumn="0" w:lastRow="0" w:noHBand="0" w:noVBand="1" w:val="04A0"/>
      </w:tblPr>
      <w:tblGrid>
        <w:gridCol w:w="4752"/>
        <w:gridCol w:w="4752"/>
      </w:tblGrid>
      <w:tr>
        <w:tc>
          <w:tcPr>
            <w:tcW w:type="dxa" w:w="4730"/>
          </w:tcPr>
          <w:p>
            <w:pPr>
              <w:spacing w:after="40"/>
            </w:pPr>
            <w:r>
              <w:rPr>
                <w:b/>
              </w:rPr>
              <w:t>FOR: KABUOR BUILDS LIMITED</w:t>
              <w:br/>
              <w:br/>
              <w:br/>
            </w:r>
            <w:r>
              <w:t>_________________________________________</w:t>
              <w:br/>
            </w:r>
            <w:r>
              <w:rPr>
                <w:b/>
              </w:rPr>
              <w:t>Rooney Odhiambo Kabuor</w:t>
              <w:br/>
            </w:r>
            <w:r>
              <w:t>Founder &amp; Chief Executive Officer</w:t>
              <w:br/>
              <w:t>Date: ___________________________________</w:t>
            </w:r>
          </w:p>
        </w:tc>
        <w:tc>
          <w:tcPr>
            <w:tcW w:type="dxa" w:w="4730"/>
          </w:tcPr>
          <w:p>
            <w:pPr>
              <w:spacing w:after="40"/>
            </w:pPr>
            <w:r>
              <w:rPr>
                <w:b/>
              </w:rPr>
              <w:t>ACCEPTED &amp; AGREED:</w:t>
              <w:br/>
              <w:br/>
              <w:br/>
            </w:r>
            <w:r>
              <w:t>_________________________________________</w:t>
              <w:br/>
            </w:r>
            <w:r>
              <w:rPr>
                <w:b/>
              </w:rPr>
              <w:t>[Candidate / Partner Name]</w:t>
              <w:br/>
            </w:r>
            <w:r>
              <w:t>Prospective Founding Executive / Partner</w:t>
              <w:br/>
              <w:t>Date: ___________________________________</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