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KAB-HR-OFF-BRAND-008</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CONTENT, SOCIAL &amp; BRAND MARKETING LEAD</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Content, Social &amp; Brand Marketing Lead. Following our extensive discussions regarding Kabuor ERP and the scaling of our compound financial operating system across East Africa, we are convinced that your leadership, domain expertise, and entrepreneurial drive make you the ideal executive to lead our Growth &amp; Marketing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Content, Social &amp; Brand Marketing Lead</w:t>
      </w:r>
    </w:p>
    <w:p>
      <w:pPr>
        <w:spacing w:before="0" w:after="120" w:line="276" w:lineRule="auto"/>
      </w:pPr>
      <w:r>
        <w:rPr>
          <w:rFonts w:ascii="Calibri" w:hAnsi="Calibri"/>
          <w:b/>
          <w:color w:val="1A202C"/>
          <w:sz w:val="20"/>
        </w:rPr>
        <w:t xml:space="preserve">Organizational Pod: </w:t>
      </w:r>
      <w:r>
        <w:rPr>
          <w:rFonts w:ascii="Calibri" w:hAnsi="Calibri"/>
          <w:color w:val="1A202C"/>
          <w:sz w:val="20"/>
        </w:rPr>
        <w:t>Growth &amp; Marketing Pod</w:t>
      </w:r>
    </w:p>
    <w:p>
      <w:pPr>
        <w:spacing w:before="0" w:after="120" w:line="276" w:lineRule="auto"/>
      </w:pPr>
      <w:r>
        <w:rPr>
          <w:rFonts w:ascii="Calibri" w:hAnsi="Calibri"/>
          <w:b/>
          <w:color w:val="1A202C"/>
          <w:sz w:val="20"/>
        </w:rPr>
        <w:t xml:space="preserve">Reporting Line: </w:t>
      </w:r>
      <w:r>
        <w:rPr>
          <w:rFonts w:ascii="Calibri" w:hAnsi="Calibri"/>
          <w:color w:val="1A202C"/>
          <w:sz w:val="20"/>
        </w:rPr>
        <w:t>Head of Growth &amp; Marketing</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Establish Kabuor ERP as the most recognizable, trusted SME brand in Kenya through authentic storytelling, merchant video case studies, TikTok/WhatsApp campaigns, and high-energy content.</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Grow Kabuor ERP's TikTok, YouTube, and LinkedIn channels past 500,000 monthly organic video impressions.</w:t>
      </w:r>
    </w:p>
    <w:p>
      <w:pPr>
        <w:pStyle w:val="ListBullet"/>
        <w:spacing w:before="0" w:after="60" w:line="269" w:lineRule="auto"/>
      </w:pPr>
      <w:r>
        <w:rPr>
          <w:rFonts w:ascii="Calibri" w:hAnsi="Calibri"/>
          <w:color w:val="1A202C"/>
          <w:sz w:val="19"/>
        </w:rPr>
        <w:t>Produce 4 weekly merchant spotlight videos across wholesale, retail, and manufacturing sectors (in English &amp; Sheng).</w:t>
      </w:r>
    </w:p>
    <w:p>
      <w:pPr>
        <w:pStyle w:val="ListBullet"/>
        <w:spacing w:before="0" w:after="60" w:line="269" w:lineRule="auto"/>
      </w:pPr>
      <w:r>
        <w:rPr>
          <w:rFonts w:ascii="Calibri" w:hAnsi="Calibri"/>
          <w:color w:val="1A202C"/>
          <w:sz w:val="19"/>
        </w:rPr>
        <w:t>Demystify KRA eTIMS tax compliance and M-Pesa automated billing through viral educational content.</w:t>
      </w:r>
    </w:p>
    <w:p>
      <w:pPr>
        <w:pStyle w:val="ListBullet"/>
        <w:spacing w:before="0" w:after="60" w:line="269" w:lineRule="auto"/>
      </w:pPr>
      <w:r>
        <w:rPr>
          <w:rFonts w:ascii="Calibri" w:hAnsi="Calibri"/>
          <w:color w:val="1A202C"/>
          <w:sz w:val="19"/>
        </w:rPr>
        <w:t>Own the brand voice, event collateral, and merchant customer story library.</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140,000 – KSh 200,000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25% annual performance bonus tied to organic reach, video views, and brand search volume</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0.5% – 1.0%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Content, Social &amp; Brand Marketing Lead</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