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KAB-HR-OFF-MKT-006</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HEAD OF GROWTH &amp; PERFORMANCE MARKETING</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Head of Growth &amp; Performance Marketing. Following our extensive discussions regarding Kabuor ERP and the scaling of our compound financial operating system across East Africa, we are convinced that your leadership, domain expertise, and entrepreneurial drive make you the ideal executive to lead our Growth &amp; Marketing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Head of Growth &amp; Performance Marketing</w:t>
      </w:r>
    </w:p>
    <w:p>
      <w:pPr>
        <w:spacing w:before="0" w:after="120" w:line="276" w:lineRule="auto"/>
      </w:pPr>
      <w:r>
        <w:rPr>
          <w:rFonts w:ascii="Calibri" w:hAnsi="Calibri"/>
          <w:b/>
          <w:color w:val="1A202C"/>
          <w:sz w:val="20"/>
        </w:rPr>
        <w:t xml:space="preserve">Organizational Pod: </w:t>
      </w:r>
      <w:r>
        <w:rPr>
          <w:rFonts w:ascii="Calibri" w:hAnsi="Calibri"/>
          <w:color w:val="1A202C"/>
          <w:sz w:val="20"/>
        </w:rPr>
        <w:t>Growth &amp; Marketing Pod</w:t>
      </w:r>
    </w:p>
    <w:p>
      <w:pPr>
        <w:spacing w:before="0" w:after="120" w:line="276" w:lineRule="auto"/>
      </w:pPr>
      <w:r>
        <w:rPr>
          <w:rFonts w:ascii="Calibri" w:hAnsi="Calibri"/>
          <w:b/>
          <w:color w:val="1A202C"/>
          <w:sz w:val="20"/>
        </w:rPr>
        <w:t xml:space="preserve">Reporting Line: </w:t>
      </w:r>
      <w:r>
        <w:rPr>
          <w:rFonts w:ascii="Calibri" w:hAnsi="Calibri"/>
          <w:color w:val="1A202C"/>
          <w:sz w:val="20"/>
        </w:rPr>
        <w:t>Founder &amp; Chief Executive Officer (Rooney Odhiambo Kabuor)</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Architect and lead Kabuor ERP's multi-channel growth engine: viral receipt loops, trade corridor blitzes, digital performance, and partner affiliate channels to acquire 10,000+ merchants.</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Scale active merchant subscriber base from 250 to 5,000 paying businesses within 18 months.</w:t>
      </w:r>
    </w:p>
    <w:p>
      <w:pPr>
        <w:pStyle w:val="ListBullet"/>
        <w:spacing w:before="0" w:after="60" w:line="269" w:lineRule="auto"/>
      </w:pPr>
      <w:r>
        <w:rPr>
          <w:rFonts w:ascii="Calibri" w:hAnsi="Calibri"/>
          <w:color w:val="1A202C"/>
          <w:sz w:val="19"/>
        </w:rPr>
        <w:t>Maintain Blended Customer Acquisition Cost (CAC) under KSh 2,500 with CAC Payback under 5 months.</w:t>
      </w:r>
    </w:p>
    <w:p>
      <w:pPr>
        <w:pStyle w:val="ListBullet"/>
        <w:spacing w:before="0" w:after="60" w:line="269" w:lineRule="auto"/>
      </w:pPr>
      <w:r>
        <w:rPr>
          <w:rFonts w:ascii="Calibri" w:hAnsi="Calibri"/>
          <w:color w:val="1A202C"/>
          <w:sz w:val="19"/>
        </w:rPr>
        <w:t>Optimize the 'Powered by Kabuor ERP' viral receipt loop to achieve a viral K-factor above 0.35.</w:t>
      </w:r>
    </w:p>
    <w:p>
      <w:pPr>
        <w:pStyle w:val="ListBullet"/>
        <w:spacing w:before="0" w:after="60" w:line="269" w:lineRule="auto"/>
      </w:pPr>
      <w:r>
        <w:rPr>
          <w:rFonts w:ascii="Calibri" w:hAnsi="Calibri"/>
          <w:color w:val="1A202C"/>
          <w:sz w:val="19"/>
        </w:rPr>
        <w:t>Manage and deploy growth marketing budget across trade activations, digital funnels, and referral channels.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250,000 – KSh 360,000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35% annual performance bonus tied to CAC (&lt; KSh 2,500) and Monthly Recurring Revenue growth</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1.5% – 2.5%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Head of Growth &amp; Performance Marketing</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