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KAB-HR-OFF-TAX-003</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HEAD OF TAX COMPLIANCE &amp; ETIMS ARCHITECTURE</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Head of Tax Compliance &amp; eTIMS Architecture. Following our extensive discussions regarding Kabuor ERP and the scaling of our compound financial operating system across East Africa, we are convinced that your leadership, domain expertise, and entrepreneurial drive make you the ideal executive to lead our Regulatory, Fiscal &amp; Fintech Integrations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Head of Tax Compliance &amp; eTIMS Architecture</w:t>
      </w:r>
    </w:p>
    <w:p>
      <w:pPr>
        <w:spacing w:before="0" w:after="120" w:line="276" w:lineRule="auto"/>
      </w:pPr>
      <w:r>
        <w:rPr>
          <w:rFonts w:ascii="Calibri" w:hAnsi="Calibri"/>
          <w:b/>
          <w:color w:val="1A202C"/>
          <w:sz w:val="20"/>
        </w:rPr>
        <w:t xml:space="preserve">Organizational Pod: </w:t>
      </w:r>
      <w:r>
        <w:rPr>
          <w:rFonts w:ascii="Calibri" w:hAnsi="Calibri"/>
          <w:color w:val="1A202C"/>
          <w:sz w:val="20"/>
        </w:rPr>
        <w:t>Regulatory, Fiscal &amp; Fintech Integrations Pod</w:t>
      </w:r>
    </w:p>
    <w:p>
      <w:pPr>
        <w:spacing w:before="0" w:after="120" w:line="276" w:lineRule="auto"/>
      </w:pPr>
      <w:r>
        <w:rPr>
          <w:rFonts w:ascii="Calibri" w:hAnsi="Calibri"/>
          <w:b/>
          <w:color w:val="1A202C"/>
          <w:sz w:val="20"/>
        </w:rPr>
        <w:t xml:space="preserve">Reporting Line: </w:t>
      </w:r>
      <w:r>
        <w:rPr>
          <w:rFonts w:ascii="Calibri" w:hAnsi="Calibri"/>
          <w:color w:val="1A202C"/>
          <w:sz w:val="20"/>
        </w:rPr>
        <w:t>Founder &amp; Chief Executive Officer (Rooney Odhiambo Kabuor)</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Maintain an unassailable regulatory moat by leading native integration with the Kenya Revenue Authority (KRA eTIMS), statutory payroll authorities, and public fiscal standards.</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Maintain 100% cryptographic compliance with KRA eTIMS OSCU and VSCU real-time signing specifications.</w:t>
      </w:r>
    </w:p>
    <w:p>
      <w:pPr>
        <w:pStyle w:val="ListBullet"/>
        <w:spacing w:before="0" w:after="60" w:line="269" w:lineRule="auto"/>
      </w:pPr>
      <w:r>
        <w:rPr>
          <w:rFonts w:ascii="Calibri" w:hAnsi="Calibri"/>
          <w:color w:val="1A202C"/>
          <w:sz w:val="19"/>
        </w:rPr>
        <w:t>Ensure annual statutory payroll rule updates (PAYE, NSSF Tier I/II, SHIF 2.75%, Housing Levy) are automated seamlessly.</w:t>
      </w:r>
    </w:p>
    <w:p>
      <w:pPr>
        <w:pStyle w:val="ListBullet"/>
        <w:spacing w:before="0" w:after="60" w:line="269" w:lineRule="auto"/>
      </w:pPr>
      <w:r>
        <w:rPr>
          <w:rFonts w:ascii="Calibri" w:hAnsi="Calibri"/>
          <w:color w:val="1A202C"/>
          <w:sz w:val="19"/>
        </w:rPr>
        <w:t>Lead technical certification and regulatory interface with KRA officials and ICPAK accounting bodies.</w:t>
      </w:r>
    </w:p>
    <w:p>
      <w:pPr>
        <w:pStyle w:val="ListBullet"/>
        <w:spacing w:before="0" w:after="60" w:line="269" w:lineRule="auto"/>
      </w:pPr>
      <w:r>
        <w:rPr>
          <w:rFonts w:ascii="Calibri" w:hAnsi="Calibri"/>
          <w:color w:val="1A202C"/>
          <w:sz w:val="19"/>
        </w:rPr>
        <w:t>Build automated reconciliation tools that protect merchants from tax audit disqualifications.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220,000 – KSh 320,000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25% annual performance bonus tied to KRA audit approvals and zero fiscal downtime</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1.0% – 1.8%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Head of Tax Compliance &amp; eTIMS Architecture</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