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6048"/>
        <w:gridCol w:w="3413"/>
      </w:tblGrid>
      <w:tr>
        <w:tc>
          <w:tcPr>
            <w:tcW w:type="dxa" w:w="4730"/>
          </w:tcPr>
          <w:p>
            <w:pPr>
              <w:spacing w:after="40"/>
            </w:pPr>
            <w:r>
              <w:rPr>
                <w:rFonts w:ascii="Georgia" w:hAnsi="Georgia"/>
                <w:b/>
                <w:color w:val="0A2540"/>
                <w:sz w:val="28"/>
              </w:rPr>
              <w:t>KABUOR BUILDS LIMITED</w:t>
            </w:r>
          </w:p>
          <w:p>
            <w:pPr>
              <w:spacing w:after="0"/>
            </w:pPr>
            <w:r>
              <w:rPr>
                <w:rFonts w:ascii="Calibri" w:hAnsi="Calibri"/>
                <w:b/>
                <w:color w:val="0070F0"/>
                <w:sz w:val="17"/>
              </w:rPr>
              <w:t>KABUOR ERP · FINANCIAL OPERATING SYSTEM</w:t>
            </w:r>
          </w:p>
        </w:tc>
        <w:tc>
          <w:tcPr>
            <w:tcW w:type="dxa" w:w="4730"/>
          </w:tcPr>
          <w:p>
            <w:pPr>
              <w:spacing w:after="20"/>
              <w:jc w:val="right"/>
            </w:pPr>
            <w:r>
              <w:rPr>
                <w:rFonts w:ascii="Calibri" w:hAnsi="Calibri"/>
                <w:color w:val="4A5568"/>
                <w:sz w:val="16"/>
              </w:rPr>
              <w:t>The Mirage Tower, Mezzanine 2</w:t>
              <w:br/>
            </w:r>
            <w:r>
              <w:rPr>
                <w:rFonts w:ascii="Calibri" w:hAnsi="Calibri"/>
                <w:color w:val="4A5568"/>
                <w:sz w:val="16"/>
              </w:rPr>
              <w:t>Chiromo Road, Westlands, Nairobi</w:t>
              <w:br/>
            </w:r>
            <w:r>
              <w:rPr>
                <w:rFonts w:ascii="Calibri" w:hAnsi="Calibri"/>
                <w:color w:val="4A5568"/>
                <w:sz w:val="16"/>
              </w:rPr>
              <w:t>Republic of Kenya · P.O. Box 45210-00100</w:t>
              <w:br/>
            </w:r>
            <w:r>
              <w:rPr>
                <w:rFonts w:ascii="Calibri" w:hAnsi="Calibri"/>
                <w:color w:val="4A5568"/>
                <w:sz w:val="16"/>
              </w:rPr>
              <w:t>legal@kabuor.com · www.kabuor.com</w:t>
              <w:br/>
            </w:r>
          </w:p>
        </w:tc>
      </w:tr>
    </w:tbl>
    <w:p>
      <w:pPr>
        <w:spacing w:before="80" w:after="240"/>
        <w:pBdr>
          <w:bottom w:val="single" w:sz="12" w:space="1" w:color="0A2540"/>
        </w:pBdr>
      </w:pPr>
    </w:p>
    <w:tbl>
      <w:tblPr>
        <w:tblW w:type="auto" w:w="0"/>
        <w:jc w:val="center"/>
        <w:tblLook w:firstColumn="1" w:firstRow="1" w:lastColumn="0" w:lastRow="0" w:noHBand="0" w:noVBand="1" w:val="04A0"/>
      </w:tblPr>
      <w:tblGrid>
        <w:gridCol w:w="6048"/>
        <w:gridCol w:w="3413"/>
      </w:tblGrid>
      <w:tr>
        <w:tc>
          <w:tcPr>
            <w:tcW w:type="dxa" w:w="4730"/>
          </w:tcPr>
          <w:p>
            <w:pPr>
              <w:spacing w:after="0"/>
            </w:pPr>
            <w:r>
              <w:rPr>
                <w:b/>
                <w:color w:val="0A2540"/>
                <w:sz w:val="18"/>
              </w:rPr>
              <w:t>REF: KAB-HR-OFF-FE-005</w:t>
              <w:br/>
            </w:r>
            <w:r>
              <w:rPr>
                <w:color w:val="4A5568"/>
                <w:sz w:val="17"/>
              </w:rPr>
              <w:t>CLASSIFICATION: EXECUTIVE APPOINTMENT &amp; EMPLOYMENT OFFER</w:t>
            </w:r>
          </w:p>
        </w:tc>
        <w:tc>
          <w:tcPr>
            <w:tcW w:type="dxa" w:w="4730"/>
          </w:tcPr>
          <w:p>
            <w:pPr>
              <w:spacing w:after="0"/>
              <w:jc w:val="right"/>
            </w:pPr>
            <w:r>
              <w:rPr>
                <w:color w:val="1A202C"/>
                <w:sz w:val="18"/>
              </w:rPr>
              <w:t>DATE: [Insert Date, e.g., 25th October 2026]</w:t>
              <w:br/>
            </w:r>
            <w:r>
              <w:rPr>
                <w:color w:val="4A5568"/>
                <w:sz w:val="17"/>
              </w:rPr>
              <w:t>JURISDICTION: Republic of Kenya</w:t>
            </w:r>
          </w:p>
        </w:tc>
      </w:tr>
    </w:tbl>
    <w:p>
      <w:pPr>
        <w:spacing w:after="120"/>
      </w:pPr>
    </w:p>
    <w:p>
      <w:pPr>
        <w:spacing w:before="0" w:after="160"/>
      </w:pPr>
      <w:r>
        <w:rPr>
          <w:b/>
        </w:rPr>
        <w:t>PRIVATE &amp; CONFIDENTIAL</w:t>
        <w:br/>
      </w:r>
      <w:r>
        <w:t>TO: [Candidate Full Legal Name]</w:t>
        <w:br/>
      </w:r>
      <w:r>
        <w:t>ADDRESS: [Candidate Residential Address / Email / Phone]</w:t>
        <w:br/>
      </w:r>
      <w:r>
        <w:t>LOCATION: Nairobi, Republic of Kenya</w:t>
      </w:r>
    </w:p>
    <w:p>
      <w:pPr>
        <w:spacing w:before="120" w:after="200"/>
      </w:pPr>
      <w:r>
        <w:rPr>
          <w:rFonts w:ascii="Georgia" w:hAnsi="Georgia"/>
          <w:b/>
          <w:color w:val="0A2540"/>
          <w:sz w:val="23"/>
        </w:rPr>
        <w:t>RE: APPOINTMENT OFFER — SENIOR EDGE &amp; FRONTEND ENGINEER (REACT 19 / PWA)</w:t>
      </w:r>
    </w:p>
    <w:p>
      <w:pPr>
        <w:spacing w:before="0" w:after="120" w:line="276" w:lineRule="auto"/>
      </w:pPr>
      <w:r>
        <w:rPr>
          <w:rFonts w:ascii="Calibri" w:hAnsi="Calibri"/>
          <w:color w:val="1A202C"/>
          <w:sz w:val="20"/>
        </w:rPr>
        <w:t>Dear [Candidate First Name],</w:t>
        <w:br/>
        <w:br/>
        <w:t>On behalf of Kabuor Builds Limited, I am delighted to extend this formal offer of employment for the position of Senior Edge &amp; Frontend Engineer (React 19 / PWA). Following our extensive discussions regarding Kabuor ERP and the scaling of our compound financial operating system across East Africa, we are convinced that your leadership, domain expertise, and entrepreneurial drive make you the ideal executive to lead our Platform &amp; Cloud Engineering Pod.</w:t>
      </w:r>
    </w:p>
    <w:p>
      <w:pPr>
        <w:keepNext/>
        <w:spacing w:before="280" w:after="120"/>
        <w:pBdr>
          <w:bottom w:val="single" w:sz="6" w:space="2" w:color="E2E8F0"/>
        </w:pBdr>
      </w:pPr>
      <w:r>
        <w:rPr>
          <w:rFonts w:ascii="Georgia" w:hAnsi="Georgia"/>
          <w:b/>
          <w:color w:val="0A2540"/>
          <w:sz w:val="25"/>
        </w:rPr>
        <w:t>1. Position, Reporting &amp; Core Mission</w:t>
      </w:r>
    </w:p>
    <w:p>
      <w:pPr>
        <w:spacing w:before="0" w:after="120" w:line="276" w:lineRule="auto"/>
      </w:pPr>
      <w:r>
        <w:rPr>
          <w:rFonts w:ascii="Calibri" w:hAnsi="Calibri"/>
          <w:b/>
          <w:color w:val="1A202C"/>
          <w:sz w:val="20"/>
        </w:rPr>
        <w:t xml:space="preserve">Position Title: </w:t>
      </w:r>
      <w:r>
        <w:rPr>
          <w:rFonts w:ascii="Calibri" w:hAnsi="Calibri"/>
          <w:color w:val="1A202C"/>
          <w:sz w:val="20"/>
        </w:rPr>
        <w:t>Senior Edge &amp; Frontend Engineer (React 19 / PWA)</w:t>
      </w:r>
    </w:p>
    <w:p>
      <w:pPr>
        <w:spacing w:before="0" w:after="120" w:line="276" w:lineRule="auto"/>
      </w:pPr>
      <w:r>
        <w:rPr>
          <w:rFonts w:ascii="Calibri" w:hAnsi="Calibri"/>
          <w:b/>
          <w:color w:val="1A202C"/>
          <w:sz w:val="20"/>
        </w:rPr>
        <w:t xml:space="preserve">Organizational Pod: </w:t>
      </w:r>
      <w:r>
        <w:rPr>
          <w:rFonts w:ascii="Calibri" w:hAnsi="Calibri"/>
          <w:color w:val="1A202C"/>
          <w:sz w:val="20"/>
        </w:rPr>
        <w:t>Platform &amp; Cloud Engineering Pod</w:t>
      </w:r>
    </w:p>
    <w:p>
      <w:pPr>
        <w:spacing w:before="0" w:after="120" w:line="276" w:lineRule="auto"/>
      </w:pPr>
      <w:r>
        <w:rPr>
          <w:rFonts w:ascii="Calibri" w:hAnsi="Calibri"/>
          <w:b/>
          <w:color w:val="1A202C"/>
          <w:sz w:val="20"/>
        </w:rPr>
        <w:t xml:space="preserve">Reporting Line: </w:t>
      </w:r>
      <w:r>
        <w:rPr>
          <w:rFonts w:ascii="Calibri" w:hAnsi="Calibri"/>
          <w:color w:val="1A202C"/>
          <w:sz w:val="20"/>
        </w:rPr>
        <w:t>Lead Platform Architect / CEO</w:t>
      </w:r>
    </w:p>
    <w:p>
      <w:pPr>
        <w:spacing w:before="0" w:after="120" w:line="276" w:lineRule="auto"/>
      </w:pPr>
      <w:r>
        <w:rPr>
          <w:rFonts w:ascii="Calibri" w:hAnsi="Calibri"/>
          <w:b/>
          <w:color w:val="1A202C"/>
          <w:sz w:val="20"/>
        </w:rPr>
        <w:t xml:space="preserve">Primary Location: </w:t>
      </w:r>
      <w:r>
        <w:rPr>
          <w:rFonts w:ascii="Calibri" w:hAnsi="Calibri"/>
          <w:color w:val="1A202C"/>
          <w:sz w:val="20"/>
        </w:rPr>
        <w:t>Kabuor Builds Limited HQ, The Mirage Tower, Chiromo Road, Westlands, Nairobi (with flexible hybrid working arrangements).</w:t>
      </w:r>
    </w:p>
    <w:p>
      <w:pPr>
        <w:spacing w:before="0" w:after="120" w:line="276" w:lineRule="auto"/>
      </w:pPr>
      <w:r>
        <w:rPr>
          <w:rFonts w:ascii="Calibri" w:hAnsi="Calibri"/>
          <w:b/>
          <w:color w:val="1A202C"/>
          <w:sz w:val="20"/>
        </w:rPr>
        <w:t xml:space="preserve">Core Mission: </w:t>
      </w:r>
      <w:r>
        <w:rPr>
          <w:rFonts w:ascii="Calibri" w:hAnsi="Calibri"/>
          <w:color w:val="1A202C"/>
          <w:sz w:val="20"/>
        </w:rPr>
        <w:t>Craft the fastest, most reliable offline-first retail POS experience in emerging markets using modern React 19, ServiceWorkers, and IndexedDB caching.</w:t>
      </w:r>
    </w:p>
    <w:p>
      <w:pPr>
        <w:keepNext/>
        <w:spacing w:before="280" w:after="120"/>
        <w:pBdr>
          <w:bottom w:val="single" w:sz="6" w:space="2" w:color="E2E8F0"/>
        </w:pBdr>
      </w:pPr>
      <w:r>
        <w:rPr>
          <w:rFonts w:ascii="Georgia" w:hAnsi="Georgia"/>
          <w:b/>
          <w:color w:val="0A2540"/>
          <w:sz w:val="25"/>
        </w:rPr>
        <w:t>2. Key Objectives &amp; Performance Milestones (KPIs)</w:t>
      </w:r>
    </w:p>
    <w:p>
      <w:pPr>
        <w:spacing w:before="0" w:after="120" w:line="276" w:lineRule="auto"/>
      </w:pPr>
      <w:r>
        <w:rPr>
          <w:rFonts w:ascii="Calibri" w:hAnsi="Calibri"/>
          <w:color w:val="1A202C"/>
          <w:sz w:val="20"/>
        </w:rPr>
        <w:t>In this leadership role, your initial 12-to-18-month strategic milestones will focus on:</w:t>
      </w:r>
    </w:p>
    <w:p>
      <w:pPr>
        <w:pStyle w:val="ListBullet"/>
        <w:spacing w:before="0" w:after="60" w:line="269" w:lineRule="auto"/>
      </w:pPr>
      <w:r>
        <w:rPr>
          <w:rFonts w:ascii="Calibri" w:hAnsi="Calibri"/>
          <w:color w:val="1A202C"/>
          <w:sz w:val="19"/>
        </w:rPr>
        <w:t>Ensure 100% reliability of offline POS kiosk mode during complete cellular and fiber network blackouts.</w:t>
      </w:r>
    </w:p>
    <w:p>
      <w:pPr>
        <w:pStyle w:val="ListBullet"/>
        <w:spacing w:before="0" w:after="60" w:line="269" w:lineRule="auto"/>
      </w:pPr>
      <w:r>
        <w:rPr>
          <w:rFonts w:ascii="Calibri" w:hAnsi="Calibri"/>
          <w:color w:val="1A202C"/>
          <w:sz w:val="19"/>
        </w:rPr>
        <w:t>Maintain sub-100ms UI interaction latency on entry-level Android and Windows tablet touchscreens.</w:t>
      </w:r>
    </w:p>
    <w:p>
      <w:pPr>
        <w:pStyle w:val="ListBullet"/>
        <w:spacing w:before="0" w:after="60" w:line="269" w:lineRule="auto"/>
      </w:pPr>
      <w:r>
        <w:rPr>
          <w:rFonts w:ascii="Calibri" w:hAnsi="Calibri"/>
          <w:color w:val="1A202C"/>
          <w:sz w:val="19"/>
        </w:rPr>
        <w:t>Integrate hardware peripherals: ESC/POS thermal receipt printers, USB/Bluetooth barcode scanners, and cash drawers.</w:t>
      </w:r>
    </w:p>
    <w:p>
      <w:pPr>
        <w:pStyle w:val="ListBullet"/>
        <w:spacing w:before="0" w:after="60" w:line="269" w:lineRule="auto"/>
      </w:pPr>
      <w:r>
        <w:rPr>
          <w:rFonts w:ascii="Calibri" w:hAnsi="Calibri"/>
          <w:color w:val="1A202C"/>
          <w:sz w:val="19"/>
        </w:rPr>
        <w:t>Optimize frontend bundle sizes and maintain 2.2-second clean Vite build pipelines.</w:t>
      </w:r>
    </w:p>
    <w:p>
      <w:pPr>
        <w:keepNext/>
        <w:spacing w:before="280" w:after="120"/>
        <w:pBdr>
          <w:bottom w:val="single" w:sz="6" w:space="2" w:color="E2E8F0"/>
        </w:pBdr>
      </w:pPr>
      <w:r>
        <w:rPr>
          <w:rFonts w:ascii="Georgia" w:hAnsi="Georgia"/>
          <w:b/>
          <w:color w:val="0A2540"/>
          <w:sz w:val="25"/>
        </w:rPr>
        <w:t>3. Remuneration, Equity &amp; Executive Benefits</w:t>
      </w:r>
    </w:p>
    <w:p>
      <w:pPr>
        <w:spacing w:before="0" w:after="120" w:line="276" w:lineRule="auto"/>
      </w:pPr>
      <w:r>
        <w:rPr>
          <w:rFonts w:ascii="Calibri" w:hAnsi="Calibri"/>
          <w:color w:val="1A202C"/>
          <w:sz w:val="20"/>
        </w:rPr>
        <w:t>The comprehensive executive compensation package for this appointment is structured as follows:</w:t>
      </w:r>
    </w:p>
    <w:tbl>
      <w:tblPr>
        <w:tblW w:type="auto" w:w="0"/>
        <w:jc w:val="center"/>
        <w:tblLayout w:type="fixed"/>
        <w:tblLook w:firstColumn="1" w:firstRow="1" w:lastColumn="0" w:lastRow="0" w:noHBand="0" w:noVBand="1" w:val="04A0"/>
      </w:tblPr>
      <w:tblGrid>
        <w:gridCol w:w="4730"/>
        <w:gridCol w:w="4730"/>
      </w:tblGrid>
      <w:tr>
        <w:tc>
          <w:tcPr>
            <w:tcW w:type="dxa" w:w="4730"/>
            <w:shd w:fill="0A2540"/>
            <w:tcMar>
              <w:top w:w="120" w:type="dxa"/>
              <w:bottom w:w="120" w:type="dxa"/>
              <w:left w:w="140" w:type="dxa"/>
              <w:right w:w="140" w:type="dxa"/>
            </w:tcMar>
          </w:tcPr>
          <w:p>
            <w:pPr>
              <w:spacing w:after="0"/>
            </w:pPr>
            <w:r>
              <w:rPr>
                <w:rFonts w:ascii="Calibri" w:hAnsi="Calibri"/>
                <w:b/>
                <w:color w:val="FFFFFF"/>
                <w:sz w:val="19"/>
              </w:rPr>
              <w:t>Compensation Component</w:t>
            </w:r>
          </w:p>
        </w:tc>
        <w:tc>
          <w:tcPr>
            <w:tcW w:type="dxa" w:w="4730"/>
            <w:shd w:fill="0A2540"/>
            <w:tcMar>
              <w:top w:w="120" w:type="dxa"/>
              <w:bottom w:w="120" w:type="dxa"/>
              <w:left w:w="140" w:type="dxa"/>
              <w:right w:w="140" w:type="dxa"/>
            </w:tcMar>
          </w:tcPr>
          <w:p>
            <w:pPr>
              <w:spacing w:after="0"/>
            </w:pPr>
            <w:r>
              <w:rPr>
                <w:rFonts w:ascii="Calibri" w:hAnsi="Calibri"/>
                <w:b/>
                <w:color w:val="FFFFFF"/>
                <w:sz w:val="19"/>
              </w:rPr>
              <w:t>Terms &amp; Details</w:t>
            </w:r>
          </w:p>
        </w:tc>
      </w:tr>
      <w:tr>
        <w:tc>
          <w:tcPr>
            <w:tcW w:type="dxa" w:w="4730"/>
            <w:shd w:fill="FFFFFF"/>
            <w:tcMar>
              <w:top w:w="100" w:type="dxa"/>
              <w:bottom w:w="100" w:type="dxa"/>
              <w:left w:w="140" w:type="dxa"/>
              <w:right w:w="140" w:type="dxa"/>
            </w:tcMar>
          </w:tcPr>
          <w:p>
            <w:pPr>
              <w:spacing w:after="0"/>
            </w:pPr>
            <w:r>
              <w:rPr>
                <w:rFonts w:ascii="Calibri" w:hAnsi="Calibri"/>
                <w:b/>
                <w:color w:val="1A202C"/>
                <w:sz w:val="18"/>
              </w:rPr>
              <w:t>Monthly Base Salary</w:t>
            </w:r>
          </w:p>
        </w:tc>
        <w:tc>
          <w:tcPr>
            <w:tcW w:type="dxa" w:w="4730"/>
            <w:shd w:fill="FFFFFF"/>
            <w:tcMar>
              <w:top w:w="100" w:type="dxa"/>
              <w:bottom w:w="100" w:type="dxa"/>
              <w:left w:w="140" w:type="dxa"/>
              <w:right w:w="140" w:type="dxa"/>
            </w:tcMar>
          </w:tcPr>
          <w:p>
            <w:pPr>
              <w:spacing w:after="0"/>
            </w:pPr>
            <w:r>
              <w:rPr>
                <w:rFonts w:ascii="Calibri" w:hAnsi="Calibri"/>
                <w:color w:val="1A202C"/>
                <w:sz w:val="18"/>
              </w:rPr>
              <w:t>KSh 200,000 – KSh 320,000 per month (Gross, subject to statutory deductions)</w:t>
            </w:r>
          </w:p>
        </w:tc>
      </w:tr>
      <w:tr>
        <w:tc>
          <w:tcPr>
            <w:tcW w:type="dxa" w:w="4730"/>
            <w:shd w:fill="F7FAFC"/>
            <w:tcMar>
              <w:top w:w="100" w:type="dxa"/>
              <w:bottom w:w="100" w:type="dxa"/>
              <w:left w:w="140" w:type="dxa"/>
              <w:right w:w="140" w:type="dxa"/>
            </w:tcMar>
          </w:tcPr>
          <w:p>
            <w:pPr>
              <w:spacing w:after="0"/>
            </w:pPr>
            <w:r>
              <w:rPr>
                <w:rFonts w:ascii="Calibri" w:hAnsi="Calibri"/>
                <w:b/>
                <w:color w:val="1A202C"/>
                <w:sz w:val="18"/>
              </w:rPr>
              <w:t>Performance Incentive</w:t>
            </w:r>
          </w:p>
        </w:tc>
        <w:tc>
          <w:tcPr>
            <w:tcW w:type="dxa" w:w="4730"/>
            <w:shd w:fill="F7FAFC"/>
            <w:tcMar>
              <w:top w:w="100" w:type="dxa"/>
              <w:bottom w:w="100" w:type="dxa"/>
              <w:left w:w="140" w:type="dxa"/>
              <w:right w:w="140" w:type="dxa"/>
            </w:tcMar>
          </w:tcPr>
          <w:p>
            <w:pPr>
              <w:spacing w:after="0"/>
            </w:pPr>
            <w:r>
              <w:rPr>
                <w:rFonts w:ascii="Calibri" w:hAnsi="Calibri"/>
                <w:color w:val="1A202C"/>
                <w:sz w:val="18"/>
              </w:rPr>
              <w:t>Up to 25% annual performance bonus tied to offline sync reliability and POS UX fluidity</w:t>
            </w:r>
          </w:p>
        </w:tc>
      </w:tr>
      <w:tr>
        <w:tc>
          <w:tcPr>
            <w:tcW w:type="dxa" w:w="4730"/>
            <w:shd w:fill="FFFFFF"/>
            <w:tcMar>
              <w:top w:w="100" w:type="dxa"/>
              <w:bottom w:w="100" w:type="dxa"/>
              <w:left w:w="140" w:type="dxa"/>
              <w:right w:w="140" w:type="dxa"/>
            </w:tcMar>
          </w:tcPr>
          <w:p>
            <w:pPr>
              <w:spacing w:after="0"/>
            </w:pPr>
            <w:r>
              <w:rPr>
                <w:rFonts w:ascii="Calibri" w:hAnsi="Calibri"/>
                <w:b/>
                <w:color w:val="1A202C"/>
                <w:sz w:val="18"/>
              </w:rPr>
              <w:t>Equity Stock Options (ESOP)</w:t>
            </w:r>
          </w:p>
        </w:tc>
        <w:tc>
          <w:tcPr>
            <w:tcW w:type="dxa" w:w="4730"/>
            <w:shd w:fill="FFFFFF"/>
            <w:tcMar>
              <w:top w:w="100" w:type="dxa"/>
              <w:bottom w:w="100" w:type="dxa"/>
              <w:left w:w="140" w:type="dxa"/>
              <w:right w:w="140" w:type="dxa"/>
            </w:tcMar>
          </w:tcPr>
          <w:p>
            <w:pPr>
              <w:spacing w:after="0"/>
            </w:pPr>
            <w:r>
              <w:rPr>
                <w:rFonts w:ascii="Calibri" w:hAnsi="Calibri"/>
                <w:color w:val="1A202C"/>
                <w:sz w:val="18"/>
              </w:rPr>
              <w:t>1.0% – 1.8% Equity Options under the Kabuor Builds ESOP Pool (4-year vesting, 1-year cliff)</w:t>
            </w:r>
          </w:p>
        </w:tc>
      </w:tr>
      <w:tr>
        <w:tc>
          <w:tcPr>
            <w:tcW w:type="dxa" w:w="4730"/>
            <w:shd w:fill="F7FAFC"/>
            <w:tcMar>
              <w:top w:w="100" w:type="dxa"/>
              <w:bottom w:w="100" w:type="dxa"/>
              <w:left w:w="140" w:type="dxa"/>
              <w:right w:w="140" w:type="dxa"/>
            </w:tcMar>
          </w:tcPr>
          <w:p>
            <w:pPr>
              <w:spacing w:after="0"/>
            </w:pPr>
            <w:r>
              <w:rPr>
                <w:rFonts w:ascii="Calibri" w:hAnsi="Calibri"/>
                <w:b/>
                <w:color w:val="1A202C"/>
                <w:sz w:val="18"/>
              </w:rPr>
              <w:t>Medical &amp; Health Insurance</w:t>
            </w:r>
          </w:p>
        </w:tc>
        <w:tc>
          <w:tcPr>
            <w:tcW w:type="dxa" w:w="4730"/>
            <w:shd w:fill="F7FAFC"/>
            <w:tcMar>
              <w:top w:w="100" w:type="dxa"/>
              <w:bottom w:w="100" w:type="dxa"/>
              <w:left w:w="140" w:type="dxa"/>
              <w:right w:w="140" w:type="dxa"/>
            </w:tcMar>
          </w:tcPr>
          <w:p>
            <w:pPr>
              <w:spacing w:after="0"/>
            </w:pPr>
            <w:r>
              <w:rPr>
                <w:rFonts w:ascii="Calibri" w:hAnsi="Calibri"/>
                <w:color w:val="1A202C"/>
                <w:sz w:val="18"/>
              </w:rPr>
              <w:t>Comprehensive inpatient/outpatient cover for employee + direct dependents (Tier-1 private hospitals in Kenya)</w:t>
            </w:r>
          </w:p>
        </w:tc>
      </w:tr>
      <w:tr>
        <w:tc>
          <w:tcPr>
            <w:tcW w:type="dxa" w:w="4730"/>
            <w:shd w:fill="FFFFFF"/>
            <w:tcMar>
              <w:top w:w="100" w:type="dxa"/>
              <w:bottom w:w="100" w:type="dxa"/>
              <w:left w:w="140" w:type="dxa"/>
              <w:right w:w="140" w:type="dxa"/>
            </w:tcMar>
          </w:tcPr>
          <w:p>
            <w:pPr>
              <w:spacing w:after="0"/>
            </w:pPr>
            <w:r>
              <w:rPr>
                <w:rFonts w:ascii="Calibri" w:hAnsi="Calibri"/>
                <w:b/>
                <w:color w:val="1A202C"/>
                <w:sz w:val="18"/>
              </w:rPr>
              <w:t>Statutory Deductions</w:t>
            </w:r>
          </w:p>
        </w:tc>
        <w:tc>
          <w:tcPr>
            <w:tcW w:type="dxa" w:w="4730"/>
            <w:shd w:fill="FFFFFF"/>
            <w:tcMar>
              <w:top w:w="100" w:type="dxa"/>
              <w:bottom w:w="100" w:type="dxa"/>
              <w:left w:w="140" w:type="dxa"/>
              <w:right w:w="140" w:type="dxa"/>
            </w:tcMar>
          </w:tcPr>
          <w:p>
            <w:pPr>
              <w:spacing w:after="0"/>
            </w:pPr>
            <w:r>
              <w:rPr>
                <w:rFonts w:ascii="Calibri" w:hAnsi="Calibri"/>
                <w:color w:val="1A202C"/>
                <w:sz w:val="18"/>
              </w:rPr>
              <w:t>Subject to applicable Kenyan statutory deductions: PAYE, NSSF Tier I/II, SHIF (2.75%), Affordable Housing Levy (1.5%)</w:t>
            </w:r>
          </w:p>
        </w:tc>
      </w:tr>
      <w:tr>
        <w:tc>
          <w:tcPr>
            <w:tcW w:type="dxa" w:w="4730"/>
            <w:shd w:fill="F7FAFC"/>
            <w:tcMar>
              <w:top w:w="100" w:type="dxa"/>
              <w:bottom w:w="100" w:type="dxa"/>
              <w:left w:w="140" w:type="dxa"/>
              <w:right w:w="140" w:type="dxa"/>
            </w:tcMar>
          </w:tcPr>
          <w:p>
            <w:pPr>
              <w:spacing w:after="0"/>
            </w:pPr>
            <w:r>
              <w:rPr>
                <w:rFonts w:ascii="Calibri" w:hAnsi="Calibri"/>
                <w:b/>
                <w:color w:val="1A202C"/>
                <w:sz w:val="18"/>
              </w:rPr>
              <w:t>Annual Leave</w:t>
            </w:r>
          </w:p>
        </w:tc>
        <w:tc>
          <w:tcPr>
            <w:tcW w:type="dxa" w:w="4730"/>
            <w:shd w:fill="F7FAFC"/>
            <w:tcMar>
              <w:top w:w="100" w:type="dxa"/>
              <w:bottom w:w="100" w:type="dxa"/>
              <w:left w:w="140" w:type="dxa"/>
              <w:right w:w="140" w:type="dxa"/>
            </w:tcMar>
          </w:tcPr>
          <w:p>
            <w:pPr>
              <w:spacing w:after="0"/>
            </w:pPr>
            <w:r>
              <w:rPr>
                <w:rFonts w:ascii="Calibri" w:hAnsi="Calibri"/>
                <w:color w:val="1A202C"/>
                <w:sz w:val="18"/>
              </w:rPr>
              <w:t>24 working days paid annual leave per calendar year, plus gazetted public holidays</w:t>
            </w:r>
          </w:p>
        </w:tc>
      </w:tr>
    </w:tbl>
    <w:p>
      <w:pPr>
        <w:spacing w:before="120" w:after="120"/>
      </w:pPr>
    </w:p>
    <w:p>
      <w:pPr>
        <w:keepNext/>
        <w:spacing w:before="280" w:after="120"/>
        <w:pBdr>
          <w:bottom w:val="single" w:sz="6" w:space="2" w:color="E2E8F0"/>
        </w:pBdr>
      </w:pPr>
      <w:r>
        <w:rPr>
          <w:rFonts w:ascii="Georgia" w:hAnsi="Georgia"/>
          <w:b/>
          <w:color w:val="0A2540"/>
          <w:sz w:val="25"/>
        </w:rPr>
        <w:t>4. ESOP Vesting &amp; Equity Mechanics</w:t>
      </w:r>
    </w:p>
    <w:p>
      <w:pPr>
        <w:spacing w:before="0" w:after="120" w:line="276" w:lineRule="auto"/>
      </w:pPr>
      <w:r>
        <w:rPr>
          <w:rFonts w:ascii="Calibri" w:hAnsi="Calibri"/>
          <w:b/>
          <w:color w:val="1A202C"/>
          <w:sz w:val="20"/>
        </w:rPr>
        <w:t xml:space="preserve">Vesting Schedule: </w:t>
      </w:r>
      <w:r>
        <w:rPr>
          <w:rFonts w:ascii="Calibri" w:hAnsi="Calibri"/>
          <w:color w:val="1A202C"/>
          <w:sz w:val="20"/>
        </w:rPr>
        <w:t>Your equity option grant represents an essential component of your executive alignment with the long-term enterprise valuation of Kabuor ERP. The equity shall vest over a standard four (4) year period, subject to a one (1) year cliff, wherein 25% vests upon the first anniversary of your start date, with the remaining 75% vesting in equal monthly increments over the subsequent 36 months, governed by the Kabuor Builds Employee Stock Option Scheme.</w:t>
      </w:r>
    </w:p>
    <w:p>
      <w:pPr>
        <w:keepNext/>
        <w:spacing w:before="280" w:after="120"/>
        <w:pBdr>
          <w:bottom w:val="single" w:sz="6" w:space="2" w:color="E2E8F0"/>
        </w:pBdr>
      </w:pPr>
      <w:r>
        <w:rPr>
          <w:rFonts w:ascii="Georgia" w:hAnsi="Georgia"/>
          <w:b/>
          <w:color w:val="0A2540"/>
          <w:sz w:val="25"/>
        </w:rPr>
        <w:t>5. Intellectual Property &amp; Confidentiality</w:t>
      </w:r>
    </w:p>
    <w:p>
      <w:pPr>
        <w:spacing w:before="0" w:after="120" w:line="276" w:lineRule="auto"/>
      </w:pPr>
      <w:r>
        <w:rPr>
          <w:rFonts w:ascii="Calibri" w:hAnsi="Calibri"/>
          <w:b/>
          <w:color w:val="1A202C"/>
          <w:sz w:val="20"/>
        </w:rPr>
        <w:t xml:space="preserve">IP Assignment: </w:t>
      </w:r>
      <w:r>
        <w:rPr>
          <w:rFonts w:ascii="Calibri" w:hAnsi="Calibri"/>
          <w:color w:val="1A202C"/>
          <w:sz w:val="20"/>
        </w:rPr>
        <w:t>You acknowledge and agree that all proprietary code, database architectures, inventions, algorithms, trade secrets, and client relationships developed during your employment belong exclusively and absolutely to Kabuor Builds Limited. This appointment is strictly conditional upon your execution of our standard Mutual Non-Disclosure &amp; Proprietary Inventions Agreement.</w:t>
      </w:r>
    </w:p>
    <w:p>
      <w:pPr>
        <w:keepNext/>
        <w:spacing w:before="280" w:after="120"/>
        <w:pBdr>
          <w:bottom w:val="single" w:sz="6" w:space="2" w:color="E2E8F0"/>
        </w:pBdr>
      </w:pPr>
      <w:r>
        <w:rPr>
          <w:rFonts w:ascii="Georgia" w:hAnsi="Georgia"/>
          <w:b/>
          <w:color w:val="0A2540"/>
          <w:sz w:val="25"/>
        </w:rPr>
        <w:t>6. Commencement &amp; Acceptance</w:t>
      </w:r>
    </w:p>
    <w:p>
      <w:pPr>
        <w:spacing w:before="0" w:after="120" w:line="276" w:lineRule="auto"/>
      </w:pPr>
      <w:r>
        <w:rPr>
          <w:rFonts w:ascii="Calibri" w:hAnsi="Calibri"/>
          <w:b/>
          <w:color w:val="1A202C"/>
          <w:sz w:val="20"/>
        </w:rPr>
        <w:t xml:space="preserve">Offer Validity: </w:t>
      </w:r>
      <w:r>
        <w:rPr>
          <w:rFonts w:ascii="Calibri" w:hAnsi="Calibri"/>
          <w:color w:val="1A202C"/>
          <w:sz w:val="20"/>
        </w:rPr>
        <w:t>This offer is open for formal acceptance until [Insert Expiry Date, e.g., 5 business days from receipt]. Your anticipated commencement date is [Insert Start Date, e.g., 1st December 2026]. To confirm your acceptance, please sign, date, and return the duplicate copy of this letter.</w:t>
      </w:r>
    </w:p>
    <w:p>
      <w:pPr>
        <w:spacing w:before="240" w:after="80"/>
      </w:pPr>
    </w:p>
    <w:tbl>
      <w:tblPr>
        <w:tblW w:type="auto" w:w="0"/>
        <w:jc w:val="center"/>
        <w:tblLook w:firstColumn="1" w:firstRow="1" w:lastColumn="0" w:lastRow="0" w:noHBand="0" w:noVBand="1" w:val="04A0"/>
      </w:tblPr>
      <w:tblGrid>
        <w:gridCol w:w="4752"/>
        <w:gridCol w:w="4752"/>
      </w:tblGrid>
      <w:tr>
        <w:tc>
          <w:tcPr>
            <w:tcW w:type="dxa" w:w="4730"/>
          </w:tcPr>
          <w:p>
            <w:pPr>
              <w:spacing w:after="40"/>
            </w:pPr>
            <w:r>
              <w:rPr>
                <w:b/>
              </w:rPr>
              <w:t>FOR: KABUOR BUILDS LIMITED</w:t>
              <w:br/>
              <w:br/>
              <w:br/>
            </w:r>
            <w:r>
              <w:t>_________________________________________</w:t>
              <w:br/>
            </w:r>
            <w:r>
              <w:rPr>
                <w:b/>
              </w:rPr>
              <w:t>Rooney Odhiambo Kabuor</w:t>
              <w:br/>
            </w:r>
            <w:r>
              <w:t>Founder &amp; Chief Executive Officer</w:t>
              <w:br/>
              <w:t>Date: ___________________________________</w:t>
            </w:r>
          </w:p>
        </w:tc>
        <w:tc>
          <w:tcPr>
            <w:tcW w:type="dxa" w:w="4730"/>
          </w:tcPr>
          <w:p>
            <w:pPr>
              <w:spacing w:after="40"/>
            </w:pPr>
            <w:r>
              <w:rPr>
                <w:b/>
              </w:rPr>
              <w:t>ACCEPTED &amp; AGREED:</w:t>
              <w:br/>
              <w:br/>
              <w:br/>
            </w:r>
            <w:r>
              <w:t>_________________________________________</w:t>
              <w:br/>
            </w:r>
            <w:r>
              <w:rPr>
                <w:b/>
              </w:rPr>
              <w:t>[Candidate Full Legal Name]</w:t>
              <w:br/>
            </w:r>
            <w:r>
              <w:t>Senior Edge &amp; Frontend Engineer (React 19 / PWA)</w:t>
              <w:br/>
              <w:t>Date: ___________________________________</w:t>
            </w:r>
          </w:p>
        </w:tc>
      </w:tr>
    </w:tbl>
    <w:sectPr w:rsidR="00FC693F" w:rsidRPr="0006063C" w:rsidSect="00034616">
      <w:pgSz w:w="11909" w:h="16834"/>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