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92"/>
        <w:gridCol w:w="3269"/>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rooney@kabuor.com · www.kabuor.com</w:t>
              <w:br/>
            </w:r>
          </w:p>
        </w:tc>
      </w:tr>
    </w:tbl>
    <w:p>
      <w:pPr>
        <w:spacing w:before="80" w:after="200"/>
        <w:pBdr>
          <w:bottom w:val="single" w:sz="14" w:space="1" w:color="0A2540"/>
        </w:pBdr>
      </w:pPr>
    </w:p>
    <w:tbl>
      <w:tblPr>
        <w:tblW w:type="auto" w:w="0"/>
        <w:jc w:val="center"/>
        <w:tblLook w:firstColumn="1" w:firstRow="1" w:lastColumn="0" w:lastRow="0" w:noHBand="0" w:noVBand="1" w:val="04A0"/>
      </w:tblPr>
      <w:tblGrid>
        <w:gridCol w:w="6192"/>
        <w:gridCol w:w="3269"/>
      </w:tblGrid>
      <w:tr>
        <w:tc>
          <w:tcPr>
            <w:tcW w:type="dxa" w:w="4730"/>
          </w:tcPr>
          <w:p>
            <w:pPr>
              <w:spacing w:after="0"/>
            </w:pPr>
            <w:r>
              <w:rPr>
                <w:b/>
                <w:color w:val="0A2540"/>
                <w:sz w:val="18"/>
              </w:rPr>
              <w:t>REF: KAB-EXEC-OYOO-2026</w:t>
              <w:br/>
            </w:r>
            <w:r>
              <w:rPr>
                <w:sz w:val="17"/>
              </w:rPr>
              <w:t>CLASSIFICATION: EXECUTIVE STRATEGIC BRIEF</w:t>
            </w:r>
          </w:p>
        </w:tc>
        <w:tc>
          <w:tcPr>
            <w:tcW w:type="dxa" w:w="4730"/>
          </w:tcPr>
          <w:p>
            <w:pPr>
              <w:spacing w:after="0"/>
              <w:jc w:val="right"/>
            </w:pPr>
            <w:r>
              <w:rPr>
                <w:sz w:val="18"/>
              </w:rPr>
              <w:t>DATE: 25th October 2026</w:t>
              <w:br/>
            </w:r>
            <w:r>
              <w:rPr>
                <w:color w:val="0070F0"/>
                <w:sz w:val="17"/>
              </w:rPr>
              <w:t>STATUS: STRICTLY CONFIDENTIAL</w:t>
            </w:r>
          </w:p>
        </w:tc>
      </w:tr>
    </w:tbl>
    <w:p>
      <w:pPr>
        <w:spacing w:after="120"/>
      </w:pPr>
    </w:p>
    <w:p>
      <w:pPr>
        <w:spacing w:after="160"/>
      </w:pPr>
      <w:r>
        <w:rPr>
          <w:b/>
        </w:rPr>
        <w:t xml:space="preserve">TO: </w:t>
      </w:r>
      <w:r>
        <w:rPr>
          <w:b/>
        </w:rPr>
        <w:t>Dr. Kennedy Oyoo, Ph.D.</w:t>
        <w:br/>
      </w:r>
      <w:r>
        <w:t>Director, Enterprise Systems Department (ESD) &amp; Principal Research Associate</w:t>
        <w:br/>
      </w:r>
      <w:r>
        <w:t>Georgia Tech Research Institute (GTRI) | Faculty, Tulane University</w:t>
        <w:br/>
      </w:r>
      <w:r>
        <w:t>Atlanta, Georgia, United States of America</w:t>
        <w:br/>
        <w:br/>
      </w:r>
    </w:p>
    <w:p>
      <w:pPr>
        <w:spacing w:after="200"/>
      </w:pPr>
      <w:r>
        <w:rPr>
          <w:rFonts w:ascii="Georgia" w:hAnsi="Georgia"/>
          <w:b/>
          <w:color w:val="0A2540"/>
          <w:sz w:val="22"/>
        </w:rPr>
        <w:t>SUBJECT: STRATEGIC BRIEFING &amp; INVITATION TO REVIEW KABUOR ERP — THE COMPOUND FINANCIAL OPERATING SYSTEM FOR AFRICAN COMMERCE</w:t>
      </w:r>
    </w:p>
    <w:p>
      <w:pPr>
        <w:spacing w:after="160" w:line="276" w:lineRule="auto"/>
      </w:pPr>
      <w:r>
        <w:rPr>
          <w:rFonts w:ascii="Calibri" w:hAnsi="Calibri"/>
          <w:color w:val="1A202C"/>
          <w:sz w:val="19"/>
        </w:rPr>
        <w:t>Dear Dr. Kennedy Oyoo,</w:t>
        <w:br/>
        <w:br/>
        <w:t>I hope this letter finds you well. I am reaching out to you with profound admiration for your distinguished career, deep scholarship in Information Science, and your leadership as Director of the Enterprise Systems Department at the Georgia Tech Research Institute (GTRI). Your extensive work spanning enterprise systems architecture, digital transformation, and scalable software engineering represents the highest standard of technical rigor in our field.</w:t>
        <w:br/>
        <w:br/>
        <w:t>I am writing to you from Nairobi to formally present Kabuor ERP—a next-generation compound business operating system and immutable financial ledger engineered from first principles for East African commerce. Given your preeminent stature in enterprise systems and your connection to the region, I would be deeply honored to share our architectural innovations with you, seek your critical counsel, and explore your potential involvement as a Senior Strategic Advisor and Advisory Board Member as we prepare for our institutional Series A scaling phase.</w:t>
      </w:r>
    </w:p>
    <w:p>
      <w:pPr>
        <w:spacing w:before="160" w:after="80"/>
      </w:pPr>
      <w:r>
        <w:rPr>
          <w:rFonts w:ascii="Georgia" w:hAnsi="Georgia"/>
          <w:b/>
          <w:color w:val="0A2540"/>
          <w:sz w:val="22"/>
        </w:rPr>
        <w:t>1. The Enterprise Systems Impasse in African Commerce</w:t>
      </w:r>
    </w:p>
    <w:p>
      <w:pPr>
        <w:spacing w:after="120" w:line="276" w:lineRule="auto"/>
      </w:pPr>
      <w:r>
        <w:rPr>
          <w:rFonts w:ascii="Calibri" w:hAnsi="Calibri"/>
          <w:color w:val="1A202C"/>
          <w:sz w:val="18"/>
        </w:rPr>
        <w:t>As someone who directs enterprise systems at the institutional level, you are acutely aware of the 'ERP impedance mismatch.' For the past two decades, African enterprises and SMEs have attempted to deploy Western platforms (SAP, NetSuite, Odoo, QuickBooks). In our market, these implementations suffer from an over 70% dissatisfaction rate because they are built on architectural assumptions that simply do not exist in emerging economies:</w:t>
        <w:br/>
        <w:br/>
        <w:t>• Mobile Money as the Sovereign Rail: Over 84% of B2B and retail transactions in Kenya settle via Safaricom M-Pesa. Imported ERPs treat mobile money as an external webhook requiring fragile middleware, batch uploads, and manual daily reconciliations.</w:t>
        <w:br/>
        <w:t>• Mandatory Real-Time Cryptographic Fiscalization: The Kenya Revenue Authority (KRA) has legally mandated that every commercial invoice must be cryptographically signed via eTIMS in real time to qualify as a deductible business expense. Foreign ERPs require expensive $1,000 ESD hardware bridge boxes.</w:t>
        <w:br/>
        <w:t>• The Intermittent Edge: When fiber or power drops in a busy supermarket or wholesale depot, cloud-only systems freeze, halting trade and corrupting transactions.</w:t>
      </w:r>
    </w:p>
    <w:p>
      <w:pPr>
        <w:spacing w:before="160" w:after="80"/>
      </w:pPr>
      <w:r>
        <w:rPr>
          <w:rFonts w:ascii="Georgia" w:hAnsi="Georgia"/>
          <w:b/>
          <w:color w:val="0A2540"/>
          <w:sz w:val="22"/>
        </w:rPr>
        <w:t>2. The Kabuor ERP Breakthrough: Architectural Highlights</w:t>
      </w:r>
    </w:p>
    <w:p>
      <w:pPr>
        <w:spacing w:after="120" w:line="276" w:lineRule="auto"/>
      </w:pPr>
      <w:r>
        <w:rPr>
          <w:rFonts w:ascii="Calibri" w:hAnsi="Calibri"/>
          <w:color w:val="1A202C"/>
          <w:sz w:val="18"/>
        </w:rPr>
        <w:t>We rejected the point-solution model and built a high-throughput modular monolith (.NET 10 Minimal APIs + React 19 PWA) engineered for extreme performance, fault tolerance, and statutory compliance:</w:t>
        <w:br/>
        <w:br/>
        <w:t>1. Real-Time Cryptographic eTIMS Engine: Invoices are serialized into deterministic KRA OSCU/VSCU payloads, signed cryptographically, and stamped with official QR codes and control numbers within the core transaction loop in under 12 milliseconds.</w:t>
        <w:br/>
        <w:t>2. Direct M-Pesa General Ledger Orchestration: Safaricom C2B and STK push callbacks are validated via constant-time HMAC and bound directly into balanced double-entry General Ledger journal entries without manual staging, achieving automated sub-800ms reconciliation.</w:t>
        <w:br/>
        <w:t>3. SequenceGate Concurrency Arbiter: A proprietary thread-safe concurrency engine that guarantees gapless, monotonic sequential document numbering under heavy concurrent rushes across multi-till supermarkets, eliminating database table locking and deadlocks.</w:t>
        <w:br/>
        <w:t>4. Offline-First PWA Edge Kiosk: Progressive Web App edge caching enables physical retail kiosks to ring up sales and print receipts during complete internet dropouts, preserving sequence integrity and draining sales idempotently via background FIFO sync upon reconnection.</w:t>
        <w:br/>
        <w:t>5. Sub-3-Minute Frictionless Onboarding: Non-technical merchants can register, import items, connect M-Pesa, and issue their first legal tax invoice in under 180 seconds.</w:t>
      </w:r>
    </w:p>
    <w:p>
      <w:pPr>
        <w:spacing w:before="160" w:after="80"/>
      </w:pPr>
      <w:r>
        <w:rPr>
          <w:rFonts w:ascii="Georgia" w:hAnsi="Georgia"/>
          <w:b/>
          <w:color w:val="0A2540"/>
          <w:sz w:val="22"/>
        </w:rPr>
        <w:t>3. Enterprise System Readiness &amp; Verification Data</w:t>
      </w:r>
    </w:p>
    <w:tbl>
      <w:tblPr>
        <w:tblW w:type="auto" w:w="0"/>
        <w:jc w:val="center"/>
        <w:tblLayout w:type="fixed"/>
        <w:tblLook w:firstColumn="1" w:firstRow="1" w:lastColumn="0" w:lastRow="0" w:noHBand="0" w:noVBand="1" w:val="04A0"/>
      </w:tblPr>
      <w:tblGrid>
        <w:gridCol w:w="3168"/>
        <w:gridCol w:w="6293"/>
      </w:tblGrid>
      <w:tr>
        <w:tc>
          <w:tcPr>
            <w:tcW w:type="dxa" w:w="4730"/>
            <w:shd w:fill="0A2540"/>
            <w:tcMar>
              <w:top w:w="80" w:type="dxa"/>
              <w:bottom w:w="80" w:type="dxa"/>
              <w:left w:w="100" w:type="dxa"/>
              <w:right w:w="100" w:type="dxa"/>
            </w:tcMar>
          </w:tcPr>
          <w:p>
            <w:r>
              <w:rPr>
                <w:b/>
                <w:color w:val="FFFFFF"/>
                <w:sz w:val="17"/>
              </w:rPr>
              <w:t>System Dimension</w:t>
            </w:r>
          </w:p>
        </w:tc>
        <w:tc>
          <w:tcPr>
            <w:tcW w:type="dxa" w:w="4730"/>
            <w:shd w:fill="0A2540"/>
            <w:tcMar>
              <w:top w:w="80" w:type="dxa"/>
              <w:bottom w:w="80" w:type="dxa"/>
              <w:left w:w="100" w:type="dxa"/>
              <w:right w:w="100" w:type="dxa"/>
            </w:tcMar>
          </w:tcPr>
          <w:p>
            <w:r>
              <w:rPr>
                <w:b/>
                <w:color w:val="FFFFFF"/>
                <w:sz w:val="17"/>
              </w:rPr>
              <w:t>Demonstrated Performance &amp; Capability</w:t>
            </w:r>
          </w:p>
        </w:tc>
      </w:tr>
      <w:tr>
        <w:tc>
          <w:tcPr>
            <w:tcW w:type="dxa" w:w="4730"/>
            <w:shd w:fill="FFFFFF"/>
            <w:tcMar>
              <w:top w:w="60" w:type="dxa"/>
              <w:bottom w:w="60" w:type="dxa"/>
              <w:left w:w="100" w:type="dxa"/>
              <w:right w:w="100" w:type="dxa"/>
            </w:tcMar>
          </w:tcPr>
          <w:p>
            <w:pPr>
              <w:spacing w:after="0"/>
            </w:pPr>
            <w:r>
              <w:rPr>
                <w:rFonts w:ascii="Calibri" w:hAnsi="Calibri"/>
                <w:b/>
                <w:color w:val="0A2540"/>
                <w:sz w:val="17"/>
              </w:rPr>
              <w:t>Throughput Benchmark</w:t>
            </w:r>
          </w:p>
        </w:tc>
        <w:tc>
          <w:tcPr>
            <w:tcW w:type="dxa" w:w="4730"/>
            <w:shd w:fill="FFFFFF"/>
            <w:tcMar>
              <w:top w:w="60" w:type="dxa"/>
              <w:bottom w:w="60" w:type="dxa"/>
              <w:left w:w="100" w:type="dxa"/>
              <w:right w:w="100" w:type="dxa"/>
            </w:tcMar>
          </w:tcPr>
          <w:p>
            <w:pPr>
              <w:spacing w:after="0"/>
            </w:pPr>
            <w:r>
              <w:rPr>
                <w:rFonts w:ascii="Calibri" w:hAnsi="Calibri"/>
                <w:sz w:val="17"/>
              </w:rPr>
              <w:t>Stress-tested for 500,000+ daily transactions across 20+ tenant companies cleanly</w:t>
            </w:r>
          </w:p>
        </w:tc>
      </w:tr>
      <w:tr>
        <w:tc>
          <w:tcPr>
            <w:tcW w:type="dxa" w:w="4730"/>
            <w:shd w:fill="F7FAFC"/>
            <w:tcMar>
              <w:top w:w="60" w:type="dxa"/>
              <w:bottom w:w="60" w:type="dxa"/>
              <w:left w:w="100" w:type="dxa"/>
              <w:right w:w="100" w:type="dxa"/>
            </w:tcMar>
          </w:tcPr>
          <w:p>
            <w:pPr>
              <w:spacing w:after="0"/>
            </w:pPr>
            <w:r>
              <w:rPr>
                <w:rFonts w:ascii="Calibri" w:hAnsi="Calibri"/>
                <w:b/>
                <w:color w:val="0A2540"/>
                <w:sz w:val="17"/>
              </w:rPr>
              <w:t>Automated Test Suite</w:t>
            </w:r>
          </w:p>
        </w:tc>
        <w:tc>
          <w:tcPr>
            <w:tcW w:type="dxa" w:w="4730"/>
            <w:shd w:fill="F7FAFC"/>
            <w:tcMar>
              <w:top w:w="60" w:type="dxa"/>
              <w:bottom w:w="60" w:type="dxa"/>
              <w:left w:w="100" w:type="dxa"/>
              <w:right w:w="100" w:type="dxa"/>
            </w:tcMar>
          </w:tcPr>
          <w:p>
            <w:pPr>
              <w:spacing w:after="0"/>
            </w:pPr>
            <w:r>
              <w:rPr>
                <w:rFonts w:ascii="Calibri" w:hAnsi="Calibri"/>
                <w:sz w:val="17"/>
              </w:rPr>
              <w:t>127 / 127 automated regression tests passing (100% pass rate) with zero failures</w:t>
            </w:r>
          </w:p>
        </w:tc>
      </w:tr>
      <w:tr>
        <w:tc>
          <w:tcPr>
            <w:tcW w:type="dxa" w:w="4730"/>
            <w:shd w:fill="FFFFFF"/>
            <w:tcMar>
              <w:top w:w="60" w:type="dxa"/>
              <w:bottom w:w="60" w:type="dxa"/>
              <w:left w:w="100" w:type="dxa"/>
              <w:right w:w="100" w:type="dxa"/>
            </w:tcMar>
          </w:tcPr>
          <w:p>
            <w:pPr>
              <w:spacing w:after="0"/>
            </w:pPr>
            <w:r>
              <w:rPr>
                <w:rFonts w:ascii="Calibri" w:hAnsi="Calibri"/>
                <w:b/>
                <w:color w:val="0A2540"/>
                <w:sz w:val="17"/>
              </w:rPr>
              <w:t>Multi-Tenant Isolation</w:t>
            </w:r>
          </w:p>
        </w:tc>
        <w:tc>
          <w:tcPr>
            <w:tcW w:type="dxa" w:w="4730"/>
            <w:shd w:fill="FFFFFF"/>
            <w:tcMar>
              <w:top w:w="60" w:type="dxa"/>
              <w:bottom w:w="60" w:type="dxa"/>
              <w:left w:w="100" w:type="dxa"/>
              <w:right w:w="100" w:type="dxa"/>
            </w:tcMar>
          </w:tcPr>
          <w:p>
            <w:pPr>
              <w:spacing w:after="0"/>
            </w:pPr>
            <w:r>
              <w:rPr>
                <w:rFonts w:ascii="Calibri" w:hAnsi="Calibri"/>
                <w:sz w:val="17"/>
              </w:rPr>
              <w:t>Two-phase enforcement: EF Core global query filters + StampAndAudit write validator</w:t>
            </w:r>
          </w:p>
        </w:tc>
      </w:tr>
      <w:tr>
        <w:tc>
          <w:tcPr>
            <w:tcW w:type="dxa" w:w="4730"/>
            <w:shd w:fill="F7FAFC"/>
            <w:tcMar>
              <w:top w:w="60" w:type="dxa"/>
              <w:bottom w:w="60" w:type="dxa"/>
              <w:left w:w="100" w:type="dxa"/>
              <w:right w:w="100" w:type="dxa"/>
            </w:tcMar>
          </w:tcPr>
          <w:p>
            <w:pPr>
              <w:spacing w:after="0"/>
            </w:pPr>
            <w:r>
              <w:rPr>
                <w:rFonts w:ascii="Calibri" w:hAnsi="Calibri"/>
                <w:b/>
                <w:color w:val="0A2540"/>
                <w:sz w:val="17"/>
              </w:rPr>
              <w:t>Concurrency Integrity</w:t>
            </w:r>
          </w:p>
        </w:tc>
        <w:tc>
          <w:tcPr>
            <w:tcW w:type="dxa" w:w="4730"/>
            <w:shd w:fill="F7FAFC"/>
            <w:tcMar>
              <w:top w:w="60" w:type="dxa"/>
              <w:bottom w:w="60" w:type="dxa"/>
              <w:left w:w="100" w:type="dxa"/>
              <w:right w:w="100" w:type="dxa"/>
            </w:tcMar>
          </w:tcPr>
          <w:p>
            <w:pPr>
              <w:spacing w:after="0"/>
            </w:pPr>
            <w:r>
              <w:rPr>
                <w:rFonts w:ascii="Calibri" w:hAnsi="Calibri"/>
                <w:sz w:val="17"/>
              </w:rPr>
              <w:t>SequenceGate async semaphore locks + optimistic concurrency tokens on stock balances</w:t>
            </w:r>
          </w:p>
        </w:tc>
      </w:tr>
      <w:tr>
        <w:tc>
          <w:tcPr>
            <w:tcW w:type="dxa" w:w="4730"/>
            <w:shd w:fill="FFFFFF"/>
            <w:tcMar>
              <w:top w:w="60" w:type="dxa"/>
              <w:bottom w:w="60" w:type="dxa"/>
              <w:left w:w="100" w:type="dxa"/>
              <w:right w:w="100" w:type="dxa"/>
            </w:tcMar>
          </w:tcPr>
          <w:p>
            <w:pPr>
              <w:spacing w:after="0"/>
            </w:pPr>
            <w:r>
              <w:rPr>
                <w:rFonts w:ascii="Calibri" w:hAnsi="Calibri"/>
                <w:b/>
                <w:color w:val="0A2540"/>
                <w:sz w:val="17"/>
              </w:rPr>
              <w:t>Statutory Payroll Engine</w:t>
            </w:r>
          </w:p>
        </w:tc>
        <w:tc>
          <w:tcPr>
            <w:tcW w:type="dxa" w:w="4730"/>
            <w:shd w:fill="FFFFFF"/>
            <w:tcMar>
              <w:top w:w="60" w:type="dxa"/>
              <w:bottom w:w="60" w:type="dxa"/>
              <w:left w:w="100" w:type="dxa"/>
              <w:right w:w="100" w:type="dxa"/>
            </w:tcMar>
          </w:tcPr>
          <w:p>
            <w:pPr>
              <w:spacing w:after="0"/>
            </w:pPr>
            <w:r>
              <w:rPr>
                <w:rFonts w:ascii="Calibri" w:hAnsi="Calibri"/>
                <w:sz w:val="17"/>
              </w:rPr>
              <w:t>Automated 2026 Kenyan tax rules: PAYE, NSSF Tier I/II, SHIF (2.75%), Housing Levy (1.5%)</w:t>
            </w:r>
          </w:p>
        </w:tc>
      </w:tr>
    </w:tbl>
    <w:p>
      <w:pPr>
        <w:spacing w:after="80"/>
      </w:pPr>
    </w:p>
    <w:p>
      <w:pPr>
        <w:spacing w:before="160" w:after="80"/>
      </w:pPr>
      <w:r>
        <w:rPr>
          <w:rFonts w:ascii="Georgia" w:hAnsi="Georgia"/>
          <w:b/>
          <w:color w:val="0A2540"/>
          <w:sz w:val="22"/>
        </w:rPr>
        <w:t>4. The Invitation: Advisory Board &amp; Strategic Review</w:t>
      </w:r>
    </w:p>
    <w:p>
      <w:pPr>
        <w:spacing w:after="200" w:line="276" w:lineRule="auto"/>
      </w:pPr>
      <w:r>
        <w:rPr>
          <w:rFonts w:ascii="Calibri" w:hAnsi="Calibri"/>
          <w:color w:val="1A202C"/>
          <w:sz w:val="19"/>
        </w:rPr>
        <w:t>Dr. Oyoo, we are currently preparing for our institutional Series A financing round ($12M–$15M valuation target) and accelerating our nationwide merchant rollout. As an authority who directs enterprise systems at the highest level of academic and operational excellence, your critical review of our platform architecture, data governance framework, and institutional scaling strategy would be invaluable to us.</w:t>
        <w:br/>
        <w:br/>
        <w:t>I would welcome the privilege of hosting you for a confidential 30-minute virtual demonstration—walking you through our live offline PWA synchronization, our SequenceGate concurrency arbiter, and our automated KRA/M-Pesa integration rails.</w:t>
        <w:br/>
        <w:br/>
        <w:t>Furthermore, we are curating an elite Strategic Advisory Board of veteran technology leaders and would be thrilled to formally invite you to join us with an advisory equity allocation, helping guide Kabuor ERP into the undisputed financial operating system for African enterprise.</w:t>
        <w:br/>
        <w:br/>
        <w:t>Thank you immensely for your time and consideration. I look forward to the honor of connecting with you.</w:t>
      </w:r>
    </w:p>
    <w:p>
      <w:pPr>
        <w:spacing w:before="160" w:after="40"/>
      </w:pPr>
      <w:r>
        <w:rPr>
          <w:rFonts w:ascii="Calibri" w:hAnsi="Calibri"/>
          <w:sz w:val="18"/>
        </w:rPr>
        <w:t>Yours sincerely,</w:t>
        <w:br/>
        <w:br/>
        <w:br/>
      </w:r>
      <w:r>
        <w:rPr>
          <w:rFonts w:ascii="Calibri" w:hAnsi="Calibri"/>
          <w:sz w:val="18"/>
        </w:rPr>
        <w:t>_________________________________________</w:t>
        <w:br/>
      </w:r>
      <w:r>
        <w:rPr>
          <w:rFonts w:ascii="Calibri" w:hAnsi="Calibri"/>
          <w:b/>
          <w:sz w:val="18"/>
        </w:rPr>
        <w:t>Rooney Odhiambo Kabuor</w:t>
        <w:br/>
      </w:r>
      <w:r>
        <w:rPr>
          <w:rFonts w:ascii="Calibri" w:hAnsi="Calibri"/>
          <w:sz w:val="18"/>
        </w:rPr>
        <w:t>Founder &amp; Chief Executive Officer</w:t>
        <w:br/>
      </w:r>
      <w:r>
        <w:rPr>
          <w:rFonts w:ascii="Calibri" w:hAnsi="Calibri"/>
          <w:sz w:val="18"/>
        </w:rPr>
        <w:t>Kabuor Builds Limited · Kabuor ERP</w:t>
        <w:br/>
      </w:r>
      <w:r>
        <w:rPr>
          <w:rFonts w:ascii="Calibri" w:hAnsi="Calibri"/>
          <w:sz w:val="18"/>
        </w:rPr>
        <w:t>Direct: +254 700 000 000 | rooney@kabuor.com | The Mirage Tower, Westlands, Nairobi</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