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192"/>
        <w:gridCol w:w="3269"/>
      </w:tblGrid>
      <w:tr>
        <w:tc>
          <w:tcPr>
            <w:tcW w:type="dxa" w:w="4730"/>
          </w:tcPr>
          <w:p>
            <w:pPr>
              <w:spacing w:after="40"/>
            </w:pPr>
            <w:r>
              <w:rPr>
                <w:rFonts w:ascii="Georgia" w:hAnsi="Georgia"/>
                <w:b/>
                <w:color w:val="0A2540"/>
                <w:sz w:val="28"/>
              </w:rPr>
              <w:t>KABUOR BUILDS LIMITED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070F0"/>
                <w:sz w:val="17"/>
              </w:rPr>
              <w:t>KABUOR ERP · FINANCIAL OPERATING SYSTEM</w:t>
            </w:r>
          </w:p>
        </w:tc>
        <w:tc>
          <w:tcPr>
            <w:tcW w:type="dxa" w:w="4730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color w:val="4A5568"/>
                <w:sz w:val="16"/>
              </w:rPr>
              <w:t>The Mirage Tower, Mezzanine 2</w:t>
              <w:br/>
            </w:r>
            <w:r>
              <w:rPr>
                <w:rFonts w:ascii="Calibri" w:hAnsi="Calibri"/>
                <w:color w:val="4A5568"/>
                <w:sz w:val="16"/>
              </w:rPr>
              <w:t>Chiromo Road, Westlands, Nairobi</w:t>
              <w:br/>
            </w:r>
            <w:r>
              <w:rPr>
                <w:rFonts w:ascii="Calibri" w:hAnsi="Calibri"/>
                <w:color w:val="4A5568"/>
                <w:sz w:val="16"/>
              </w:rPr>
              <w:t>Republic of Kenya · P.O. Box 45210-00100</w:t>
              <w:br/>
            </w:r>
            <w:r>
              <w:rPr>
                <w:rFonts w:ascii="Calibri" w:hAnsi="Calibri"/>
                <w:color w:val="4A5568"/>
                <w:sz w:val="16"/>
              </w:rPr>
              <w:t>founders@kabuor.com · www.kabuor.com</w:t>
              <w:br/>
            </w:r>
          </w:p>
        </w:tc>
      </w:tr>
    </w:tbl>
    <w:p>
      <w:pPr>
        <w:spacing w:before="80" w:after="200"/>
        <w:pBdr>
          <w:bottom w:val="single" w:sz="14" w:space="1" w:color="0A2540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192"/>
        <w:gridCol w:w="3269"/>
      </w:tblGrid>
      <w:tr>
        <w:tc>
          <w:tcPr>
            <w:tcW w:type="dxa" w:w="4730"/>
          </w:tcPr>
          <w:p>
            <w:pPr>
              <w:spacing w:after="0"/>
            </w:pPr>
            <w:r>
              <w:rPr>
                <w:b/>
                <w:color w:val="0A2540"/>
                <w:sz w:val="18"/>
              </w:rPr>
              <w:t>REF: KAB-OFF-PERFECT-2026</w:t>
              <w:br/>
            </w:r>
            <w:r>
              <w:rPr>
                <w:sz w:val="17"/>
              </w:rPr>
              <w:t>CLASSIFICATION: CONFIDENTIAL EXECUTIVE OFFER</w:t>
            </w:r>
          </w:p>
        </w:tc>
        <w:tc>
          <w:tcPr>
            <w:tcW w:type="dxa" w:w="4730"/>
          </w:tcPr>
          <w:p>
            <w:pPr>
              <w:spacing w:after="0"/>
              <w:jc w:val="right"/>
            </w:pPr>
            <w:r>
              <w:rPr>
                <w:sz w:val="18"/>
              </w:rPr>
              <w:t>DATE: [Insert Date]</w:t>
              <w:br/>
            </w:r>
            <w:r>
              <w:rPr>
                <w:color w:val="0070F0"/>
                <w:sz w:val="17"/>
              </w:rPr>
              <w:t>EXPIRY: 5 Business Days From Delivery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</w:rPr>
        <w:t>TO: [Candidate Full Legal Name]</w:t>
        <w:br/>
      </w:r>
      <w:r>
        <w:t>ADDRESS: [Candidate Address / Email / Phone]</w:t>
        <w:br/>
      </w:r>
      <w:r>
        <w:rPr>
          <w:b/>
          <w:color w:val="0A2540"/>
          <w:sz w:val="22"/>
        </w:rPr>
        <w:t>RE: FORMAL APPOINTMENT OFFER — [INSERT POSITION TITLE]</w:t>
      </w:r>
    </w:p>
    <w:p>
      <w:pPr>
        <w:spacing w:after="160" w:line="276" w:lineRule="auto"/>
      </w:pPr>
      <w:r>
        <w:rPr>
          <w:rFonts w:ascii="Calibri" w:hAnsi="Calibri"/>
          <w:color w:val="1A202C"/>
          <w:sz w:val="20"/>
        </w:rPr>
        <w:t>Dear [Candidate First Name],</w:t>
        <w:br/>
        <w:br/>
        <w:t>On behalf of the founding team at Kabuor Builds Limited, I am beyond excited to formally offer you the position of [Insert Position Title].</w:t>
        <w:br/>
        <w:br/>
        <w:t>Throughout our interview rounds, our entire team was deeply energized by your vision, your technical/commercial mastery, and your track record in [mention specific candidate achievement, e.g., scaling fintech merchant rails / architecting high-availability cloud platforms]. We are not merely filling an open headcount; we are inviting you to become a foundational leader in building the compound financial operating system for commerce across East Africa. We believe that your leadership in this role will directly accelerate our trajectory toward market dominance.</w:t>
        <w:br/>
        <w:br/>
        <w:t>Below are the complete, transparent terms of your appointment and equity grant.</w:t>
      </w:r>
    </w:p>
    <w:p>
      <w:pPr>
        <w:spacing w:before="200" w:after="80"/>
      </w:pPr>
      <w:r>
        <w:rPr>
          <w:rFonts w:ascii="Georgia" w:hAnsi="Georgia"/>
          <w:b/>
          <w:color w:val="0A2540"/>
          <w:sz w:val="23"/>
        </w:rPr>
        <w:t>1. Position &amp; Strategic Mission</w:t>
      </w:r>
    </w:p>
    <w:p>
      <w:pPr>
        <w:spacing w:after="120" w:line="269" w:lineRule="auto"/>
      </w:pPr>
      <w:r>
        <w:rPr>
          <w:rFonts w:ascii="Calibri" w:hAnsi="Calibri"/>
          <w:b/>
          <w:sz w:val="19"/>
        </w:rPr>
        <w:t xml:space="preserve">• Position Title: </w:t>
      </w:r>
      <w:r>
        <w:rPr>
          <w:rFonts w:ascii="Calibri" w:hAnsi="Calibri"/>
          <w:sz w:val="19"/>
        </w:rPr>
        <w:t>[Insert Position Title]</w:t>
        <w:br/>
      </w:r>
      <w:r>
        <w:rPr>
          <w:rFonts w:ascii="Calibri" w:hAnsi="Calibri"/>
          <w:b/>
          <w:sz w:val="19"/>
        </w:rPr>
        <w:t xml:space="preserve">• Reporting Line: </w:t>
      </w:r>
      <w:r>
        <w:rPr>
          <w:rFonts w:ascii="Calibri" w:hAnsi="Calibri"/>
          <w:sz w:val="19"/>
        </w:rPr>
        <w:t>Founder &amp; Chief Executive Officer (Rooney Odhiambo Kabuor)</w:t>
        <w:br/>
      </w:r>
      <w:r>
        <w:rPr>
          <w:rFonts w:ascii="Calibri" w:hAnsi="Calibri"/>
          <w:b/>
          <w:sz w:val="19"/>
        </w:rPr>
        <w:t xml:space="preserve">• Operating Pod: </w:t>
      </w:r>
      <w:r>
        <w:rPr>
          <w:rFonts w:ascii="Calibri" w:hAnsi="Calibri"/>
          <w:sz w:val="19"/>
        </w:rPr>
        <w:t>[Insert Pod: Commercial Growth / Core Platform / Regulatory &amp; Fiscal / Merchant Ops]</w:t>
        <w:br/>
      </w:r>
      <w:r>
        <w:rPr>
          <w:rFonts w:ascii="Calibri" w:hAnsi="Calibri"/>
          <w:b/>
          <w:sz w:val="19"/>
        </w:rPr>
        <w:t xml:space="preserve">• Primary Location: </w:t>
      </w:r>
      <w:r>
        <w:rPr>
          <w:rFonts w:ascii="Calibri" w:hAnsi="Calibri"/>
          <w:sz w:val="19"/>
        </w:rPr>
        <w:t>Kabuor Builds HQ, The Mirage Tower, Westlands, Nairobi (Flexible Hybrid Work Model)</w:t>
        <w:br/>
      </w:r>
      <w:r>
        <w:rPr>
          <w:rFonts w:ascii="Calibri" w:hAnsi="Calibri"/>
          <w:b/>
          <w:sz w:val="19"/>
        </w:rPr>
        <w:t xml:space="preserve">• Core Mission: </w:t>
      </w:r>
      <w:r>
        <w:rPr>
          <w:rFonts w:ascii="Calibri" w:hAnsi="Calibri"/>
          <w:sz w:val="19"/>
        </w:rPr>
        <w:t>[Insert 1-2 sentence high-level goal, e.g., Scale our merchant base from 250 to 5,000 businesses and own the nationwide wholesale distribution corridor].</w:t>
      </w:r>
    </w:p>
    <w:p>
      <w:pPr>
        <w:spacing w:before="160" w:after="80"/>
      </w:pPr>
      <w:r>
        <w:rPr>
          <w:rFonts w:ascii="Georgia" w:hAnsi="Georgia"/>
          <w:b/>
          <w:color w:val="0A2540"/>
          <w:sz w:val="23"/>
        </w:rPr>
        <w:t>2. Comprehensive Total Rewards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149"/>
      </w:tblGrid>
      <w:tr>
        <w:tc>
          <w:tcPr>
            <w:tcW w:type="dxa" w:w="4730"/>
            <w:shd w:fill="0A25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Total Rewards Component</w:t>
            </w:r>
          </w:p>
        </w:tc>
        <w:tc>
          <w:tcPr>
            <w:tcW w:type="dxa" w:w="4730"/>
            <w:shd w:fill="0A25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Contractual Terms &amp; Provision</w:t>
            </w:r>
          </w:p>
        </w:tc>
      </w:tr>
      <w:tr>
        <w:tc>
          <w:tcPr>
            <w:tcW w:type="dxa" w:w="473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A2540"/>
                <w:sz w:val="17"/>
              </w:rPr>
              <w:t>Monthly Base Salary</w:t>
            </w:r>
          </w:p>
        </w:tc>
        <w:tc>
          <w:tcPr>
            <w:tcW w:type="dxa" w:w="473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KSh [Insert Amount, e.g., 300,000] per month (Gross, payable on the 28th of every month)</w:t>
            </w:r>
          </w:p>
        </w:tc>
      </w:tr>
      <w:tr>
        <w:tc>
          <w:tcPr>
            <w:tcW w:type="dxa" w:w="473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A2540"/>
                <w:sz w:val="17"/>
              </w:rPr>
              <w:t>Performance Incentive Bonus</w:t>
            </w:r>
          </w:p>
        </w:tc>
        <w:tc>
          <w:tcPr>
            <w:tcW w:type="dxa" w:w="473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Up to [Insert %, e.g., 30%] annual bonus based on mutually agreed OKRs and platform growth targets</w:t>
            </w:r>
          </w:p>
        </w:tc>
      </w:tr>
      <w:tr>
        <w:tc>
          <w:tcPr>
            <w:tcW w:type="dxa" w:w="473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A2540"/>
                <w:sz w:val="17"/>
              </w:rPr>
              <w:t>Equity Ownership (ESOP)</w:t>
            </w:r>
          </w:p>
        </w:tc>
        <w:tc>
          <w:tcPr>
            <w:tcW w:type="dxa" w:w="473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[Insert %, e.g., 2.0%] Common Stock Options under the Kabuor Builds ESOP Scheme (detailed below)</w:t>
            </w:r>
          </w:p>
        </w:tc>
      </w:tr>
      <w:tr>
        <w:tc>
          <w:tcPr>
            <w:tcW w:type="dxa" w:w="473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A2540"/>
                <w:sz w:val="17"/>
              </w:rPr>
              <w:t>Tier-1 Healthcare Coverage</w:t>
            </w:r>
          </w:p>
        </w:tc>
        <w:tc>
          <w:tcPr>
            <w:tcW w:type="dxa" w:w="473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Comprehensive private inpatient and outpatient medical cover for you + direct family (Aga Khan, Nairobi Hospital)</w:t>
            </w:r>
          </w:p>
        </w:tc>
      </w:tr>
      <w:tr>
        <w:tc>
          <w:tcPr>
            <w:tcW w:type="dxa" w:w="473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A2540"/>
                <w:sz w:val="17"/>
              </w:rPr>
              <w:t>Equipment &amp; Tech Stipend</w:t>
            </w:r>
          </w:p>
        </w:tc>
        <w:tc>
          <w:tcPr>
            <w:tcW w:type="dxa" w:w="473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Latest Apple MacBook Pro or Lenovo ThinkPad workstation + KSh 10,000 monthly home fiber internet allowance</w:t>
            </w:r>
          </w:p>
        </w:tc>
      </w:tr>
      <w:tr>
        <w:tc>
          <w:tcPr>
            <w:tcW w:type="dxa" w:w="473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A2540"/>
                <w:sz w:val="17"/>
              </w:rPr>
              <w:t>Statutory Deductions</w:t>
            </w:r>
          </w:p>
        </w:tc>
        <w:tc>
          <w:tcPr>
            <w:tcW w:type="dxa" w:w="473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Full compliance with 2026 Kenyan tax laws: PAYE, NSSF Tier I/II, SHIF (2.75%), Affordable Housing Levy (1.5%)</w:t>
            </w:r>
          </w:p>
        </w:tc>
      </w:tr>
      <w:tr>
        <w:tc>
          <w:tcPr>
            <w:tcW w:type="dxa" w:w="473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A2540"/>
                <w:sz w:val="17"/>
              </w:rPr>
              <w:t>Annual Leave &amp; Rest</w:t>
            </w:r>
          </w:p>
        </w:tc>
        <w:tc>
          <w:tcPr>
            <w:tcW w:type="dxa" w:w="473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24 paid working days annual leave per calendar year, plus all gazetted Kenyan public holidays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Georgia" w:hAnsi="Georgia"/>
          <w:b/>
          <w:color w:val="0A2540"/>
          <w:sz w:val="23"/>
        </w:rPr>
        <w:t>3. The Equity Opportunity: How Your Ownership Creates Wealth</w:t>
      </w:r>
    </w:p>
    <w:p>
      <w:pPr>
        <w:spacing w:after="120" w:line="276" w:lineRule="auto"/>
      </w:pPr>
      <w:r>
        <w:rPr>
          <w:rFonts w:ascii="Calibri" w:hAnsi="Calibri"/>
          <w:color w:val="1A202C"/>
          <w:sz w:val="19"/>
        </w:rPr>
        <w:t>Top technology companies do not build wealth solely through monthly salaries; life-changing wealth is built through equity ownership. At Kabuor ERP, we believe in radical transparency. Below is an explicit model illustrating the projected financial value of your [Insert %, e.g., 2.0%] equity grant across three valuation milestones, based on our current Series A targets and regional growth projections: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440"/>
        <w:gridCol w:w="1152"/>
        <w:gridCol w:w="2160"/>
        <w:gridCol w:w="2549"/>
      </w:tblGrid>
      <w:tr>
        <w:tc>
          <w:tcPr>
            <w:tcW w:type="dxa" w:w="1892"/>
            <w:shd w:fill="0A25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Growth Milestone</w:t>
            </w:r>
          </w:p>
        </w:tc>
        <w:tc>
          <w:tcPr>
            <w:tcW w:type="dxa" w:w="1892"/>
            <w:shd w:fill="0A25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Company Valuation</w:t>
            </w:r>
          </w:p>
        </w:tc>
        <w:tc>
          <w:tcPr>
            <w:tcW w:type="dxa" w:w="1892"/>
            <w:shd w:fill="0A25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Ownership</w:t>
            </w:r>
          </w:p>
        </w:tc>
        <w:tc>
          <w:tcPr>
            <w:tcW w:type="dxa" w:w="1892"/>
            <w:shd w:fill="0A25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Estimated Equity Value</w:t>
            </w:r>
          </w:p>
        </w:tc>
        <w:tc>
          <w:tcPr>
            <w:tcW w:type="dxa" w:w="1892"/>
            <w:shd w:fill="0A25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Operational Milestone</w:t>
            </w:r>
          </w:p>
        </w:tc>
      </w:tr>
      <w:tr>
        <w:tc>
          <w:tcPr>
            <w:tcW w:type="dxa" w:w="18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Current Round (Series A Target)</w:t>
            </w:r>
          </w:p>
        </w:tc>
        <w:tc>
          <w:tcPr>
            <w:tcW w:type="dxa" w:w="18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$12,000,000</w:t>
            </w:r>
          </w:p>
        </w:tc>
        <w:tc>
          <w:tcPr>
            <w:tcW w:type="dxa" w:w="18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[2.0%]</w:t>
            </w:r>
          </w:p>
        </w:tc>
        <w:tc>
          <w:tcPr>
            <w:tcW w:type="dxa" w:w="18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08043"/>
                <w:sz w:val="16"/>
              </w:rPr>
              <w:t>$240,000 (~KSh 31,200,000)</w:t>
            </w:r>
          </w:p>
        </w:tc>
        <w:tc>
          <w:tcPr>
            <w:tcW w:type="dxa" w:w="18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Baseline valuation supported by current core architecture &amp; ARR</w:t>
            </w:r>
          </w:p>
        </w:tc>
      </w:tr>
      <w:tr>
        <w:tc>
          <w:tcPr>
            <w:tcW w:type="dxa" w:w="1892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Milestone 1 (Series B / 5,000 Merchants)</w:t>
            </w:r>
          </w:p>
        </w:tc>
        <w:tc>
          <w:tcPr>
            <w:tcW w:type="dxa" w:w="1892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$45,000,000</w:t>
            </w:r>
          </w:p>
        </w:tc>
        <w:tc>
          <w:tcPr>
            <w:tcW w:type="dxa" w:w="1892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[1.7% post-dilution]</w:t>
            </w:r>
          </w:p>
        </w:tc>
        <w:tc>
          <w:tcPr>
            <w:tcW w:type="dxa" w:w="1892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08043"/>
                <w:sz w:val="16"/>
              </w:rPr>
              <w:t>$765,000 (~KSh 99,450,000)</w:t>
            </w:r>
          </w:p>
        </w:tc>
        <w:tc>
          <w:tcPr>
            <w:tcW w:type="dxa" w:w="1892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Expansion into Kenya secondary cities &amp; wholesale supply chain</w:t>
            </w:r>
          </w:p>
        </w:tc>
      </w:tr>
      <w:tr>
        <w:tc>
          <w:tcPr>
            <w:tcW w:type="dxa" w:w="18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Milestone 2 (Series C / Strategic Exit)</w:t>
            </w:r>
          </w:p>
        </w:tc>
        <w:tc>
          <w:tcPr>
            <w:tcW w:type="dxa" w:w="18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$120,000,000</w:t>
            </w:r>
          </w:p>
        </w:tc>
        <w:tc>
          <w:tcPr>
            <w:tcW w:type="dxa" w:w="18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[1.4% post-dilution]</w:t>
            </w:r>
          </w:p>
        </w:tc>
        <w:tc>
          <w:tcPr>
            <w:tcW w:type="dxa" w:w="18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08043"/>
                <w:sz w:val="16"/>
              </w:rPr>
              <w:t>$1,680,000 (~KSh 218,400,000)</w:t>
            </w:r>
          </w:p>
        </w:tc>
        <w:tc>
          <w:tcPr>
            <w:tcW w:type="dxa" w:w="18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Regional East African dominance + Embedded Merchant Lending</w:t>
            </w:r>
          </w:p>
        </w:tc>
      </w:tr>
    </w:tbl>
    <w:p>
      <w:pPr>
        <w:spacing w:before="120" w:after="120"/>
      </w:pPr>
      <w:r>
        <w:rPr>
          <w:i/>
          <w:color w:val="4A5568"/>
          <w:sz w:val="17"/>
        </w:rPr>
        <w:t>Vesting Mechanics: Standard 4-year vesting schedule with a 1-year cliff (25% vests on your first anniversary, with the remaining 75% vesting in equal monthly increments over the subsequent 36 months).</w:t>
      </w:r>
    </w:p>
    <w:p>
      <w:pPr>
        <w:spacing w:before="160" w:after="80"/>
      </w:pPr>
      <w:r>
        <w:rPr>
          <w:rFonts w:ascii="Georgia" w:hAnsi="Georgia"/>
          <w:b/>
          <w:color w:val="0A2540"/>
          <w:sz w:val="23"/>
        </w:rPr>
        <w:t>4. Intellectual Property &amp; Protective Covenants</w:t>
      </w:r>
    </w:p>
    <w:p>
      <w:pPr>
        <w:spacing w:after="120" w:line="269" w:lineRule="auto"/>
      </w:pPr>
      <w:r>
        <w:rPr>
          <w:rFonts w:ascii="Calibri" w:hAnsi="Calibri"/>
          <w:color w:val="1A202C"/>
          <w:sz w:val="18"/>
        </w:rPr>
        <w:t>• Intellectual Property Assignment: All software code, database models, technical innovations, and customer relationships developed during your tenure remain the sole, absolute, and exclusive property of Kabuor Builds Limited.</w:t>
        <w:br/>
        <w:t>• Restrictive Covenants: To protect the company's enterprise value, you agree to a standard 12-month post-employment non-solicitation of company employees, contractors, and institutional commercial partners.</w:t>
        <w:br/>
        <w:t>• Governing Law: This contract is governed by the Employment Act, 2007 of the Laws of the Republic of Kenya.</w:t>
      </w:r>
    </w:p>
    <w:p>
      <w:pPr>
        <w:spacing w:before="120" w:after="160" w:line="276" w:lineRule="auto"/>
      </w:pPr>
      <w:r>
        <w:rPr>
          <w:rFonts w:ascii="Calibri" w:hAnsi="Calibri"/>
          <w:sz w:val="19"/>
        </w:rPr>
        <w:t>[Candidate First Name], we are building something truly historic for African commerce, and we hope you will choose to build it with us. This offer is open for acceptance until [Insert Expiry Date, e.g., Friday, 31st October 2026 at 5:00 PM EAT].</w:t>
        <w:br/>
        <w:br/>
        <w:t>To accept this appointment, please sign and return the duplicate copy below.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09"/>
      </w:tblGrid>
      <w:tr>
        <w:tc>
          <w:tcPr>
            <w:tcW w:type="dxa" w:w="4730"/>
          </w:tcPr>
          <w:p>
            <w:pPr>
              <w:spacing w:after="40"/>
            </w:pPr>
            <w:r>
              <w:rPr>
                <w:b/>
                <w:sz w:val="17"/>
              </w:rPr>
              <w:t>FOR: KABUOR BUILDS LIMITED</w:t>
              <w:br/>
              <w:br/>
              <w:br/>
            </w:r>
            <w:r>
              <w:rPr>
                <w:sz w:val="17"/>
              </w:rPr>
              <w:t>_________________________________________</w:t>
              <w:br/>
            </w:r>
            <w:r>
              <w:rPr>
                <w:b/>
                <w:sz w:val="17"/>
              </w:rPr>
              <w:t>Rooney Odhiambo Kabuor</w:t>
              <w:br/>
            </w:r>
            <w:r>
              <w:rPr>
                <w:sz w:val="17"/>
              </w:rPr>
              <w:t>Founder &amp; Chief Executive Officer</w:t>
              <w:br/>
              <w:t>Date: ___________________________________</w:t>
            </w:r>
          </w:p>
        </w:tc>
        <w:tc>
          <w:tcPr>
            <w:tcW w:type="dxa" w:w="4730"/>
          </w:tcPr>
          <w:p>
            <w:pPr>
              <w:spacing w:after="40"/>
            </w:pPr>
            <w:r>
              <w:rPr>
                <w:b/>
                <w:sz w:val="17"/>
              </w:rPr>
              <w:t>ACCEPTED &amp; AGREED:</w:t>
              <w:br/>
              <w:br/>
              <w:br/>
            </w:r>
            <w:r>
              <w:rPr>
                <w:sz w:val="17"/>
              </w:rPr>
              <w:t>_________________________________________</w:t>
              <w:br/>
            </w:r>
            <w:r>
              <w:rPr>
                <w:b/>
                <w:sz w:val="17"/>
              </w:rPr>
              <w:t>[Candidate Full Legal Name]</w:t>
              <w:br/>
            </w:r>
            <w:r>
              <w:rPr>
                <w:sz w:val="17"/>
              </w:rPr>
              <w:t>[Insert Position Title]</w:t>
              <w:br/>
              <w:t>Date: ___________________________________</w:t>
            </w:r>
          </w:p>
        </w:tc>
      </w:tr>
    </w:tbl>
    <w:sectPr w:rsidR="00FC693F" w:rsidRPr="0006063C" w:rsidSect="00034616">
      <w:pgSz w:w="11909" w:h="16834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