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color w:val="FFFFFF"/>
          <w:sz w:val="2"/>
        </w:rPr>
        <w:t>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color w:val="1F4E79"/>
          <w:sz w:val="36"/>
        </w:rPr>
        <w:t>Лабораторная работа № 4</w:t>
      </w:r>
    </w:p>
    <w:p>
      <w:pPr>
        <w:jc w:val="center"/>
      </w:pPr>
      <w:r>
        <w:rPr>
          <w:rFonts w:ascii="Times New Roman" w:hAnsi="Times New Roman"/>
          <w:sz w:val="26"/>
        </w:rPr>
        <w:t>Применение методов машинного обучения для прогнозирования РТО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Первый лист оставлен пустым под титульный лист по требованию задания.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 xml:space="preserve">Ссылка на код: </w:t>
      </w:r>
      <w:hyperlink r:id="rId9">
        <w:r>
          <w:rPr>
            <w:color w:val="0563C1"/>
            <w:u w:val="single"/>
          </w:rPr>
          <w:t>https://github.com/KachalovG/labsML/tree/main/lab4_map_saved_models_report</w:t>
        </w:r>
      </w:hyperlink>
    </w:p>
    <w:p>
      <w:pPr>
        <w:spacing w:after="120" w:line="259" w:lineRule="auto"/>
      </w:pPr>
      <w:r>
        <w:rPr>
          <w:rFonts w:ascii="Times New Roman" w:hAnsi="Times New Roman"/>
          <w:sz w:val="22"/>
        </w:rPr>
        <w:t xml:space="preserve">Основной скрипт без обучения моделей: </w:t>
      </w:r>
      <w:hyperlink r:id="rId10">
        <w:r>
          <w:rPr>
            <w:color w:val="0563C1"/>
            <w:u w:val="single"/>
          </w:rPr>
          <w:t>https://github.com/KachalovG/labsML/blob/main/lab4_map_saved_models_report/saved_model_pipeline.py</w:t>
        </w:r>
      </w:hyperlink>
    </w:p>
    <w:p>
      <w:pPr>
        <w:pStyle w:val="Heading1"/>
        <w:jc w:val="left"/>
      </w:pPr>
      <w:r>
        <w:rPr>
          <w:rFonts w:ascii="Times New Roman" w:hAnsi="Times New Roman"/>
          <w:b/>
          <w:color w:val="1F4E79"/>
          <w:sz w:val="32"/>
        </w:rPr>
        <w:t>1. Постановка бизнес-задачи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Бизнес-задача: для сети магазинов требуется спрогнозировать РТО на следующий, 11-й месяц по каждому магазину. Прогноз нужен для планирования запасов, логистики, региональных планов продаж и раннего выявления магазинов с ожидаемым отклонением оборота.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ML-задача: регрессия, поскольку целевая переменная является непрерывным числовым значением. Объект прогноза - магазин в конкретном прогнозном месяце, целевой показатель - РТО.</w:t>
      </w:r>
    </w:p>
    <w:p>
      <w:pPr>
        <w:spacing w:after="60" w:line="252" w:lineRule="auto"/>
      </w:pPr>
      <w:r>
        <w:rPr>
          <w:rFonts w:ascii="Times New Roman" w:hAnsi="Times New Roman"/>
          <w:sz w:val="21"/>
        </w:rPr>
        <w:t>- Исходный период: месяцы 1-10, всего 10 исторических месяцев.</w:t>
      </w:r>
    </w:p>
    <w:p>
      <w:pPr>
        <w:spacing w:after="60" w:line="252" w:lineRule="auto"/>
      </w:pPr>
      <w:r>
        <w:rPr>
          <w:rFonts w:ascii="Times New Roman" w:hAnsi="Times New Roman"/>
          <w:sz w:val="21"/>
        </w:rPr>
        <w:t>- Количество магазинов: 20 615; количество регионов: 69.</w:t>
      </w:r>
    </w:p>
    <w:p>
      <w:pPr>
        <w:spacing w:after="60" w:line="252" w:lineRule="auto"/>
      </w:pPr>
      <w:r>
        <w:rPr>
          <w:rFonts w:ascii="Times New Roman" w:hAnsi="Times New Roman"/>
          <w:sz w:val="21"/>
        </w:rPr>
        <w:t>- Финальная сборка не обучает модели: используются сохраненные LinearRegression, RandomForestRegressor и TorchMLP.</w:t>
      </w:r>
    </w:p>
    <w:p>
      <w:pPr>
        <w:pStyle w:val="Heading1"/>
        <w:jc w:val="left"/>
      </w:pPr>
      <w:r>
        <w:rPr>
          <w:rFonts w:ascii="Times New Roman" w:hAnsi="Times New Roman"/>
          <w:b/>
          <w:color w:val="1F4E79"/>
          <w:sz w:val="32"/>
        </w:rPr>
        <w:t>2. Паспорт набора данных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50"/>
            <w:vAlign w:val="center"/>
            <w:shd w:fill="D9EAF7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3250"/>
            <w:vAlign w:val="center"/>
            <w:shd w:fill="D9EAF7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Характеристика набора данных</w:t>
            </w:r>
          </w:p>
        </w:tc>
        <w:tc>
          <w:tcPr>
            <w:tcW w:type="dxa" w:w="3250"/>
            <w:vAlign w:val="center"/>
            <w:shd w:fill="D9EAF7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Значение / описание</w:t>
            </w:r>
          </w:p>
        </w:tc>
      </w:tr>
      <w:tr>
        <w:tc>
          <w:tcPr>
            <w:tcW w:type="dxa" w:w="325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325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Название датасета</w:t>
            </w:r>
          </w:p>
        </w:tc>
        <w:tc>
          <w:tcPr>
            <w:tcW w:type="dxa" w:w="325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Retail RTO Forecast: история РТО по магазинам сети</w:t>
            </w:r>
          </w:p>
        </w:tc>
      </w:tr>
      <w:tr>
        <w:tc>
          <w:tcPr>
            <w:tcW w:type="dxa" w:w="325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325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Источник</w:t>
            </w:r>
          </w:p>
        </w:tc>
        <w:tc>
          <w:tcPr>
            <w:tcW w:type="dxa" w:w="325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Локальный файл проекта data/train.csv</w:t>
            </w:r>
          </w:p>
        </w:tc>
      </w:tr>
      <w:tr>
        <w:tc>
          <w:tcPr>
            <w:tcW w:type="dxa" w:w="325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325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Количество наблюдений</w:t>
            </w:r>
          </w:p>
        </w:tc>
        <w:tc>
          <w:tcPr>
            <w:tcW w:type="dxa" w:w="325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206 150 строк в исходном наборе; 164 920 строк после лагов</w:t>
            </w:r>
          </w:p>
        </w:tc>
      </w:tr>
      <w:tr>
        <w:tc>
          <w:tcPr>
            <w:tcW w:type="dxa" w:w="325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325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Количество признаков</w:t>
            </w:r>
          </w:p>
        </w:tc>
        <w:tc>
          <w:tcPr>
            <w:tcW w:type="dxa" w:w="325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19 столбцов исходно; 86 столбцов после подготовки</w:t>
            </w:r>
          </w:p>
        </w:tc>
      </w:tr>
      <w:tr>
        <w:tc>
          <w:tcPr>
            <w:tcW w:type="dxa" w:w="325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325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Тип задачи</w:t>
            </w:r>
          </w:p>
        </w:tc>
        <w:tc>
          <w:tcPr>
            <w:tcW w:type="dxa" w:w="325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Регрессия, прогноз непрерывного значения РТО</w:t>
            </w:r>
          </w:p>
        </w:tc>
      </w:tr>
      <w:tr>
        <w:tc>
          <w:tcPr>
            <w:tcW w:type="dxa" w:w="325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325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Целевая переменная</w:t>
            </w:r>
          </w:p>
        </w:tc>
        <w:tc>
          <w:tcPr>
            <w:tcW w:type="dxa" w:w="325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РТО, числовой показатель месячного оборота магазина</w:t>
            </w:r>
          </w:p>
        </w:tc>
      </w:tr>
      <w:tr>
        <w:tc>
          <w:tcPr>
            <w:tcW w:type="dxa" w:w="325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>
            <w:tcW w:type="dxa" w:w="325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Доля целевого класса</w:t>
            </w:r>
          </w:p>
        </w:tc>
        <w:tc>
          <w:tcPr>
            <w:tcW w:type="dxa" w:w="325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Не применяется, так как задача не классификационная</w:t>
            </w:r>
          </w:p>
        </w:tc>
      </w:tr>
      <w:tr>
        <w:tc>
          <w:tcPr>
            <w:tcW w:type="dxa" w:w="325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325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Категориальные / числовые признаки</w:t>
            </w:r>
          </w:p>
        </w:tc>
        <w:tc>
          <w:tcPr>
            <w:tcW w:type="dxa" w:w="325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4 категориальных и 14 числовых признаков в исходных данных</w:t>
            </w:r>
          </w:p>
        </w:tc>
      </w:tr>
      <w:tr>
        <w:tc>
          <w:tcPr>
            <w:tcW w:type="dxa" w:w="325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>
            <w:tcW w:type="dxa" w:w="325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Пропуски и выбросы</w:t>
            </w:r>
          </w:p>
        </w:tc>
        <w:tc>
          <w:tcPr>
            <w:tcW w:type="dxa" w:w="325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Пропусков: 0; IQR-выбросов по РТО: 11 027 (5.35%)</w:t>
            </w:r>
          </w:p>
        </w:tc>
      </w:tr>
      <w:tr>
        <w:tc>
          <w:tcPr>
            <w:tcW w:type="dxa" w:w="325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325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Предварительный вывод</w:t>
            </w:r>
          </w:p>
        </w:tc>
        <w:tc>
          <w:tcPr>
            <w:tcW w:type="dxa" w:w="325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Данные полные, но РТО имеет правостороннее распределение; выбросы отражают крупные магазины и сохранены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/>
          <w:b/>
          <w:color w:val="1F4E79"/>
          <w:sz w:val="32"/>
        </w:rPr>
        <w:t>3. Исследовательский анализ данных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В исходном наборе 206 150 строк и 19 столбцов. Медианное значение РТО составляет 27.92 млн, среднее - 32.73 млн, максимальное наблюдение - 220.59 млн. Пропуски не обнаружены.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Распределение РТО имеет правый хвост: часть магазинов заметно крупнее медианного магазина. Такие наблюдения не удалялись, потому что они отражают реальный масштаб бизнеса и важны для прогноза.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target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18"/>
        </w:rPr>
        <w:t>Рисунок 1 - распределение исторического РТО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monthly_his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18"/>
        </w:rPr>
        <w:t>Рисунок 2 - динамика суммарного и среднего РТО по месяцам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50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correlation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18"/>
        </w:rPr>
        <w:t>Рисунок 3 - корреляции ключевых признаков с РТО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381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category_prof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18"/>
        </w:rPr>
        <w:t>Рисунок 4 - средний РТО по категориальному профилю магазина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Сильнейшая связь с целевым показателем ожидаемо наблюдается у лагов РТО: РТО прошлого месяца, среднего РТО за предыдущие периоды и РТО два месяца назад. Это подтверждает, что задача носит временной характер, а последние месяцы продаж являются ключевым источником сигнала.</w:t>
      </w:r>
    </w:p>
    <w:p>
      <w:pPr>
        <w:pStyle w:val="Heading1"/>
        <w:jc w:val="left"/>
      </w:pPr>
      <w:r>
        <w:rPr>
          <w:rFonts w:ascii="Times New Roman" w:hAnsi="Times New Roman"/>
          <w:b/>
          <w:color w:val="1F4E79"/>
          <w:sz w:val="32"/>
        </w:rPr>
        <w:t>4. Предобработка данных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437"/>
            <w:vAlign w:val="center"/>
            <w:shd w:fill="D9EAF7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Шаг</w:t>
            </w:r>
          </w:p>
        </w:tc>
        <w:tc>
          <w:tcPr>
            <w:tcW w:type="dxa" w:w="2437"/>
            <w:vAlign w:val="center"/>
            <w:shd w:fill="D9EAF7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Действие</w:t>
            </w:r>
          </w:p>
        </w:tc>
        <w:tc>
          <w:tcPr>
            <w:tcW w:type="dxa" w:w="2437"/>
            <w:vAlign w:val="center"/>
            <w:shd w:fill="D9EAF7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Инструменты / метод</w:t>
            </w:r>
          </w:p>
        </w:tc>
        <w:tc>
          <w:tcPr>
            <w:tcW w:type="dxa" w:w="2437"/>
            <w:vAlign w:val="center"/>
            <w:shd w:fill="D9EAF7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Обоснование</w:t>
            </w:r>
          </w:p>
        </w:tc>
      </w:tr>
      <w:tr>
        <w:tc>
          <w:tcPr>
            <w:tcW w:type="dxa" w:w="2437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2437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Обработка пропусков</w:t>
            </w:r>
          </w:p>
        </w:tc>
        <w:tc>
          <w:tcPr>
            <w:tcW w:type="dxa" w:w="2437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Проверка isna; строк с пропусками нет</w:t>
            </w:r>
          </w:p>
        </w:tc>
        <w:tc>
          <w:tcPr>
            <w:tcW w:type="dxa" w:w="2437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Пропуски отсутствуют в исходном и обработанном наборе</w:t>
            </w:r>
          </w:p>
        </w:tc>
      </w:tr>
      <w:tr>
        <w:tc>
          <w:tcPr>
            <w:tcW w:type="dxa" w:w="2437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2437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Обработка выбросов</w:t>
            </w:r>
          </w:p>
        </w:tc>
        <w:tc>
          <w:tcPr>
            <w:tcW w:type="dxa" w:w="2437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IQR-анализ целевой переменной; значения сохранены</w:t>
            </w:r>
          </w:p>
        </w:tc>
        <w:tc>
          <w:tcPr>
            <w:tcW w:type="dxa" w:w="2437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Крупные РТО являются бизнес-реальностью сети и важны для прогноза</w:t>
            </w:r>
          </w:p>
        </w:tc>
      </w:tr>
      <w:tr>
        <w:tc>
          <w:tcPr>
            <w:tcW w:type="dxa" w:w="2437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2437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Кодирование категорий</w:t>
            </w:r>
          </w:p>
        </w:tc>
        <w:tc>
          <w:tcPr>
            <w:tcW w:type="dxa" w:w="2437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Ordinal encoding для возраста/площади; one-hot encoding для региона</w:t>
            </w:r>
          </w:p>
        </w:tc>
        <w:tc>
          <w:tcPr>
            <w:tcW w:type="dxa" w:w="2437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Категории переведены в числовой вид, регион не навязывает искусственный порядок</w:t>
            </w:r>
          </w:p>
        </w:tc>
      </w:tr>
      <w:tr>
        <w:tc>
          <w:tcPr>
            <w:tcW w:type="dxa" w:w="2437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2437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Масштабирование</w:t>
            </w:r>
          </w:p>
        </w:tc>
        <w:tc>
          <w:tcPr>
            <w:tcW w:type="dxa" w:w="2437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StandardScaler для числовых признаков из сохраненного scaler.pkl</w:t>
            </w:r>
          </w:p>
        </w:tc>
        <w:tc>
          <w:tcPr>
            <w:tcW w:type="dxa" w:w="2437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Нужно для линейной регрессии и MLP; лес использует исходный масштаб</w:t>
            </w:r>
          </w:p>
        </w:tc>
      </w:tr>
      <w:tr>
        <w:tc>
          <w:tcPr>
            <w:tcW w:type="dxa" w:w="2437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2437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Разделение выборок</w:t>
            </w:r>
          </w:p>
        </w:tc>
        <w:tc>
          <w:tcPr>
            <w:tcW w:type="dxa" w:w="2437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Holdout 80/20, random_state=42</w:t>
            </w:r>
          </w:p>
        </w:tc>
        <w:tc>
          <w:tcPr>
            <w:tcW w:type="dxa" w:w="2437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Единая тестовая часть позволяет сравнить модели корректно</w:t>
            </w:r>
          </w:p>
        </w:tc>
      </w:tr>
      <w:tr>
        <w:tc>
          <w:tcPr>
            <w:tcW w:type="dxa" w:w="2437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2437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Балансировка классов</w:t>
            </w:r>
          </w:p>
        </w:tc>
        <w:tc>
          <w:tcPr>
            <w:tcW w:type="dxa" w:w="2437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Не выполнялась</w:t>
            </w:r>
          </w:p>
        </w:tc>
        <w:tc>
          <w:tcPr>
            <w:tcW w:type="dxa" w:w="2437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В задаче регрессии нет целевых классов</w:t>
            </w:r>
          </w:p>
        </w:tc>
      </w:tr>
    </w:tbl>
    <w:p>
      <w:pPr>
        <w:spacing w:after="120" w:line="259" w:lineRule="auto"/>
      </w:pPr>
      <w:r>
        <w:rPr>
          <w:rFonts w:ascii="Times New Roman" w:hAnsi="Times New Roman"/>
          <w:sz w:val="22"/>
        </w:rPr>
        <w:t>После формирования лагов и удаления первых месяцев без достаточной истории осталось 164 920 строк. Для месяца были добавлены циклические признаки sin/cos, чтобы модель учитывала сезонность без разрыва между декабрем и январем.</w:t>
      </w:r>
    </w:p>
    <w:p>
      <w:pPr>
        <w:pStyle w:val="Heading1"/>
        <w:jc w:val="left"/>
      </w:pPr>
      <w:r>
        <w:rPr>
          <w:rFonts w:ascii="Times New Roman" w:hAnsi="Times New Roman"/>
          <w:b/>
          <w:color w:val="1F4E79"/>
          <w:sz w:val="32"/>
        </w:rPr>
        <w:t>5. Построение моделей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В финальной папке код не содержит вызовов обучения. Сравнение выполнено путем загрузки сохраненных моделей и расчета прогнозов на holdout-выборке. Это соответствует требованию использовать уже сохраненные и натренированные модели.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437"/>
            <w:vAlign w:val="center"/>
            <w:shd w:fill="D9EAF7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Модель</w:t>
            </w:r>
          </w:p>
        </w:tc>
        <w:tc>
          <w:tcPr>
            <w:tcW w:type="dxa" w:w="2437"/>
            <w:vAlign w:val="center"/>
            <w:shd w:fill="D9EAF7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Библиотека</w:t>
            </w:r>
          </w:p>
        </w:tc>
        <w:tc>
          <w:tcPr>
            <w:tcW w:type="dxa" w:w="2437"/>
            <w:vAlign w:val="center"/>
            <w:shd w:fill="D9EAF7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Гиперпараметры / артефакт</w:t>
            </w:r>
          </w:p>
        </w:tc>
        <w:tc>
          <w:tcPr>
            <w:tcW w:type="dxa" w:w="2437"/>
            <w:vAlign w:val="center"/>
            <w:shd w:fill="D9EAF7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437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LinearRegression</w:t>
            </w:r>
          </w:p>
        </w:tc>
        <w:tc>
          <w:tcPr>
            <w:tcW w:type="dxa" w:w="2437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sklearn.linear_model.LinearRegression</w:t>
            </w:r>
          </w:p>
        </w:tc>
        <w:tc>
          <w:tcPr>
            <w:tcW w:type="dxa" w:w="2437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fit_intercept=True; признаки масштабированы</w:t>
            </w:r>
          </w:p>
        </w:tc>
        <w:tc>
          <w:tcPr>
            <w:tcW w:type="dxa" w:w="2437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Базовая интерпретируемая модель регрессии</w:t>
            </w:r>
          </w:p>
        </w:tc>
      </w:tr>
      <w:tr>
        <w:tc>
          <w:tcPr>
            <w:tcW w:type="dxa" w:w="2437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RandomForestRegressor</w:t>
            </w:r>
          </w:p>
        </w:tc>
        <w:tc>
          <w:tcPr>
            <w:tcW w:type="dxa" w:w="2437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sklearn.ensemble.RandomForestRegressor</w:t>
            </w:r>
          </w:p>
        </w:tc>
        <w:tc>
          <w:tcPr>
            <w:tcW w:type="dxa" w:w="2437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n_estimators=100; max_depth=20; min_samples_split=4; random_state=42</w:t>
            </w:r>
          </w:p>
        </w:tc>
        <w:tc>
          <w:tcPr>
            <w:tcW w:type="dxa" w:w="2437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Нелинейная табличная модель и источник feature importance</w:t>
            </w:r>
          </w:p>
        </w:tc>
      </w:tr>
      <w:tr>
        <w:tc>
          <w:tcPr>
            <w:tcW w:type="dxa" w:w="2437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TorchMLP</w:t>
            </w:r>
          </w:p>
        </w:tc>
        <w:tc>
          <w:tcPr>
            <w:tcW w:type="dxa" w:w="2437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PyTorch MLP</w:t>
            </w:r>
          </w:p>
        </w:tc>
        <w:tc>
          <w:tcPr>
            <w:tcW w:type="dxa" w:w="2437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128 -&gt; 64 -&gt; 1; BatchNorm; Dropout; target_transform=log1p</w:t>
            </w:r>
          </w:p>
        </w:tc>
        <w:tc>
          <w:tcPr>
            <w:tcW w:type="dxa" w:w="2437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Лучшая модель по MAPE; использована для итогового прогноза</w:t>
            </w:r>
          </w:p>
        </w:tc>
      </w:tr>
    </w:tbl>
    <w:p>
      <w:pPr>
        <w:spacing w:after="120" w:line="259" w:lineRule="auto"/>
      </w:pPr>
      <w:r>
        <w:rPr>
          <w:rFonts w:ascii="Times New Roman" w:hAnsi="Times New Roman"/>
          <w:sz w:val="22"/>
        </w:rPr>
        <w:t>Фрагмент финального пайплайна инференса:</w:t>
      </w:r>
    </w:p>
    <w:p>
      <w:pPr>
        <w:spacing w:after="0"/>
        <w:ind w:left="288"/>
      </w:pPr>
      <w:r>
        <w:rPr>
          <w:rFonts w:ascii="Courier New" w:hAnsi="Courier New"/>
          <w:sz w:val="17"/>
        </w:rPr>
        <w:t>linear_model = joblib.load(SAVE_MODELS_DIR / 'linear_regression.pkl')</w:t>
      </w:r>
    </w:p>
    <w:p>
      <w:pPr>
        <w:spacing w:after="0"/>
        <w:ind w:left="288"/>
      </w:pPr>
      <w:r>
        <w:rPr>
          <w:rFonts w:ascii="Courier New" w:hAnsi="Courier New"/>
          <w:sz w:val="17"/>
        </w:rPr>
        <w:t>rf_model = joblib.load(SAVE_MODELS_DIR / 'random_forest.pkl')</w:t>
      </w:r>
    </w:p>
    <w:p>
      <w:pPr>
        <w:spacing w:after="0"/>
        <w:ind w:left="288"/>
      </w:pPr>
      <w:r>
        <w:rPr>
          <w:rFonts w:ascii="Courier New" w:hAnsi="Courier New"/>
          <w:sz w:val="17"/>
        </w:rPr>
        <w:t>checkpoint = torch.load(SAVE_MODELS_DIR / 'torch_mlp.pth', map_location='cpu')</w:t>
      </w:r>
    </w:p>
    <w:p>
      <w:pPr>
        <w:spacing w:after="160"/>
        <w:ind w:left="288"/>
      </w:pPr>
      <w:r>
        <w:rPr>
          <w:rFonts w:ascii="Courier New" w:hAnsi="Courier New"/>
          <w:sz w:val="17"/>
        </w:rPr>
        <w:t>predictions = model(torch.tensor(X_scaled.to_numpy(), dtype=torch.float32))</w:t>
      </w:r>
    </w:p>
    <w:p>
      <w:pPr>
        <w:pStyle w:val="Heading1"/>
        <w:jc w:val="left"/>
      </w:pPr>
      <w:r>
        <w:rPr>
          <w:rFonts w:ascii="Times New Roman" w:hAnsi="Times New Roman"/>
          <w:b/>
          <w:color w:val="1F4E79"/>
          <w:sz w:val="32"/>
        </w:rPr>
        <w:t>6. Оценка качества моделей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vAlign w:val="center"/>
            <w:shd w:fill="D9EAF7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Модель</w:t>
            </w:r>
          </w:p>
        </w:tc>
        <w:tc>
          <w:tcPr>
            <w:tcW w:type="dxa" w:w="1625"/>
            <w:vAlign w:val="center"/>
            <w:shd w:fill="D9EAF7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MAE</w:t>
            </w:r>
          </w:p>
        </w:tc>
        <w:tc>
          <w:tcPr>
            <w:tcW w:type="dxa" w:w="1625"/>
            <w:vAlign w:val="center"/>
            <w:shd w:fill="D9EAF7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RMSE</w:t>
            </w:r>
          </w:p>
        </w:tc>
        <w:tc>
          <w:tcPr>
            <w:tcW w:type="dxa" w:w="1625"/>
            <w:vAlign w:val="center"/>
            <w:shd w:fill="D9EAF7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R²</w:t>
            </w:r>
          </w:p>
        </w:tc>
        <w:tc>
          <w:tcPr>
            <w:tcW w:type="dxa" w:w="1625"/>
            <w:vAlign w:val="center"/>
            <w:shd w:fill="D9EAF7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MAPE</w:t>
            </w:r>
          </w:p>
        </w:tc>
        <w:tc>
          <w:tcPr>
            <w:tcW w:type="dxa" w:w="1625"/>
            <w:vAlign w:val="center"/>
            <w:shd w:fill="D9EAF7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Вывод</w:t>
            </w:r>
          </w:p>
        </w:tc>
      </w:tr>
      <w:tr>
        <w:tc>
          <w:tcPr>
            <w:tcW w:type="dxa" w:w="1625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TorchMLP</w:t>
            </w:r>
          </w:p>
        </w:tc>
        <w:tc>
          <w:tcPr>
            <w:tcW w:type="dxa" w:w="1625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1.40 млн</w:t>
            </w:r>
          </w:p>
        </w:tc>
        <w:tc>
          <w:tcPr>
            <w:tcW w:type="dxa" w:w="1625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2.54 млн</w:t>
            </w:r>
          </w:p>
        </w:tc>
        <w:tc>
          <w:tcPr>
            <w:tcW w:type="dxa" w:w="1625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0.9799</w:t>
            </w:r>
          </w:p>
        </w:tc>
        <w:tc>
          <w:tcPr>
            <w:tcW w:type="dxa" w:w="1625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4.18%</w:t>
            </w:r>
          </w:p>
        </w:tc>
        <w:tc>
          <w:tcPr>
            <w:tcW w:type="dxa" w:w="1625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Лучшая по MAPE</w:t>
            </w:r>
          </w:p>
        </w:tc>
      </w:tr>
      <w:tr>
        <w:tc>
          <w:tcPr>
            <w:tcW w:type="dxa" w:w="1625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RandomForestRegressor</w:t>
            </w:r>
          </w:p>
        </w:tc>
        <w:tc>
          <w:tcPr>
            <w:tcW w:type="dxa" w:w="1625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1.40 млн</w:t>
            </w:r>
          </w:p>
        </w:tc>
        <w:tc>
          <w:tcPr>
            <w:tcW w:type="dxa" w:w="1625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2.54 млн</w:t>
            </w:r>
          </w:p>
        </w:tc>
        <w:tc>
          <w:tcPr>
            <w:tcW w:type="dxa" w:w="1625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0.9800</w:t>
            </w:r>
          </w:p>
        </w:tc>
        <w:tc>
          <w:tcPr>
            <w:tcW w:type="dxa" w:w="1625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4.35%</w:t>
            </w:r>
          </w:p>
        </w:tc>
        <w:tc>
          <w:tcPr>
            <w:tcW w:type="dxa" w:w="1625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Качество близкое</w:t>
            </w:r>
          </w:p>
        </w:tc>
      </w:tr>
      <w:tr>
        <w:tc>
          <w:tcPr>
            <w:tcW w:type="dxa" w:w="1625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LinearRegression</w:t>
            </w:r>
          </w:p>
        </w:tc>
        <w:tc>
          <w:tcPr>
            <w:tcW w:type="dxa" w:w="1625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2.06 млн</w:t>
            </w:r>
          </w:p>
        </w:tc>
        <w:tc>
          <w:tcPr>
            <w:tcW w:type="dxa" w:w="1625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3.44 млн</w:t>
            </w:r>
          </w:p>
        </w:tc>
        <w:tc>
          <w:tcPr>
            <w:tcW w:type="dxa" w:w="1625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0.9632</w:t>
            </w:r>
          </w:p>
        </w:tc>
        <w:tc>
          <w:tcPr>
            <w:tcW w:type="dxa" w:w="1625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6.28%</w:t>
            </w:r>
          </w:p>
        </w:tc>
        <w:tc>
          <w:tcPr>
            <w:tcW w:type="dxa" w:w="1625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Базовый ориентир</w:t>
            </w:r>
          </w:p>
        </w:tc>
      </w:tr>
      <w:tr>
        <w:tc>
          <w:tcPr>
            <w:tcW w:type="dxa" w:w="1625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Лучшая модель</w:t>
            </w:r>
          </w:p>
        </w:tc>
        <w:tc>
          <w:tcPr>
            <w:tcW w:type="dxa" w:w="1625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TorchMLP</w:t>
            </w:r>
          </w:p>
        </w:tc>
        <w:tc>
          <w:tcPr>
            <w:tcW w:type="dxa" w:w="1625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625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625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4.18%</w:t>
            </w:r>
          </w:p>
        </w:tc>
        <w:tc>
          <w:tcPr>
            <w:tcW w:type="dxa" w:w="1625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Выбрана для test.csv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381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metrics_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18"/>
        </w:rPr>
        <w:t>Рисунок 5 - сравнение качества сохраненных моделей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Лучшая модель по MAPE - TorchMLP со значением 4.18%. MAE составляет 1.40 млн, RMSE - 2.54 млн, R² - 0.9799.</w:t>
      </w:r>
    </w:p>
    <w:p>
      <w:pPr>
        <w:pStyle w:val="Heading1"/>
        <w:jc w:val="left"/>
      </w:pPr>
      <w:r>
        <w:rPr>
          <w:rFonts w:ascii="Times New Roman" w:hAnsi="Times New Roman"/>
          <w:b/>
          <w:color w:val="1F4E79"/>
          <w:sz w:val="32"/>
        </w:rPr>
        <w:t>7. Анализ важности признаков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000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_random_for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18"/>
        </w:rPr>
        <w:t>Рисунок 6 - топ признаков по Random Forest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Наиболее важный признак - РТО прошлого месяца. Это логично: оборот магазина устойчив во времени, а краткосрочный прогноз в первую очередь зависит от последних продаж. Также важны средние лаговые показатели магазина, сезонные признаки month_sin/month_cos, рост относительно прошлого месяца и параметры локального рынка.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b/>
          <w:color w:val="1F4E79"/>
          <w:sz w:val="32"/>
        </w:rPr>
        <w:t>8. Итоговый прогноз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vAlign w:val="center"/>
            <w:shd w:fill="D9EAF7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Показатель</w:t>
            </w:r>
          </w:p>
        </w:tc>
        <w:tc>
          <w:tcPr>
            <w:tcW w:type="dxa" w:w="4874"/>
            <w:vAlign w:val="center"/>
            <w:shd w:fill="D9EAF7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4874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Горизонт прогноза</w:t>
            </w:r>
          </w:p>
        </w:tc>
        <w:tc>
          <w:tcPr>
            <w:tcW w:type="dxa" w:w="4874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11-й месяц</w:t>
            </w:r>
          </w:p>
        </w:tc>
      </w:tr>
      <w:tr>
        <w:tc>
          <w:tcPr>
            <w:tcW w:type="dxa" w:w="4874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Количество строк в test.csv</w:t>
            </w:r>
          </w:p>
        </w:tc>
        <w:tc>
          <w:tcPr>
            <w:tcW w:type="dxa" w:w="4874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20 615</w:t>
            </w:r>
          </w:p>
        </w:tc>
      </w:tr>
      <w:tr>
        <w:tc>
          <w:tcPr>
            <w:tcW w:type="dxa" w:w="4874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Колонки</w:t>
            </w:r>
          </w:p>
        </w:tc>
        <w:tc>
          <w:tcPr>
            <w:tcW w:type="dxa" w:w="4874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new_id, rto</w:t>
            </w:r>
          </w:p>
        </w:tc>
      </w:tr>
      <w:tr>
        <w:tc>
          <w:tcPr>
            <w:tcW w:type="dxa" w:w="4874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Минимальный прогноз РТО</w:t>
            </w:r>
          </w:p>
        </w:tc>
        <w:tc>
          <w:tcPr>
            <w:tcW w:type="dxa" w:w="4874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5.05 млн</w:t>
            </w:r>
          </w:p>
        </w:tc>
      </w:tr>
      <w:tr>
        <w:tc>
          <w:tcPr>
            <w:tcW w:type="dxa" w:w="4874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Медианный прогноз РТО</w:t>
            </w:r>
          </w:p>
        </w:tc>
        <w:tc>
          <w:tcPr>
            <w:tcW w:type="dxa" w:w="4874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32.59 млн</w:t>
            </w:r>
          </w:p>
        </w:tc>
      </w:tr>
      <w:tr>
        <w:tc>
          <w:tcPr>
            <w:tcW w:type="dxa" w:w="4874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Максимальный прогноз РТО</w:t>
            </w:r>
          </w:p>
        </w:tc>
        <w:tc>
          <w:tcPr>
            <w:tcW w:type="dxa" w:w="4874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192.87 млн</w:t>
            </w:r>
          </w:p>
        </w:tc>
      </w:tr>
      <w:tr>
        <w:tc>
          <w:tcPr>
            <w:tcW w:type="dxa" w:w="4874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Суммарный прогноз сети</w:t>
            </w:r>
          </w:p>
        </w:tc>
        <w:tc>
          <w:tcPr>
            <w:tcW w:type="dxa" w:w="4874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779.19 млрд</w:t>
            </w:r>
          </w:p>
        </w:tc>
      </w:tr>
      <w:tr>
        <w:tc>
          <w:tcPr>
            <w:tcW w:type="dxa" w:w="4874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Основная модель</w:t>
            </w:r>
          </w:p>
        </w:tc>
        <w:tc>
          <w:tcPr>
            <w:tcW w:type="dxa" w:w="4874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save_models/torch_mlp.pth</w:t>
            </w:r>
          </w:p>
        </w:tc>
      </w:tr>
      <w:tr>
        <w:tc>
          <w:tcPr>
            <w:tcW w:type="dxa" w:w="4874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Резервная модель</w:t>
            </w:r>
          </w:p>
        </w:tc>
        <w:tc>
          <w:tcPr>
            <w:tcW w:type="dxa" w:w="4874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save_models/random_forest.pkl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cast_distribu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18"/>
        </w:rPr>
        <w:t>Рисунок 7 - распределение прогноза РТО на 11-й месяц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total_history_foreca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18"/>
        </w:rPr>
        <w:t>Рисунок 8 - история сети и прогноз на 11-й месяц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6368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regions_average_foreca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36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18"/>
        </w:rPr>
        <w:t>Рисунок 9 - регионы с наибольшим средним прогнозом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571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tober_vs_forecas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7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18"/>
        </w:rPr>
        <w:t>Рисунок 10 - сравнение фактического октября и прогноза ноября</w:t>
      </w:r>
    </w:p>
    <w:p>
      <w:pPr>
        <w:pStyle w:val="Heading1"/>
        <w:jc w:val="left"/>
      </w:pPr>
      <w:r>
        <w:rPr>
          <w:rFonts w:ascii="Times New Roman" w:hAnsi="Times New Roman"/>
          <w:b/>
          <w:color w:val="1F4E79"/>
          <w:sz w:val="32"/>
        </w:rPr>
        <w:t>9. Бизнес-выводы и рекомендации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50"/>
            <w:vAlign w:val="center"/>
            <w:shd w:fill="D9EAF7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Направление</w:t>
            </w:r>
          </w:p>
        </w:tc>
        <w:tc>
          <w:tcPr>
            <w:tcW w:type="dxa" w:w="3250"/>
            <w:vAlign w:val="center"/>
            <w:shd w:fill="D9EAF7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Рекомендация</w:t>
            </w:r>
          </w:p>
        </w:tc>
        <w:tc>
          <w:tcPr>
            <w:tcW w:type="dxa" w:w="3250"/>
            <w:vAlign w:val="center"/>
            <w:shd w:fill="D9EAF7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</w:r>
            <w:r>
              <w:rPr>
                <w:rFonts w:ascii="Times New Roman" w:hAnsi="Times New Roman"/>
                <w:b/>
                <w:sz w:val="18"/>
              </w:rPr>
              <w:t>Ожидаемый эффект</w:t>
            </w:r>
          </w:p>
        </w:tc>
      </w:tr>
      <w:tr>
        <w:tc>
          <w:tcPr>
            <w:tcW w:type="dxa" w:w="325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Планирование запасов</w:t>
            </w:r>
          </w:p>
        </w:tc>
        <w:tc>
          <w:tcPr>
            <w:tcW w:type="dxa" w:w="325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Использовать прогноз РТО 11-го месяца как вход для закупок и поставок по магазинам</w:t>
            </w:r>
          </w:p>
        </w:tc>
        <w:tc>
          <w:tcPr>
            <w:tcW w:type="dxa" w:w="325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Снизить риск дефицита в магазинах с растущим прогнозом и избыточных запасов в слабых точках</w:t>
            </w:r>
          </w:p>
        </w:tc>
      </w:tr>
      <w:tr>
        <w:tc>
          <w:tcPr>
            <w:tcW w:type="dxa" w:w="325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Контроль отклонений</w:t>
            </w:r>
          </w:p>
        </w:tc>
        <w:tc>
          <w:tcPr>
            <w:tcW w:type="dxa" w:w="325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Еженедельно сравнивать фактический РТО с прогнозом и выделять магазины с отклонением выше 8-10%</w:t>
            </w:r>
          </w:p>
        </w:tc>
        <w:tc>
          <w:tcPr>
            <w:tcW w:type="dxa" w:w="325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Быстрее находить локальные проблемы: трафик, ассортимент, конкуренты, операционные сбои</w:t>
            </w:r>
          </w:p>
        </w:tc>
      </w:tr>
      <w:tr>
        <w:tc>
          <w:tcPr>
            <w:tcW w:type="dxa" w:w="325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Фокус на лаги продаж</w:t>
            </w:r>
          </w:p>
        </w:tc>
        <w:tc>
          <w:tcPr>
            <w:tcW w:type="dxa" w:w="325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Для магазинов с резким ростом/падением последних месяцев проводить отдельную проверку причин</w:t>
            </w:r>
          </w:p>
        </w:tc>
        <w:tc>
          <w:tcPr>
            <w:tcW w:type="dxa" w:w="325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Главный фактор модели - РТО прошлого месяца, поэтому динамика последних периодов критична</w:t>
            </w:r>
          </w:p>
        </w:tc>
      </w:tr>
      <w:tr>
        <w:tc>
          <w:tcPr>
            <w:tcW w:type="dxa" w:w="325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Региональные решения</w:t>
            </w:r>
          </w:p>
        </w:tc>
        <w:tc>
          <w:tcPr>
            <w:tcW w:type="dxa" w:w="325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Сравнивать средний прогноз по регионам и корректировать региональные планы продаж</w:t>
            </w:r>
          </w:p>
        </w:tc>
        <w:tc>
          <w:tcPr>
            <w:tcW w:type="dxa" w:w="3250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18"/>
              </w:rPr>
            </w:r>
            <w:r>
              <w:rPr>
                <w:rFonts w:ascii="Times New Roman" w:hAnsi="Times New Roman"/>
                <w:b w:val="0"/>
                <w:sz w:val="18"/>
              </w:rPr>
              <w:t>Регионы с высоким средним прогнозом получают больший приоритет в маркетинговых активностях</w:t>
            </w:r>
          </w:p>
        </w:tc>
      </w:tr>
    </w:tbl>
    <w:p>
      <w:pPr>
        <w:spacing w:after="120" w:line="259" w:lineRule="auto"/>
      </w:pPr>
      <w:r>
        <w:rPr>
          <w:rFonts w:ascii="Times New Roman" w:hAnsi="Times New Roman"/>
          <w:sz w:val="22"/>
        </w:rPr>
        <w:t>Практический смысл модели - не только получить файл прогноза, но и превратить прогноз в управленческий контур: план поставок, мониторинг отклонений, региональные цели и приоритизация магазинов с резкой динамикой.</w:t>
      </w:r>
    </w:p>
    <w:p>
      <w:pPr>
        <w:pStyle w:val="Heading1"/>
        <w:jc w:val="left"/>
      </w:pPr>
      <w:r>
        <w:rPr>
          <w:rFonts w:ascii="Times New Roman" w:hAnsi="Times New Roman"/>
          <w:b/>
          <w:color w:val="1F4E79"/>
          <w:sz w:val="32"/>
        </w:rPr>
        <w:t>10. Заключение</w:t>
      </w:r>
    </w:p>
    <w:p>
      <w:pPr>
        <w:spacing w:after="60" w:line="252" w:lineRule="auto"/>
      </w:pPr>
      <w:r>
        <w:rPr>
          <w:rFonts w:ascii="Times New Roman" w:hAnsi="Times New Roman"/>
          <w:sz w:val="21"/>
        </w:rPr>
        <w:t>- Сформулирована задача регрессии для прогноза РТО магазинов на 11-й месяц.</w:t>
      </w:r>
    </w:p>
    <w:p>
      <w:pPr>
        <w:spacing w:after="60" w:line="252" w:lineRule="auto"/>
      </w:pPr>
      <w:r>
        <w:rPr>
          <w:rFonts w:ascii="Times New Roman" w:hAnsi="Times New Roman"/>
          <w:sz w:val="21"/>
        </w:rPr>
        <w:t>- Проведен EDA: данные полные, целевой признак асимметричен, сильнейший сигнал дают лаговые признаки РТО.</w:t>
      </w:r>
    </w:p>
    <w:p>
      <w:pPr>
        <w:spacing w:after="60" w:line="252" w:lineRule="auto"/>
      </w:pPr>
      <w:r>
        <w:rPr>
          <w:rFonts w:ascii="Times New Roman" w:hAnsi="Times New Roman"/>
          <w:sz w:val="21"/>
        </w:rPr>
        <w:t>- Подготовлены признаки: лаги, скользящие средние, темп роста, one-hot регионов, ordinal-кодирование категорий и масштабирование числовых признаков.</w:t>
      </w:r>
    </w:p>
    <w:p>
      <w:pPr>
        <w:spacing w:after="60" w:line="252" w:lineRule="auto"/>
      </w:pPr>
      <w:r>
        <w:rPr>
          <w:rFonts w:ascii="Times New Roman" w:hAnsi="Times New Roman"/>
          <w:sz w:val="21"/>
        </w:rPr>
        <w:t>- Сравнены сохраненные модели LinearRegression, RandomForestRegressor и TorchMLP без повторного обучения.</w:t>
      </w:r>
    </w:p>
    <w:p>
      <w:pPr>
        <w:spacing w:after="60" w:line="252" w:lineRule="auto"/>
      </w:pPr>
      <w:r>
        <w:rPr>
          <w:rFonts w:ascii="Times New Roman" w:hAnsi="Times New Roman"/>
          <w:sz w:val="21"/>
        </w:rPr>
        <w:t>- По MAPE лучшей стала TorchMLP; она использована как основная модель для итогового файла test.csv.</w:t>
      </w:r>
    </w:p>
    <w:p>
      <w:pPr>
        <w:spacing w:after="120" w:line="259" w:lineRule="auto"/>
      </w:pPr>
      <w:r>
        <w:rPr>
          <w:rFonts w:ascii="Times New Roman" w:hAnsi="Times New Roman"/>
          <w:sz w:val="22"/>
        </w:rPr>
        <w:t>Ограничения: модель использует только 10 месяцев истории и не содержит внешних факторов вроде промоакций, праздников, цен конкурентов и погодных условий. Перспективы улучшения: добавить внешние календарные признаки, промо-факторы, контроль качества по регионам и мониторинг drift после получения факта 11-го месяца.</w:t>
      </w:r>
    </w:p>
    <w:p>
      <w:pPr>
        <w:pStyle w:val="Heading1"/>
        <w:jc w:val="left"/>
      </w:pPr>
      <w:r>
        <w:rPr>
          <w:rFonts w:ascii="Times New Roman" w:hAnsi="Times New Roman"/>
          <w:b/>
          <w:color w:val="1F4E79"/>
          <w:sz w:val="32"/>
        </w:rPr>
        <w:t>11. Ответы на контрольные вопросы</w:t>
      </w:r>
    </w:p>
    <w:p>
      <w:pPr>
        <w:spacing w:after="100" w:line="252" w:lineRule="auto"/>
      </w:pPr>
      <w:r>
        <w:rPr>
          <w:rFonts w:ascii="Times New Roman" w:hAnsi="Times New Roman"/>
          <w:sz w:val="21"/>
        </w:rPr>
        <w:t>1. Регрессия прогнозирует число, например объем продаж или стоимость заказа; классификация выбирает класс, например факт оттока клиента или принадлежность к сегменту. В данной работе используется регрессия, потому что РТО является непрерывной величиной.</w:t>
      </w:r>
    </w:p>
    <w:p>
      <w:pPr>
        <w:spacing w:after="100" w:line="252" w:lineRule="auto"/>
      </w:pPr>
      <w:r>
        <w:rPr>
          <w:rFonts w:ascii="Times New Roman" w:hAnsi="Times New Roman"/>
          <w:sz w:val="21"/>
        </w:rPr>
        <w:t>2. Категориальные признаки кодируются, потому что большинство ML-алгоритмов работает с числами. One-Hot Encoding подходит для категорий без порядка, например регионов; Ordinal Encoding подходит для упорядоченных категорий, например размера торговой площади.</w:t>
      </w:r>
    </w:p>
    <w:p>
      <w:pPr>
        <w:spacing w:after="100" w:line="252" w:lineRule="auto"/>
      </w:pPr>
      <w:r>
        <w:rPr>
          <w:rFonts w:ascii="Times New Roman" w:hAnsi="Times New Roman"/>
          <w:sz w:val="21"/>
        </w:rPr>
        <w:t>3. При 10% ушедших клиентов Accuracy может быть обманчивой: модель, предсказывающая всем отсутствие оттока, даст 90% Accuracy. Нужны Precision, Recall, F1-score и ROC-AUC; для удержания клиентов часто особенно важны Recall и F1.</w:t>
      </w:r>
    </w:p>
    <w:p>
      <w:pPr>
        <w:spacing w:after="100" w:line="252" w:lineRule="auto"/>
      </w:pPr>
      <w:r>
        <w:rPr>
          <w:rFonts w:ascii="Times New Roman" w:hAnsi="Times New Roman"/>
          <w:sz w:val="21"/>
        </w:rPr>
        <w:t>4. Feature Importance в Random Forest показывает вклад признака в качество разбиений деревьев. В задаче оттока телеком-клиентов важными могли бы быть длительность контракта, число обращений в поддержку и размер ежемесячного платежа; бизнес использует это для таргетированных удерживающих действий.</w:t>
      </w:r>
    </w:p>
    <w:p>
      <w:pPr>
        <w:spacing w:after="100" w:line="252" w:lineRule="auto"/>
      </w:pPr>
      <w:r>
        <w:rPr>
          <w:rFonts w:ascii="Times New Roman" w:hAnsi="Times New Roman"/>
          <w:sz w:val="21"/>
        </w:rPr>
        <w:t>5. Рост R² с 0,85 до 0,90 означает, что признак расстояния до метро объясняет дополнительную долю вариации цены и практически полезен для оценки объектов. В другой бизнес-задаче R² полезен, например, при прогнозировании выручки магазина, где важна объясненная доля разброса продаж.</w:t>
      </w:r>
    </w:p>
    <w:sectPr w:rsidR="00FC693F" w:rsidRPr="0006063C" w:rsidSect="00034616"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KachalovG/labsML/tree/main/lab4_map_saved_models_report" TargetMode="External"/><Relationship Id="rId10" Type="http://schemas.openxmlformats.org/officeDocument/2006/relationships/hyperlink" Target="https://github.com/KachalovG/labsML/blob/main/lab4_map_saved_models_report/saved_model_pipeline.py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