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«Московский государственный технический университет имени Н.Э. Баумана»</w:t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(МГТУ им. Н.Э. Баумана)</w:t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ФАКУЛЬТЕТ «ИНЖЕНЕРНЫЙ БИЗНЕС И МЕНЕДЖМЕНТ»</w:t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КАФЕДРА «ПРОМЫШЛЕННАЯ ЛОГИСТИКА» (ИБМ-3)</w:t>
      </w:r>
    </w:p>
    <w:p/>
    <w:p/>
    <w:p/>
    <w:p>
      <w:pPr>
        <w:spacing w:before="0" w:after="16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Отчет по лабораторной работе № 3</w:t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 «Методы аналитики и прогнозирования»</w:t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«Построение модели прогноза инфляции с сезонной компонентой»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Студент</w:t>
            </w:r>
          </w:p>
        </w:tc>
        <w:tc>
          <w:tcPr>
            <w:tcW w:type="dxa" w:w="6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ИБМ 3-55Б    Г.В. Качалов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Руководитель</w:t>
            </w:r>
          </w:p>
        </w:tc>
        <w:tc>
          <w:tcPr>
            <w:tcW w:type="dxa" w:w="6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Е.Д. Мелихова</w:t>
            </w:r>
          </w:p>
        </w:tc>
      </w:tr>
    </w:tbl>
    <w:p>
      <w:pPr>
        <w:spacing w:before="480" w:after="4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Москва, 2026</w:t>
      </w:r>
    </w:p>
    <w:p>
      <w:r>
        <w:br w:type="page"/>
      </w:r>
    </w:p>
    <w:p>
      <w:pPr>
        <w:pStyle w:val="Heading1"/>
        <w:keepNext/>
      </w:pPr>
      <w:r>
        <w:t>1. Цель работы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Цель работы — сформировать практические навыки анализа временных рядов, выделения сезонной компоненты, построения прогнозных моделей и оценки точности прогноза для поддержки управленческих решений.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По согласованию с преподавателем</w:t>
      </w:r>
      <w:r>
        <w:rPr>
          <w:rFonts w:ascii="Times New Roman" w:hAnsi="Times New Roman"/>
          <w:b w:val="0"/>
          <w:i w:val="0"/>
          <w:sz w:val="24"/>
        </w:rPr>
        <w:t xml:space="preserve"> вместо Excel-реализации были построены модели в Python. Требование задания о сезонной компоненте сохранено: в работе рассчитаны коэффициенты сезонности, использованы месячные признаки, лаговые признаки, скользящие средние и сезонные baseline-модели.</w:t>
      </w:r>
    </w:p>
    <w:p>
      <w:pPr>
        <w:spacing w:before="120" w:after="80" w:line="276" w:lineRule="auto"/>
        <w:jc w:val="center"/>
        <w:keepNext/>
      </w:pPr>
      <w:r>
        <w:rPr>
          <w:rFonts w:ascii="Times New Roman" w:hAnsi="Times New Roman"/>
          <w:b/>
          <w:i w:val="0"/>
          <w:sz w:val="20"/>
        </w:rPr>
        <w:t>Таблица 1 — Соответствие отчета требованиям лабораторной работы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Требование задания</w:t>
            </w:r>
          </w:p>
        </w:tc>
        <w:tc>
          <w:tcPr>
            <w:tcW w:type="dxa" w:w="567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Что выполнено в отчете</w:t>
            </w:r>
          </w:p>
        </w:tc>
      </w:tr>
      <w:t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Выбор временного ряда не менее чем за 3 года</w:t>
            </w:r>
          </w:p>
        </w:tc>
        <w:tc>
          <w:tcPr>
            <w:tcW w:type="dxa" w:w="56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Использован ряд месячной инфляции РФ за период 1991-01-01 — 2026-03-01.</w:t>
            </w:r>
          </w:p>
        </w:tc>
      </w:tr>
      <w:t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Первичная визуализация и оценка тренда/сезонности</w:t>
            </w:r>
          </w:p>
        </w:tc>
        <w:tc>
          <w:tcPr>
            <w:tcW w:type="dxa" w:w="56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Построен график полного ряда и современного периода, выделены выбросы и сезонные месячные эффекты.</w:t>
            </w:r>
          </w:p>
        </w:tc>
      </w:tr>
      <w:t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Два способа расчета сезонности</w:t>
            </w:r>
          </w:p>
        </w:tc>
        <w:tc>
          <w:tcPr>
            <w:tcW w:type="dxa" w:w="56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Рассчитаны коэффициенты через средние по годам и через сводный среднемесячный профиль.</w:t>
            </w:r>
          </w:p>
        </w:tc>
      </w:tr>
      <w:t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Построение прогнозной модели</w:t>
            </w:r>
          </w:p>
        </w:tc>
        <w:tc>
          <w:tcPr>
            <w:tcW w:type="dxa" w:w="56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Построены Linear Regression, Ridge, HuberRegressor, Gradient Boosting и четыре baseline-модели.</w:t>
            </w:r>
          </w:p>
        </w:tc>
      </w:tr>
      <w:t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Оценка точности</w:t>
            </w:r>
          </w:p>
        </w:tc>
        <w:tc>
          <w:tcPr>
            <w:tcW w:type="dxa" w:w="56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Рассчитаны MAE, MSE, RMSE, R2 и MAPE по индексам для validation, test, holdout и recent actual.</w:t>
            </w:r>
          </w:p>
        </w:tc>
      </w:tr>
      <w:t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Итоговый прогноз</w:t>
            </w:r>
          </w:p>
        </w:tc>
        <w:tc>
          <w:tcPr>
            <w:tcW w:type="dxa" w:w="56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Сформирован прогноз на 12 месяцев вперед: апрель 2026 — март 2027.</w:t>
            </w:r>
          </w:p>
        </w:tc>
      </w:tr>
      <w:t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Приложение с расчетами</w:t>
            </w:r>
          </w:p>
        </w:tc>
        <w:tc>
          <w:tcPr>
            <w:tcW w:type="dxa" w:w="56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В проекте сохранены исходные данные, код, метрики, прогнозы, графики и обученная модель; ссылка на GitHub приведена в приложении.</w:t>
            </w:r>
          </w:p>
        </w:tc>
      </w:tr>
    </w:tbl>
    <w:p/>
    <w:p>
      <w:pPr>
        <w:pStyle w:val="Heading1"/>
        <w:keepNext/>
        <w:pageBreakBefore/>
      </w:pPr>
      <w:r>
        <w:t>2. Описание исходных данных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 качестве предметной области выбран макроэкономический временной ряд: индексы потребительских цен по Российской Федерации. Для моделирования использовались четыре категории: продовольственные товары, непродовольственные товары, услуги и общий индекс.</w:t>
      </w:r>
    </w:p>
    <w:p>
      <w:pPr>
        <w:spacing w:before="120" w:after="80" w:line="276" w:lineRule="auto"/>
        <w:jc w:val="center"/>
        <w:keepNext/>
      </w:pPr>
      <w:r>
        <w:rPr>
          <w:rFonts w:ascii="Times New Roman" w:hAnsi="Times New Roman"/>
          <w:b/>
          <w:i w:val="0"/>
          <w:sz w:val="20"/>
        </w:rPr>
        <w:t>Таблица 2 — Паспорт исходных данных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Параметр</w:t>
            </w:r>
          </w:p>
        </w:tc>
        <w:tc>
          <w:tcPr>
            <w:tcW w:type="dxa" w:w="623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Значение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Наименование показателя</w:t>
            </w:r>
          </w:p>
        </w:tc>
        <w:tc>
          <w:tcPr>
            <w:tcW w:type="dxa" w:w="6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Индексы потребительских цен; месячная инфляция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Источник</w:t>
            </w:r>
          </w:p>
        </w:tc>
        <w:tc>
          <w:tcPr>
            <w:tcW w:type="dxa" w:w="6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Локальный файл data/inflation_long_format.csv; первичный источник данных — Росстат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Период данных</w:t>
            </w:r>
          </w:p>
        </w:tc>
        <w:tc>
          <w:tcPr>
            <w:tcW w:type="dxa" w:w="6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1991-01-01 — 2026-03-01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Количество наблюдений</w:t>
            </w:r>
          </w:p>
        </w:tc>
        <w:tc>
          <w:tcPr>
            <w:tcW w:type="dxa" w:w="6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1692 строк в исходном файле; 1644 строк после формирования лагов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Частота наблюдений</w:t>
            </w:r>
          </w:p>
        </w:tc>
        <w:tc>
          <w:tcPr>
            <w:tcW w:type="dxa" w:w="6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Ежемесячно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Категории</w:t>
            </w:r>
          </w:p>
        </w:tc>
        <w:tc>
          <w:tcPr>
            <w:tcW w:type="dxa" w:w="6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food, non_food, services, total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Целевая переменная</w:t>
            </w:r>
          </w:p>
        </w:tc>
        <w:tc>
          <w:tcPr>
            <w:tcW w:type="dxa" w:w="6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target = idx - 100, где idx — индекс цен к предыдущему месяцу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Пропуски</w:t>
            </w:r>
          </w:p>
        </w:tc>
        <w:tc>
          <w:tcPr>
            <w:tcW w:type="dxa" w:w="6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 пропусков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Репозиторий с кодом</w:t>
            </w:r>
          </w:p>
        </w:tc>
        <w:tc>
          <w:tcPr>
            <w:tcW w:type="dxa" w:w="6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https://github.com/KachalovG/labsML/tree/main/lab3_inflation_forecast</w:t>
            </w:r>
          </w:p>
        </w:tc>
      </w:tr>
    </w:tbl>
    <w:p/>
    <w:p>
      <w:pPr>
        <w:pStyle w:val="Heading1"/>
        <w:keepNext/>
      </w:pPr>
      <w:r>
        <w:t>3. Первичный анализ временного ряда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Полный ряд содержит экстремальные значения начала 1990-х годов. Максимальный общий индекс зафиксирован в январь 1992: 345.30. Минимальное значение общего индекса в доступных данных — 99.46 (август 2017). Такие выбросы важны: они ухудшают качество простых линейных моделей и требуют либо робастных методов, либо нелинейных алгоритмов.</w:t>
      </w:r>
    </w:p>
    <w:p>
      <w:pPr>
        <w:spacing w:before="8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52000" cy="3450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se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450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b w:val="0"/>
          <w:i/>
          <w:sz w:val="20"/>
        </w:rPr>
        <w:t>Рисунок 1 — Динамика месячной инфляции по категориям за весь период и за современный период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На современном участке после 2016 года колебания находятся в более узком диапазоне, но остаются отдельные всплески. Поэтому модель должна одновременно учитывать сезонность, лаговую инерцию и устойчивость к аномальным периодам.</w:t>
      </w:r>
    </w:p>
    <w:p>
      <w:pPr>
        <w:spacing w:before="8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68000" cy="25950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595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b w:val="0"/>
          <w:i/>
          <w:sz w:val="20"/>
        </w:rPr>
        <w:t>Рисунок 2 — Распределение целевой переменной target = idx - 100</w:t>
      </w:r>
    </w:p>
    <w:p>
      <w:pPr>
        <w:pStyle w:val="Heading1"/>
        <w:keepNext/>
      </w:pPr>
      <w:r>
        <w:t>4. Подготовка данных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Подготовка данных выполнена программно в модуле data/data_processing.py. Основные шаги: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дата приведена к месячному формату, каждая строка соответствует одному месяцу и одной категории инфляции;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месяц закодирован one-hot признаками m_01 ... m_12;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категория инфляции закодирована one-hot признаками type_food, type_non_food, type_services, type_total;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рассчитаны лаги lag_1, lag_2, lag_3, lag_6, lag_12;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рассчитаны скользящие средние roll_3, roll_6, roll_12;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числовые признаки стандартизированы с помощью StandardScaler;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целевая переменная определена как отклонение индекса от 100: target = idx - 100.</w:t>
      </w:r>
    </w:p>
    <w:p>
      <w:pPr>
        <w:spacing w:before="120" w:after="80" w:line="276" w:lineRule="auto"/>
        <w:jc w:val="center"/>
        <w:keepNext/>
      </w:pPr>
      <w:r>
        <w:rPr>
          <w:rFonts w:ascii="Times New Roman" w:hAnsi="Times New Roman"/>
          <w:b/>
          <w:i w:val="0"/>
          <w:sz w:val="20"/>
        </w:rPr>
        <w:t>Таблица 3 — Разбиение данных на выборки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Выборка</w:t>
            </w:r>
          </w:p>
        </w:tc>
        <w:tc>
          <w:tcPr>
            <w:tcW w:type="dxa" w:w="170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Период</w:t>
            </w:r>
          </w:p>
        </w:tc>
        <w:tc>
          <w:tcPr>
            <w:tcW w:type="dxa" w:w="3969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Назначение</w:t>
            </w:r>
          </w:p>
        </w:tc>
        <w:tc>
          <w:tcPr>
            <w:tcW w:type="dxa" w:w="124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Строк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Train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1992-2018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Обучение моделей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1296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Validation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2019-2022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Выбор лучшей trainable-модели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192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Test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2023-2024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Финальная проверка качества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96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Holdout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Проверка устойчивости на новом годе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48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Recent actual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2026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Последние доступные фактические значения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12</w:t>
            </w:r>
          </w:p>
        </w:tc>
      </w:tr>
    </w:tbl>
    <w:p/>
    <w:p>
      <w:pPr>
        <w:pStyle w:val="Heading1"/>
        <w:keepNext/>
        <w:pageBreakBefore/>
      </w:pPr>
      <w:r>
        <w:t>5. Расчет коэффициентов сезонности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Сезонность рассчитана двумя способами. Первый способ нормирует значение месяца на среднее значение соответствующего года. Второй способ сопоставляет среднемесячное значение с общим средним по всем месяцам. Для месячной сезонности сумма коэффициентов должна быть близка к 12; в расчетах для общего индекса она составляет 11,9983 и 11,9979.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Использованные формулы: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КС(месяц, год) = Y(месяц, год) / среднее значение за соответствующий год;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КС(месяц) = среднее значение месяца / общее среднее значение ряда;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значение КС &gt; 1 означает месяц выше среднего уровня, КС &lt; 1 — месяц ниже среднего уровня.</w:t>
      </w:r>
    </w:p>
    <w:p>
      <w:pPr>
        <w:spacing w:before="120" w:after="80" w:line="276" w:lineRule="auto"/>
        <w:jc w:val="center"/>
        <w:keepNext/>
      </w:pPr>
      <w:r>
        <w:rPr>
          <w:rFonts w:ascii="Times New Roman" w:hAnsi="Times New Roman"/>
          <w:b/>
          <w:i w:val="0"/>
          <w:sz w:val="20"/>
        </w:rPr>
        <w:t>Таблица 4 — Коэффициенты сезонности для общей инфляции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7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Месяц</w:t>
            </w:r>
          </w:p>
        </w:tc>
        <w:tc>
          <w:tcPr>
            <w:tcW w:type="dxa" w:w="238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Метод средних по годам</w:t>
            </w:r>
          </w:p>
        </w:tc>
        <w:tc>
          <w:tcPr>
            <w:tcW w:type="dxa" w:w="238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Метод сводного профиля</w:t>
            </w:r>
          </w:p>
        </w:tc>
        <w:tc>
          <w:tcPr>
            <w:tcW w:type="dxa" w:w="170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Средний idx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Январь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1.0563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1.0709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110.47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Февраль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1.0030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1.0026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103.42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Март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0.9987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0.9974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102.89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Апрель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0.9942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0.9930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102.43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Май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0.9909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0.9889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102.01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Июнь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0.9913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0.9899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102.11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Июль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0.9895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0.9875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101.87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Август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0.9856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0.9837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101.47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Сентябрь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0.9986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0.9971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102.85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Октябрь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0.9955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0.9944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102.58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Ноябрь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0.9966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0.9957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102.70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Декабрь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0.9980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0.9969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102.83</w:t>
            </w:r>
          </w:p>
        </w:tc>
      </w:tr>
    </w:tbl>
    <w:p/>
    <w:p>
      <w:pPr>
        <w:spacing w:before="8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2563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sona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56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b w:val="0"/>
          <w:i/>
          <w:sz w:val="20"/>
        </w:rPr>
        <w:t>Рисунок 3 — Сезонный профиль общей инфляции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Наиболее выраженный сезонный эффект наблюдается в январе: после пересмотра цен и тарифов индекс в среднем выше общего уровня. Самые спокойные месяцы по общей инфляции — летние, особенно август. Для инфляции сезонная амплитуда слабее, чем для товарных продаж, но она остается полезной для прогноза как объясняющий признак.</w:t>
      </w:r>
    </w:p>
    <w:p>
      <w:pPr>
        <w:pStyle w:val="Heading1"/>
        <w:keepNext/>
        <w:pageBreakBefore/>
      </w:pPr>
      <w:r>
        <w:t>6. Построение прогнозных моделей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Так как была разрешена реализация моделей в Python, классическая Excel-схема «Лист прогноза / ручной Хольт-Винтерс» заменена на набор моделей машинного обучения и сезонных базовых моделей. Это расширяет сравнение: ML-модель должна быть лучше простого прогноза по прошлому месяцу, прошлому году или скользящему среднему.</w:t>
      </w:r>
    </w:p>
    <w:p>
      <w:pPr>
        <w:spacing w:before="120" w:after="80" w:line="276" w:lineRule="auto"/>
        <w:jc w:val="center"/>
        <w:keepNext/>
      </w:pPr>
      <w:r>
        <w:rPr>
          <w:rFonts w:ascii="Times New Roman" w:hAnsi="Times New Roman"/>
          <w:b/>
          <w:i w:val="0"/>
          <w:sz w:val="20"/>
        </w:rPr>
        <w:t>Таблица 5 — Использованные прогнозные модели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9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Модель</w:t>
            </w:r>
          </w:p>
        </w:tc>
        <w:tc>
          <w:tcPr>
            <w:tcW w:type="dxa" w:w="147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Тип</w:t>
            </w:r>
          </w:p>
        </w:tc>
        <w:tc>
          <w:tcPr>
            <w:tcW w:type="dxa" w:w="294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Роль в работе</w:t>
            </w:r>
          </w:p>
        </w:tc>
        <w:tc>
          <w:tcPr>
            <w:tcW w:type="dxa" w:w="249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Учет сезонности</w:t>
            </w:r>
          </w:p>
        </w:tc>
      </w:tr>
      <w:tr>
        <w:tc>
          <w:tcPr>
            <w:tcW w:type="dxa" w:w="19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naive_lag_1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Baseline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Прогноз равен значению прошлого месяца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Лаговая инерция</w:t>
            </w:r>
          </w:p>
        </w:tc>
      </w:tr>
      <w:tr>
        <w:tc>
          <w:tcPr>
            <w:tcW w:type="dxa" w:w="19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naive_lag_12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Seasonal baseline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Прогноз равен значению того же месяца прошлого года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Явная годовая сезонность</w:t>
            </w:r>
          </w:p>
        </w:tc>
      </w:tr>
      <w:tr>
        <w:tc>
          <w:tcPr>
            <w:tcW w:type="dxa" w:w="19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rolling_3 / rolling_12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Baseline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Прогноз по скользящему среднему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Сглаживание кратко- и среднесрочной динамики</w:t>
            </w:r>
          </w:p>
        </w:tc>
      </w:tr>
      <w:tr>
        <w:tc>
          <w:tcPr>
            <w:tcW w:type="dxa" w:w="19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Linear Regression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ML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Интерпретируемая линейная модель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Месячные one-hot признаки и лаги</w:t>
            </w:r>
          </w:p>
        </w:tc>
      </w:tr>
      <w:tr>
        <w:tc>
          <w:tcPr>
            <w:tcW w:type="dxa" w:w="19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Ridge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ML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Линейная модель с L2-регуляризацией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Месячные one-hot признаки и лаги</w:t>
            </w:r>
          </w:p>
        </w:tc>
      </w:tr>
      <w:tr>
        <w:tc>
          <w:tcPr>
            <w:tcW w:type="dxa" w:w="19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HuberRegressor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Robust ML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Устойчивая линейная модель для выбросов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Месячные признаки, лаги, робастная функция потерь</w:t>
            </w:r>
          </w:p>
        </w:tc>
      </w:tr>
      <w:tr>
        <w:tc>
          <w:tcPr>
            <w:tcW w:type="dxa" w:w="19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GradientBoostingRegressor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Nonlinear ML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Итоговая модель по validation/test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Нелинейное взаимодействие месяцев, лагов и категорий</w:t>
            </w:r>
          </w:p>
        </w:tc>
      </w:tr>
    </w:tbl>
    <w:p/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Для обучаемых моделей подбор гиперпараметров выполнен через GridSearchCV с TimeSeriesSplit(n_splits=3), что корректнее случайного перемешивания для временного ряда. Итоговая модель Gradient Boosting использует loss='huber', n_estimators=200, learning_rate=0.03, max_depth=2, min_samples_leaf=4, random_state=42.</w:t>
      </w:r>
    </w:p>
    <w:p>
      <w:pPr>
        <w:spacing w:before="8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2000" cy="27013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01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b w:val="0"/>
          <w:i/>
          <w:sz w:val="20"/>
        </w:rPr>
        <w:t>Рисунок 4 — Важность признаков итоговой модели Gradient Boosting</w:t>
      </w:r>
    </w:p>
    <w:p>
      <w:pPr>
        <w:pStyle w:val="Heading1"/>
        <w:keepNext/>
      </w:pPr>
      <w:r>
        <w:t>7. Оценка точности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Качество оценивалось на отложенных временных периодах. Основные метрики: MAE — средняя абсолютная ошибка в процентных пунктах target; MSE и RMSE сильнее штрафуют крупные ошибки; R2 показывает объясненную долю вариации; MAPE рассчитан по индексам idx, чтобы избежать нестабильности процентной ошибки при target около нуля.</w:t>
      </w:r>
    </w:p>
    <w:p>
      <w:pPr>
        <w:spacing w:before="120" w:after="80" w:line="276" w:lineRule="auto"/>
        <w:jc w:val="center"/>
        <w:keepNext/>
      </w:pPr>
      <w:r>
        <w:rPr>
          <w:rFonts w:ascii="Times New Roman" w:hAnsi="Times New Roman"/>
          <w:b/>
          <w:i w:val="0"/>
          <w:sz w:val="20"/>
        </w:rPr>
        <w:t>Таблица 6 — Сравнение точности моделей на test 2023-2024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22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Модель</w:t>
            </w:r>
          </w:p>
        </w:tc>
        <w:tc>
          <w:tcPr>
            <w:tcW w:type="dxa" w:w="119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MAE</w:t>
            </w:r>
          </w:p>
        </w:tc>
        <w:tc>
          <w:tcPr>
            <w:tcW w:type="dxa" w:w="119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MSE</w:t>
            </w:r>
          </w:p>
        </w:tc>
        <w:tc>
          <w:tcPr>
            <w:tcW w:type="dxa" w:w="119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RMSE</w:t>
            </w:r>
          </w:p>
        </w:tc>
        <w:tc>
          <w:tcPr>
            <w:tcW w:type="dxa" w:w="119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R2</w:t>
            </w:r>
          </w:p>
        </w:tc>
        <w:tc>
          <w:tcPr>
            <w:tcW w:type="dxa" w:w="119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MAPE, %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gradient_boosting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0.3699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0.2691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0.5187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0.0623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0.3666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huber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0.3954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0.3012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0.5489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-0.0497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0.3914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naive_lag_1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0.3967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0.3268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0.5717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-0.1389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0.3936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rolling_3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0.4087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0.3191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0.5649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-0.1121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0.4051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rolling_12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0.4130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0.3223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0.5677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-0.1230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0.4092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naive_lag_12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0.8099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2.9173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1.7080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-9.1660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0.8050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ridge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3.4173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12.3311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3.5116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-41.9705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3.3923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linear_regression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4.2346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18.5593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4.3080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-63.6738</w:t>
            </w:r>
          </w:p>
        </w:tc>
        <w:tc>
          <w:tcPr>
            <w:tcW w:type="dxa" w:w="11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4.2037</w:t>
            </w:r>
          </w:p>
        </w:tc>
      </w:tr>
    </w:tbl>
    <w:p/>
    <w:p>
      <w:pPr>
        <w:spacing w:before="8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84000" cy="27650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ma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765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b w:val="0"/>
          <w:i/>
          <w:sz w:val="20"/>
        </w:rPr>
        <w:t>Рисунок 5 — Сравнение моделей на тестовом периоде 2023-2024 по MAE</w:t>
      </w:r>
    </w:p>
    <w:p>
      <w:pPr>
        <w:spacing w:before="8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22635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63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b w:val="0"/>
          <w:i/>
          <w:sz w:val="20"/>
        </w:rPr>
        <w:t>Рисунок 6 — Сопоставление фактической и прогнозной общей инфляции</w:t>
      </w:r>
    </w:p>
    <w:p>
      <w:pPr>
        <w:spacing w:before="120" w:after="80" w:line="276" w:lineRule="auto"/>
        <w:jc w:val="center"/>
        <w:keepNext/>
      </w:pPr>
      <w:r>
        <w:rPr>
          <w:rFonts w:ascii="Times New Roman" w:hAnsi="Times New Roman"/>
          <w:b/>
          <w:i w:val="0"/>
          <w:sz w:val="20"/>
        </w:rPr>
        <w:t>Таблица 7 — Проверка устойчивости на holdout 2025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 w:val="true"/>
        </w:trPr>
        <w:tc>
          <w:tcPr>
            <w:tcW w:type="dxa" w:w="238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Модель</w:t>
            </w:r>
          </w:p>
        </w:tc>
        <w:tc>
          <w:tcPr>
            <w:tcW w:type="dxa" w:w="124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MAE</w:t>
            </w:r>
          </w:p>
        </w:tc>
        <w:tc>
          <w:tcPr>
            <w:tcW w:type="dxa" w:w="124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RMSE</w:t>
            </w:r>
          </w:p>
        </w:tc>
        <w:tc>
          <w:tcPr>
            <w:tcW w:type="dxa" w:w="124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R2</w:t>
            </w:r>
          </w:p>
        </w:tc>
        <w:tc>
          <w:tcPr>
            <w:tcW w:type="dxa" w:w="124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MAPE, %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huber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0.3801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0.5572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0.2215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0.3780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gradient_boosting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0.4182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0.5964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0.1082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0.4160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naive_lag_12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0.4467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0.6235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0.0252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0.4449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rolling_12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0.4932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0.6701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-0.1260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0.4916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naive_lag_1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0.5390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0.8171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-0.6744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0.5358</w:t>
            </w:r>
          </w:p>
        </w:tc>
      </w:tr>
    </w:tbl>
    <w:p/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На validation и test лучшей обучаемой моделью стала Gradient Boosting. На holdout 2025 наименьшую ошибку показал HuberRegressor, что дополнительно подтверждает чувствительность экономических рядов к выбросам. Для итогового прогноза выбрана Gradient Boosting как модель, победившая на этапе выбора и финального тестирования, а результат holdout зафиксирован как ограничение интерпретации.</w:t>
      </w:r>
    </w:p>
    <w:p>
      <w:pPr>
        <w:pStyle w:val="Heading1"/>
        <w:keepNext/>
        <w:pageBreakBefore/>
      </w:pPr>
      <w:r>
        <w:t>8. Итоговый прогноз</w:t>
      </w:r>
    </w:p>
    <w:p>
      <w:pPr>
        <w:spacing w:before="120" w:after="80" w:line="276" w:lineRule="auto"/>
        <w:jc w:val="center"/>
        <w:keepNext/>
      </w:pPr>
      <w:r>
        <w:rPr>
          <w:rFonts w:ascii="Times New Roman" w:hAnsi="Times New Roman"/>
          <w:b/>
          <w:i w:val="0"/>
          <w:sz w:val="20"/>
        </w:rPr>
        <w:t>Таблица 8 — Итоговый прогноз общей инфляции на 12 месяцев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Период</w:t>
            </w:r>
          </w:p>
        </w:tc>
        <w:tc>
          <w:tcPr>
            <w:tcW w:type="dxa" w:w="260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Прогноз target, п.п.</w:t>
            </w:r>
          </w:p>
        </w:tc>
        <w:tc>
          <w:tcPr>
            <w:tcW w:type="dxa" w:w="204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Прогноз idx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апрель 2026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0.5695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100.5695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май 2026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0.5777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100.5777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июнь 2026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0.5695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100.5695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июль 2026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0.6153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100.6153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август 2026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0.2296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100.2296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сентябрь 2026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0.3402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100.3402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октябрь 2026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0.3991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100.3991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ноябрь 2026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0.3967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100.3967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декабрь 2026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0.3967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100.3967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январь 2027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0.9131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100.9131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февраль 2027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0.8418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100.8418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март 2027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0.7300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100.7300</w:t>
            </w:r>
          </w:p>
        </w:tc>
      </w:tr>
    </w:tbl>
    <w:p/>
    <w:p>
      <w:pPr>
        <w:spacing w:before="8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24825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_foreca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482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b w:val="0"/>
          <w:i/>
          <w:sz w:val="20"/>
        </w:rPr>
        <w:t>Рисунок 7 — Итоговый прогноз общей инфляции на 12 месяцев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По прогнозу максимальная месячная инфляция ожидается в январь 2027: 0.91 п.п. Минимальное прогнозное значение — 0.23 п.п. в август 2026. Для управленческого планирования это означает, что индексацию цен, пересмотр бюджетов и закупочные решения целесообразно готовить до месяцев с прогнозируемым ускорением инфляции.</w:t>
      </w:r>
    </w:p>
    <w:p>
      <w:pPr>
        <w:pStyle w:val="Heading1"/>
        <w:keepNext/>
      </w:pPr>
      <w:r>
        <w:t>9. Бизнес-интерпретация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Финансовое планирование: прогноз можно использовать для пересмотра бюджета расходов и планирования индексации договоров.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Закупки и запасы: перед ожидаемыми пиковыми месяцами можно заранее фиксировать цены и корректировать график закупок.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Ценообразование: прогноз общей инфляции помогает обосновать календарь пересмотра цен и тарифов.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Управление рисками: расхождение качества на test и holdout показывает, что модель нужно регулярно переобучать после появления новых фактических месяцев.</w:t>
      </w:r>
    </w:p>
    <w:p>
      <w:pPr>
        <w:pStyle w:val="Heading1"/>
        <w:keepNext/>
      </w:pPr>
      <w:r>
        <w:t>10. Выводы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Временной ряд инфляции подготовлен к моделированию: сформированы лаги, скользящие средние, сезонные и категориальные признаки.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Коэффициенты сезонности рассчитаны двумя методами; для общего индекса наиболее заметен январский эффект.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Построены и сравнены несколько моделей, включая простые сезонные baseline и обучаемые ML-модели.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По test 2023-2024 лучшая точность у Gradient Boosting: MAE = 0,3699, MAPE = 0,3666%.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На holdout 2025 наиболее устойчивым оказался HuberRegressor; это зафиксировано как ограничение итогового прогноза.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Итоговый прогноз построен на 12 месяцев вперед и может использоваться для бюджетирования, закупок, ценообразования и оценки инфляционных рисков.</w:t>
      </w:r>
    </w:p>
    <w:p>
      <w:pPr>
        <w:pStyle w:val="Heading1"/>
        <w:keepNext/>
      </w:pPr>
      <w:r>
        <w:t>11. Ответы на контрольные вопросы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1. Компоненты временного ряда.</w:t>
      </w:r>
      <w:r>
        <w:rPr>
          <w:rFonts w:ascii="Times New Roman" w:hAnsi="Times New Roman"/>
          <w:b w:val="0"/>
          <w:i w:val="0"/>
          <w:sz w:val="24"/>
        </w:rPr>
        <w:t xml:space="preserve"> Временной ряд включает тренд, сезонную и случайную компоненты. Тренд отражает долгосрочное направление изменения, сезонность — повторяющиеся колебания внутри года, случайная компонента — нерегулярные отклонения. Наличие сезонности требует модели, которая учитывает месячный или квартальный цикл.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2. Коэффициент сезонности.</w:t>
      </w:r>
      <w:r>
        <w:rPr>
          <w:rFonts w:ascii="Times New Roman" w:hAnsi="Times New Roman"/>
          <w:b w:val="0"/>
          <w:i w:val="0"/>
          <w:sz w:val="24"/>
        </w:rPr>
        <w:t xml:space="preserve"> Коэффициент сезонности показывает, насколько конкретный месяц отличается от среднего уровня. Если коэффициент декабря равен 1,25, это означает, что показатель в декабре в среднем на 25% выше обычного уровня, поэтому бизнесу нужно заранее готовить запасы, персонал или бюджет.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3. Аддитивная и мультипликативная модели.</w:t>
      </w:r>
      <w:r>
        <w:rPr>
          <w:rFonts w:ascii="Times New Roman" w:hAnsi="Times New Roman"/>
          <w:b w:val="0"/>
          <w:i w:val="0"/>
          <w:sz w:val="24"/>
        </w:rPr>
        <w:t xml:space="preserve"> В аддитивной модели сезонная добавка примерно постоянна в абсолютных единицах, а в мультипликативной сезонность пропорциональна уровню ряда. Если амплитуда сезонных колебаний растет вместе с уровнем показателя, лучше подходит мультипликативная логика.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4. MAPE.</w:t>
      </w:r>
      <w:r>
        <w:rPr>
          <w:rFonts w:ascii="Times New Roman" w:hAnsi="Times New Roman"/>
          <w:b w:val="0"/>
          <w:i w:val="0"/>
          <w:sz w:val="24"/>
        </w:rPr>
        <w:t xml:space="preserve"> MAPE — средняя абсолютная процентная ошибка. Значение ниже 10% обычно считается высокой точностью, 10-20% — хорошей, 20-50% — удовлетворительной. При очень малых фактических значениях MAPE может вводить в заблуждение, поэтому в работе ошибка рассчитывалась по индексам idx.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5. Использование прогноза.</w:t>
      </w:r>
      <w:r>
        <w:rPr>
          <w:rFonts w:ascii="Times New Roman" w:hAnsi="Times New Roman"/>
          <w:b w:val="0"/>
          <w:i w:val="0"/>
          <w:sz w:val="24"/>
        </w:rPr>
        <w:t xml:space="preserve"> Прогноз можно использовать в финансах, закупках и ценообразовании. Финансовый блок планирует бюджет и индексацию, закупки выбирают момент фиксации цен и объемы, а коммерческий блок определяет календарь пересмотра цен.</w:t>
      </w:r>
    </w:p>
    <w:p>
      <w:pPr>
        <w:pStyle w:val="Heading1"/>
        <w:keepNext/>
      </w:pPr>
      <w:r>
        <w:t>12. Приложение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Проект содержит код подготовки данных, обучения моделей, построения графиков и генерации отчета.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Репозиторий с кодом: </w:t>
      </w:r>
      <w:hyperlink r:id="rId18">
        <w:r>
          <w:rPr>
            <w:color w:val="0563C1"/>
            <w:u w:val="single"/>
          </w:rPr>
          <w:t>https://github.com/KachalovG/labsML/tree/main/lab3_inflation_forecast</w:t>
        </w:r>
      </w:hyperlink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data/inflation_long_format.csv — исходный датасет;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data/data_processing.py — подготовка признаков;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train.py — обучение, расчет метрик, сохранение прогнозов;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models/ — определения моделей;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models/save_models/ — метрики, прогнозы, коэффициенты сезонности, обученная модель;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report_assets/ — графики для отчета;</w:t>
      </w:r>
    </w:p>
    <w:p>
      <w:pPr>
        <w:spacing w:before="0" w:after="60" w:line="276" w:lineRule="auto"/>
        <w:ind w:left="283" w:hanging="142"/>
        <w:jc w:val="left"/>
      </w:pPr>
      <w:r>
        <w:rPr>
          <w:rFonts w:ascii="Times New Roman" w:hAnsi="Times New Roman"/>
          <w:b w:val="0"/>
          <w:i w:val="0"/>
          <w:sz w:val="24"/>
        </w:rPr>
        <w:t>• build_lab3_ideal_report.py — генерация финального Word-отчета.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center"/>
    </w:pPr>
    <w:r>
      <w:rPr>
        <w:rFonts w:ascii="Times New Roman" w:hAnsi="Times New Roman"/>
        <w:b w:val="0"/>
        <w:i w:val="0"/>
        <w:color w:val="595959"/>
        <w:sz w:val="18"/>
      </w:rPr>
      <w:t>Лабораторная работа №3. Прогноз инфляции с сезонной компонентой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github.com/KachalovG/labsML/tree/main/lab3_inflation_foreca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