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52"/>
        </w:rPr>
        <w:t>TCG.Bet</w:t>
      </w:r>
    </w:p>
    <w:p>
      <w:pPr>
        <w:jc w:val="center"/>
      </w:pPr>
      <w:r>
        <w:rPr>
          <w:color w:val="1F4D78"/>
          <w:sz w:val="28"/>
        </w:rPr>
        <w:t>Documentacao Final - Projeto de Software com Arquitetura Justificada</w:t>
      </w:r>
    </w:p>
    <w:p>
      <w:pPr>
        <w:jc w:val="center"/>
      </w:pPr>
      <w:r>
        <w:rPr>
          <w:color w:val="5A5A5A"/>
          <w:sz w:val="20"/>
        </w:rPr>
        <w:t>Grupo: preencher nomes dos integrantes | Repositorio: https://github.com/KachanChK/TCG.Bet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r>
              <w:rPr>
                <w:b/>
                <w:color w:val="1F4D78"/>
              </w:rPr>
              <w:t xml:space="preserve">Resumo executivo: </w:t>
            </w:r>
            <w:r>
              <w:t>O TCG.Bet e uma aplicacao web de apostas em eventos futuros. A melhoria arquitetural adotou monolito modular, camadas inspiradas em Clean Architecture/Hexagonal, ADRs, OpenAPI, testes automatizados e padroes GoF aplicados a problemas reais do dominio.</w:t>
            </w:r>
          </w:p>
        </w:tc>
      </w:tr>
    </w:tbl>
    <w:p/>
    <w:p>
      <w:pPr>
        <w:pStyle w:val="Heading1"/>
      </w:pPr>
      <w:r>
        <w:t>Sumario</w:t>
      </w:r>
    </w:p>
    <w:p>
      <w:pPr>
        <w:pStyle w:val="ListNumber"/>
      </w:pPr>
      <w:r>
        <w:t>Introducao</w:t>
      </w:r>
    </w:p>
    <w:p>
      <w:pPr>
        <w:pStyle w:val="ListNumber"/>
      </w:pPr>
      <w:r>
        <w:t>Atributos de qualidade e decisoes arquiteturais</w:t>
      </w:r>
    </w:p>
    <w:p>
      <w:pPr>
        <w:pStyle w:val="ListNumber"/>
      </w:pPr>
      <w:r>
        <w:t>Estilo arquitetural</w:t>
      </w:r>
    </w:p>
    <w:p>
      <w:pPr>
        <w:pStyle w:val="ListNumber"/>
      </w:pPr>
      <w:r>
        <w:t>Aplicacao dos principios SOLID</w:t>
      </w:r>
    </w:p>
    <w:p>
      <w:pPr>
        <w:pStyle w:val="ListNumber"/>
      </w:pPr>
      <w:r>
        <w:t>Clean Code</w:t>
      </w:r>
    </w:p>
    <w:p>
      <w:pPr>
        <w:pStyle w:val="ListNumber"/>
      </w:pPr>
      <w:r>
        <w:t>Padroes de projeto GoF</w:t>
      </w:r>
    </w:p>
    <w:p>
      <w:pPr>
        <w:pStyle w:val="ListNumber"/>
      </w:pPr>
      <w:r>
        <w:t>Design de API</w:t>
      </w:r>
    </w:p>
    <w:p>
      <w:pPr>
        <w:pStyle w:val="ListNumber"/>
      </w:pPr>
      <w:r>
        <w:t>Diagramas e modelos</w:t>
      </w:r>
    </w:p>
    <w:p>
      <w:pPr>
        <w:pStyle w:val="ListNumber"/>
      </w:pPr>
      <w:r>
        <w:t>Conclusoes</w:t>
      </w:r>
    </w:p>
    <w:p>
      <w:pPr>
        <w:pStyle w:val="ListNumber"/>
      </w:pPr>
      <w:r>
        <w:t>Referencias bibliograficas</w:t>
      </w:r>
    </w:p>
    <w:p>
      <w:pPr>
        <w:pStyle w:val="ListNumber"/>
      </w:pPr>
      <w:r>
        <w:t>Anexos</w:t>
      </w:r>
    </w:p>
    <w:p>
      <w:pPr>
        <w:pStyle w:val="Heading1"/>
      </w:pPr>
      <w:r>
        <w:t>1. Introducao</w:t>
      </w:r>
    </w:p>
    <w:p>
      <w:r>
        <w:t>O TCG.Bet e um software web para gerenciamento de apostas em eventos futuros. O sistema atende usuarios que desejam criar eventos, apostar, movimentar carteira e acompanhar historico financeiro, alem de moderadores responsaveis por avaliar eventos e finalizar resultados.</w:t>
      </w:r>
    </w:p>
    <w:p>
      <w:r>
        <w:t>A escolha do tema e adequada ao trabalho porque envolve regras de negocio nao triviais: autenticacao, autorizacao por papel, operacoes financeiras, historico de carteira, moderacao e calculo de premiacao. Esses pontos permitem demonstrar arquitetura, atributos de qualidade, SOLID, Clean Code e padroes GoF com evidencias objetivas no codigo.</w:t>
      </w:r>
    </w:p>
    <w:p>
      <w:pPr>
        <w:pStyle w:val="Heading2"/>
      </w:pPr>
      <w:r>
        <w:t>Objetivo geral</w:t>
      </w:r>
    </w:p>
    <w:p>
      <w:r>
        <w:t>Desenvolver e documentar uma aplicacao de apostas em eventos futuros com arquitetura justificada, contrato REST formal e melhoria estrutural do codigo para favorecer manutencao e testabilidade.</w:t>
      </w:r>
    </w:p>
    <w:p>
      <w:pPr>
        <w:pStyle w:val="Heading2"/>
      </w:pPr>
      <w:r>
        <w:t>Objetivos especificos</w:t>
      </w:r>
    </w:p>
    <w:p>
      <w:pPr>
        <w:pStyle w:val="ListBullet"/>
      </w:pPr>
      <w:r>
        <w:t>Permitir cadastro, login e autenticacao de usuarios por JWT.</w:t>
      </w:r>
    </w:p>
    <w:p>
      <w:pPr>
        <w:pStyle w:val="ListBullet"/>
      </w:pPr>
      <w:r>
        <w:t>Permitir criacao, avaliacao, cancelamento e finalizacao de eventos.</w:t>
      </w:r>
    </w:p>
    <w:p>
      <w:pPr>
        <w:pStyle w:val="ListBullet"/>
      </w:pPr>
      <w:r>
        <w:t>Permitir deposito, saque, aposta e registro de historico financeiro.</w:t>
      </w:r>
    </w:p>
    <w:p>
      <w:pPr>
        <w:pStyle w:val="ListBullet"/>
      </w:pPr>
      <w:r>
        <w:t>Separar regras de negocio de detalhes de infraestrutura.</w:t>
      </w:r>
    </w:p>
    <w:p>
      <w:pPr>
        <w:pStyle w:val="ListBullet"/>
      </w:pPr>
      <w:r>
        <w:t>Documentar decisoes arquiteturais por ADRs e especificar a API com OpenAPI.</w:t>
      </w:r>
    </w:p>
    <w:p>
      <w:pPr>
        <w:pStyle w:val="ListBullet"/>
      </w:pPr>
      <w:r>
        <w:t>Demonstrar SOLID, Clean Code e tres padroes GoF aplicados ao projeto.</w:t>
      </w:r>
    </w:p>
    <w:p>
      <w:pPr>
        <w:pStyle w:val="Heading2"/>
      </w:pPr>
      <w:r>
        <w:t>Problema e publico-alvo</w:t>
      </w:r>
    </w:p>
    <w:p>
      <w:r>
        <w:t>O problema tratado e a ausencia de uma plataforma simples para concentrar eventos de aposta, validacao por moderadores, participacao dos usuarios e controle de saldo. O publico-alvo sao usuarios adultos interessados em apostas sobre eventos futuros e moderadores que controlam a qualidade e o encerramento dos eventos.</w:t>
      </w:r>
    </w:p>
    <w:p>
      <w:pPr>
        <w:pStyle w:val="Heading1"/>
      </w:pPr>
      <w:r>
        <w:t>2. Atributos de Qualidade e Decisoes Arquiteturais</w:t>
      </w:r>
    </w:p>
    <w:p>
      <w:pPr>
        <w:pStyle w:val="Heading2"/>
      </w:pPr>
      <w:r>
        <w:t>2A. Atributos de qualidade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  <w:color w:val="1F4D78"/>
              </w:rPr>
              <w:t>Atributo</w:t>
            </w:r>
          </w:p>
        </w:tc>
        <w:tc>
          <w:tcPr>
            <w:tcW w:type="dxa" w:w="2700"/>
            <w:shd w:fill="F2F4F7"/>
            <w:vAlign w:val="center"/>
          </w:tcPr>
          <w:p>
            <w:r>
              <w:rPr>
                <w:b/>
                <w:color w:val="1F4D78"/>
              </w:rPr>
              <w:t>Justificativa</w:t>
            </w:r>
          </w:p>
        </w:tc>
        <w:tc>
          <w:tcPr>
            <w:tcW w:type="dxa" w:w="3000"/>
            <w:shd w:fill="F2F4F7"/>
            <w:vAlign w:val="center"/>
          </w:tcPr>
          <w:p>
            <w:r>
              <w:rPr>
                <w:b/>
                <w:color w:val="1F4D78"/>
              </w:rPr>
              <w:t>Decisoes arquiteturais</w:t>
            </w:r>
          </w:p>
        </w:tc>
        <w:tc>
          <w:tcPr>
            <w:tcW w:type="dxa" w:w="1860"/>
            <w:shd w:fill="F2F4F7"/>
            <w:vAlign w:val="center"/>
          </w:tcPr>
          <w:p>
            <w:r>
              <w:rPr>
                <w:b/>
                <w:color w:val="1F4D78"/>
              </w:rPr>
              <w:t>Metricas observaveis</w:t>
            </w:r>
          </w:p>
        </w:tc>
      </w:tr>
      <w:tr>
        <w:tc>
          <w:tcPr>
            <w:tcW w:type="dxa" w:w="1800"/>
            <w:vAlign w:val="center"/>
          </w:tcPr>
          <w:p>
            <w:r>
              <w:t>Seguranca</w:t>
            </w:r>
          </w:p>
        </w:tc>
        <w:tc>
          <w:tcPr>
            <w:tcW w:type="dxa" w:w="2700"/>
            <w:vAlign w:val="center"/>
          </w:tcPr>
          <w:p>
            <w:r>
              <w:t>O sistema lida com autenticacao, autorizacao e operacoes financeiras. Um erro permitiria apostas indevidas ou uso de rotas de moderador por usuarios comuns.</w:t>
            </w:r>
          </w:p>
        </w:tc>
        <w:tc>
          <w:tcPr>
            <w:tcW w:type="dxa" w:w="3000"/>
            <w:vAlign w:val="center"/>
          </w:tcPr>
          <w:p>
            <w:r>
              <w:t>JWT para autenticacao, AuthPort/JwtOracleAuthAdapter, validacao de papel em casos de uso, separacao entre usuario e moderador e hash de senha com scrypt.</w:t>
            </w:r>
          </w:p>
        </w:tc>
        <w:tc>
          <w:tcPr>
            <w:tcW w:type="dxa" w:w="1860"/>
            <w:vAlign w:val="center"/>
          </w:tcPr>
          <w:p>
            <w:r>
              <w:t>100% das rotas privadas exigem Bearer token; rotas de moderador validam isModerator; tokens com expiracao de 8h; senhas novas nao sao persistidas em texto puro.</w:t>
            </w:r>
          </w:p>
        </w:tc>
      </w:tr>
      <w:tr>
        <w:tc>
          <w:tcPr>
            <w:tcW w:type="dxa" w:w="1800"/>
            <w:vAlign w:val="center"/>
          </w:tcPr>
          <w:p>
            <w:r>
              <w:t>Confiabilidade e consistencia</w:t>
            </w:r>
          </w:p>
        </w:tc>
        <w:tc>
          <w:tcPr>
            <w:tcW w:type="dxa" w:w="2700"/>
            <w:vAlign w:val="center"/>
          </w:tcPr>
          <w:p>
            <w:r>
              <w:t>Apostas, saldo e historico financeiro precisam permanecer coerentes, principalmente quando uma aposta debita saldo e registra historico.</w:t>
            </w:r>
          </w:p>
        </w:tc>
        <w:tc>
          <w:tcPr>
            <w:tcW w:type="dxa" w:w="3000"/>
            <w:vAlign w:val="center"/>
          </w:tcPr>
          <w:p>
            <w:r>
              <w:t>Operacoes financeiras executadas em uma conexao Oracle e confirmadas com commit apenas em sucesso; valores monetarios convertidos para centavos.</w:t>
            </w:r>
          </w:p>
        </w:tc>
        <w:tc>
          <w:tcPr>
            <w:tcW w:type="dxa" w:w="1860"/>
            <w:vAlign w:val="center"/>
          </w:tcPr>
          <w:p>
            <w:r>
              <w:t>Build sem erros; testes de dominio passando; nenhuma operacao de carteira deve aceitar valor menor ou igual a zero.</w:t>
            </w:r>
          </w:p>
        </w:tc>
      </w:tr>
      <w:tr>
        <w:tc>
          <w:tcPr>
            <w:tcW w:type="dxa" w:w="1800"/>
            <w:vAlign w:val="center"/>
          </w:tcPr>
          <w:p>
            <w:r>
              <w:t>Manutenibilidade e testabilidade</w:t>
            </w:r>
          </w:p>
        </w:tc>
        <w:tc>
          <w:tcPr>
            <w:tcW w:type="dxa" w:w="2700"/>
            <w:vAlign w:val="center"/>
          </w:tcPr>
          <w:p>
            <w:r>
              <w:t>O projeto precisa evoluir e ser defendido academicamente. Regras misturadas com SQL e Express dificultavam testes e mudancas.</w:t>
            </w:r>
          </w:p>
        </w:tc>
        <w:tc>
          <w:tcPr>
            <w:tcW w:type="dxa" w:w="3000"/>
            <w:vAlign w:val="center"/>
          </w:tcPr>
          <w:p>
            <w:r>
              <w:t>Camadas domain/application/infrastructure, portas pequenas, casos de uso focados, Strategy para premiacao e Factory para transacoes.</w:t>
            </w:r>
          </w:p>
        </w:tc>
        <w:tc>
          <w:tcPr>
            <w:tcW w:type="dxa" w:w="1860"/>
            <w:vAlign w:val="center"/>
          </w:tcPr>
          <w:p>
            <w:r>
              <w:t>Casos de uso centrais dependem de interfaces; 9 testes automatizados de dominio executados por npm test.</w:t>
            </w:r>
          </w:p>
        </w:tc>
      </w:tr>
    </w:tbl>
    <w:p/>
    <w:p>
      <w:pPr>
        <w:pStyle w:val="Heading2"/>
      </w:pPr>
      <w:r>
        <w:t>2B. Registro de Decisoes Arquiteturais</w:t>
      </w:r>
    </w:p>
    <w:p>
      <w:r>
        <w:t>Os ADRs ficam versionados na pasta /adrs do repositorio. O ADR 0005 registra uma decisao modificada: a primeira versao usava servicos com SQL inline; a refatoracao moveu fluxos centrais para casos de uso e portas.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shd w:fill="F2F4F7"/>
            <w:vAlign w:val="center"/>
          </w:tcPr>
          <w:p>
            <w:r>
              <w:rPr>
                <w:b/>
                <w:color w:val="1F4D78"/>
              </w:rPr>
              <w:t>ADR</w:t>
            </w:r>
          </w:p>
        </w:tc>
        <w:tc>
          <w:tcPr>
            <w:tcW w:type="dxa" w:w="2800"/>
            <w:shd w:fill="F2F4F7"/>
            <w:vAlign w:val="center"/>
          </w:tcPr>
          <w:p>
            <w:r>
              <w:rPr>
                <w:b/>
                <w:color w:val="1F4D78"/>
              </w:rPr>
              <w:t>Titulo</w:t>
            </w:r>
          </w:p>
        </w:tc>
        <w:tc>
          <w:tcPr>
            <w:tcW w:type="dxa" w:w="1200"/>
            <w:shd w:fill="F2F4F7"/>
            <w:vAlign w:val="center"/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4460"/>
            <w:shd w:fill="F2F4F7"/>
            <w:vAlign w:val="center"/>
          </w:tcPr>
          <w:p>
            <w:r>
              <w:rPr>
                <w:b/>
                <w:color w:val="1F4D78"/>
              </w:rPr>
              <w:t>Resumo</w:t>
            </w:r>
          </w:p>
        </w:tc>
      </w:tr>
      <w:tr>
        <w:tc>
          <w:tcPr>
            <w:tcW w:type="dxa" w:w="900"/>
            <w:vAlign w:val="center"/>
          </w:tcPr>
          <w:p>
            <w:r>
              <w:t>0001</w:t>
            </w:r>
          </w:p>
        </w:tc>
        <w:tc>
          <w:tcPr>
            <w:tcW w:type="dxa" w:w="2800"/>
            <w:vAlign w:val="center"/>
          </w:tcPr>
          <w:p>
            <w:r>
              <w:t>Adotar monolito modular</w:t>
            </w:r>
          </w:p>
        </w:tc>
        <w:tc>
          <w:tcPr>
            <w:tcW w:type="dxa" w:w="1200"/>
            <w:vAlign w:val="center"/>
          </w:tcPr>
          <w:p>
            <w:r>
              <w:t>Accepted</w:t>
            </w:r>
          </w:p>
        </w:tc>
        <w:tc>
          <w:tcPr>
            <w:tcW w:type="dxa" w:w="4460"/>
            <w:vAlign w:val="center"/>
          </w:tcPr>
          <w:p>
            <w:r>
              <w:t>Mantem um unico deploy com separacao modular.</w:t>
            </w:r>
          </w:p>
        </w:tc>
      </w:tr>
      <w:tr>
        <w:tc>
          <w:tcPr>
            <w:tcW w:type="dxa" w:w="900"/>
            <w:vAlign w:val="center"/>
          </w:tcPr>
          <w:p>
            <w:r>
              <w:t>0002</w:t>
            </w:r>
          </w:p>
        </w:tc>
        <w:tc>
          <w:tcPr>
            <w:tcW w:type="dxa" w:w="2800"/>
            <w:vAlign w:val="center"/>
          </w:tcPr>
          <w:p>
            <w:r>
              <w:t>Organizar internamente por camadas</w:t>
            </w:r>
          </w:p>
        </w:tc>
        <w:tc>
          <w:tcPr>
            <w:tcW w:type="dxa" w:w="1200"/>
            <w:vAlign w:val="center"/>
          </w:tcPr>
          <w:p>
            <w:r>
              <w:t>Accepted</w:t>
            </w:r>
          </w:p>
        </w:tc>
        <w:tc>
          <w:tcPr>
            <w:tcW w:type="dxa" w:w="4460"/>
            <w:vAlign w:val="center"/>
          </w:tcPr>
          <w:p>
            <w:r>
              <w:t>Separa domain, application, infrastructure e HTTP.</w:t>
            </w:r>
          </w:p>
        </w:tc>
      </w:tr>
      <w:tr>
        <w:tc>
          <w:tcPr>
            <w:tcW w:type="dxa" w:w="900"/>
            <w:vAlign w:val="center"/>
          </w:tcPr>
          <w:p>
            <w:r>
              <w:t>0003</w:t>
            </w:r>
          </w:p>
        </w:tc>
        <w:tc>
          <w:tcPr>
            <w:tcW w:type="dxa" w:w="2800"/>
            <w:vAlign w:val="center"/>
          </w:tcPr>
          <w:p>
            <w:r>
              <w:t>Especificar API REST com OpenAPI</w:t>
            </w:r>
          </w:p>
        </w:tc>
        <w:tc>
          <w:tcPr>
            <w:tcW w:type="dxa" w:w="1200"/>
            <w:vAlign w:val="center"/>
          </w:tcPr>
          <w:p>
            <w:r>
              <w:t>Accepted</w:t>
            </w:r>
          </w:p>
        </w:tc>
        <w:tc>
          <w:tcPr>
            <w:tcW w:type="dxa" w:w="4460"/>
            <w:vAlign w:val="center"/>
          </w:tcPr>
          <w:p>
            <w:r>
              <w:t>Formaliza contrato REST em docs/openapi.yaml.</w:t>
            </w:r>
          </w:p>
        </w:tc>
      </w:tr>
      <w:tr>
        <w:tc>
          <w:tcPr>
            <w:tcW w:type="dxa" w:w="900"/>
            <w:vAlign w:val="center"/>
          </w:tcPr>
          <w:p>
            <w:r>
              <w:t>0004</w:t>
            </w:r>
          </w:p>
        </w:tc>
        <w:tc>
          <w:tcPr>
            <w:tcW w:type="dxa" w:w="2800"/>
            <w:vAlign w:val="center"/>
          </w:tcPr>
          <w:p>
            <w:r>
              <w:t>Aplicar Strategy, Factory e Adapter</w:t>
            </w:r>
          </w:p>
        </w:tc>
        <w:tc>
          <w:tcPr>
            <w:tcW w:type="dxa" w:w="1200"/>
            <w:vAlign w:val="center"/>
          </w:tcPr>
          <w:p>
            <w:r>
              <w:t>Accepted</w:t>
            </w:r>
          </w:p>
        </w:tc>
        <w:tc>
          <w:tcPr>
            <w:tcW w:type="dxa" w:w="4460"/>
            <w:vAlign w:val="center"/>
          </w:tcPr>
          <w:p>
            <w:r>
              <w:t>Usa GoF onde ha problemas reais de dominio.</w:t>
            </w:r>
          </w:p>
        </w:tc>
      </w:tr>
      <w:tr>
        <w:tc>
          <w:tcPr>
            <w:tcW w:type="dxa" w:w="900"/>
            <w:vAlign w:val="center"/>
          </w:tcPr>
          <w:p>
            <w:r>
              <w:t>0005</w:t>
            </w:r>
          </w:p>
        </w:tc>
        <w:tc>
          <w:tcPr>
            <w:tcW w:type="dxa" w:w="2800"/>
            <w:vAlign w:val="center"/>
          </w:tcPr>
          <w:p>
            <w:r>
              <w:t>Revisar servicos com SQL inline</w:t>
            </w:r>
          </w:p>
        </w:tc>
        <w:tc>
          <w:tcPr>
            <w:tcW w:type="dxa" w:w="1200"/>
            <w:vAlign w:val="center"/>
          </w:tcPr>
          <w:p>
            <w:r>
              <w:t>Accepted</w:t>
            </w:r>
          </w:p>
        </w:tc>
        <w:tc>
          <w:tcPr>
            <w:tcW w:type="dxa" w:w="4460"/>
            <w:vAlign w:val="center"/>
          </w:tcPr>
          <w:p>
            <w:r>
              <w:t>Modifica decisao inicial e melhora testabilidade.</w:t>
            </w:r>
          </w:p>
        </w:tc>
      </w:tr>
    </w:tbl>
    <w:p/>
    <w:p>
      <w:pPr>
        <w:pStyle w:val="Heading1"/>
      </w:pPr>
      <w:r>
        <w:t>3. Estilo Arquitetural</w:t>
      </w:r>
    </w:p>
    <w:p>
      <w:pPr>
        <w:pStyle w:val="Heading2"/>
      </w:pPr>
      <w:r>
        <w:t>3A. Plano macro</w:t>
      </w:r>
    </w:p>
    <w:p>
      <w:r>
        <w:t>O sistema foi mantido como monolito modular. A escolha e coerente com o tamanho do projeto, com a maturidade esperada de um trabalho academico e com a necessidade de consistencia nas operacoes financeiras. Microsservicos aumentariam custo operacional, exigiriam comunicacao distribuida e complicariam transacoes sem trazer beneficio proporcional ao escopo atual.</w:t>
      </w:r>
    </w:p>
    <w:p>
      <w:r>
        <w:t>O monolito modular favorece seguranca e confiabilidade porque mantem autorizacao, apostas e carteira sob o mesmo processo e banco. A modularidade interna preserva manutenibilidade sem introduzir deploys independentes prematuros.</w:t>
      </w:r>
    </w:p>
    <w:p>
      <w:pPr>
        <w:pStyle w:val="Heading2"/>
      </w:pPr>
      <w:r>
        <w:t>3B. Plano interno</w:t>
      </w:r>
    </w:p>
    <w:p>
      <w:r>
        <w:t>A organizacao interna e inspirada em Clean Architecture e Arquitetura Hexagonal. As regras puras ficam em domain; os casos de uso e portas ficam em application; os detalhes de OracleDB e JWT ficam em infrastructure; routes e services fazem a entrada HTTP e preservam compatibilidade com a API existente.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Figura 1 - Arquitetura geral. Fonte: diagrams/architecture.mmd.</w:t>
      </w:r>
    </w:p>
    <w:p>
      <w:pPr>
        <w:pStyle w:val="Heading1"/>
      </w:pPr>
      <w:r>
        <w:t>4. Aplicacao dos Principios SOLID</w:t>
      </w:r>
    </w:p>
    <w:p>
      <w:pPr>
        <w:pStyle w:val="Heading2"/>
      </w:pPr>
      <w:r>
        <w:t>Single Responsibility</w:t>
      </w:r>
    </w:p>
    <w:p>
      <w:r>
        <w:t>Explicacao tecnica: Cada classe deve ter uma unica razao para mudar.</w:t>
      </w:r>
    </w:p>
    <w:p>
      <w:r>
        <w:t>Trecho aplicado: MoveWalletFundsUseCase concentra a regra de deposito/saque; WalletTransactionFactory cria transacoes; OracleWalletRepository persiste dados.</w:t>
      </w:r>
    </w:p>
    <w:p>
      <w:r>
        <w:t>Efeito: Reduz mistura entre regra, SQL e HTTP.</w:t>
      </w:r>
    </w:p>
    <w:p>
      <w:pPr>
        <w:pStyle w:val="Heading2"/>
      </w:pPr>
      <w:r>
        <w:t>Open-Closed</w:t>
      </w:r>
    </w:p>
    <w:p>
      <w:r>
        <w:t>Explicacao tecnica: Entidades devem estar abertas para extensao e fechadas para modificacao.</w:t>
      </w:r>
    </w:p>
    <w:p>
      <w:r>
        <w:t>Trecho aplicado: FinishEventUseCase depende de PayoutStrategy.</w:t>
      </w:r>
    </w:p>
    <w:p>
      <w:r>
        <w:t>Efeito: Um novo algoritmo de premiacao pode ser criado sem alterar o caso de uso.</w:t>
      </w:r>
    </w:p>
    <w:p>
      <w:pPr>
        <w:pStyle w:val="Heading2"/>
      </w:pPr>
      <w:r>
        <w:t>Liskov Substitution</w:t>
      </w:r>
    </w:p>
    <w:p>
      <w:r>
        <w:t>Explicacao tecnica: Implementacoes de uma abstracao devem poder substituir a abstracao sem quebrar o cliente.</w:t>
      </w:r>
    </w:p>
    <w:p>
      <w:r>
        <w:t>Trecho aplicado: OracleWalletRepository implementa WalletRepository.</w:t>
      </w:r>
    </w:p>
    <w:p>
      <w:r>
        <w:t>Efeito: O caso de uso pode usar repositorio Oracle ou fake de teste.</w:t>
      </w:r>
    </w:p>
    <w:p>
      <w:pPr>
        <w:pStyle w:val="Heading2"/>
      </w:pPr>
      <w:r>
        <w:t>Interface Segregation</w:t>
      </w:r>
    </w:p>
    <w:p>
      <w:r>
        <w:t>Explicacao tecnica: Clientes nao devem depender de metodos que nao usam.</w:t>
      </w:r>
    </w:p>
    <w:p>
      <w:r>
        <w:t>Trecho aplicado: WalletRepository, BetRepository, EventRepository e AuthPort sao portas pequenas.</w:t>
      </w:r>
    </w:p>
    <w:p>
      <w:r>
        <w:t>Efeito: Evita contratos grandes e acoplamento desnecessario.</w:t>
      </w:r>
    </w:p>
    <w:p>
      <w:pPr>
        <w:pStyle w:val="Heading2"/>
      </w:pPr>
      <w:r>
        <w:t>Dependency Inversion</w:t>
      </w:r>
    </w:p>
    <w:p>
      <w:r>
        <w:t>Explicacao tecnica: Modulos de alto nivel devem depender de abstracoes, nao de detalhes.</w:t>
      </w:r>
    </w:p>
    <w:p>
      <w:r>
        <w:t>Trecho aplicado: Casos de uso recebem AuthPort, WalletRepository, EventRepository e BetRepository no construtor.</w:t>
      </w:r>
    </w:p>
    <w:p>
      <w:r>
        <w:t>Efeito: SQL, JWT e Oracle ficam fora da regra de negocio.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>
              <w:rPr>
                <w:rFonts w:ascii="Consolas" w:hAnsi="Consolas"/>
                <w:sz w:val="16"/>
              </w:rPr>
              <w:t>export class FinishEventUseCase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constructor(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private readonly auth: AuthPort,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private readonly events: EventRepository,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private readonly bets: BetRepository,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private readonly wallets: WalletRepository,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private readonly payoutStrategy: PayoutStrategy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) {}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5. Clean Code</w:t>
      </w:r>
    </w:p>
    <w:p>
      <w:r>
        <w:t>As praticas de Clean Code foram aplicadas principalmente nos fluxos que concentram risco de negocio: carteira, aposta e finalizacao de eventos.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F2F4F7"/>
            <w:vAlign w:val="center"/>
          </w:tcPr>
          <w:p>
            <w:r>
              <w:rPr>
                <w:b/>
                <w:color w:val="1F4D78"/>
              </w:rPr>
              <w:t>Pratica</w:t>
            </w:r>
          </w:p>
        </w:tc>
        <w:tc>
          <w:tcPr>
            <w:tcW w:type="dxa" w:w="4000"/>
            <w:shd w:fill="F2F4F7"/>
            <w:vAlign w:val="center"/>
          </w:tcPr>
          <w:p>
            <w:r>
              <w:rPr>
                <w:b/>
                <w:color w:val="1F4D78"/>
              </w:rPr>
              <w:t>Evidencia</w:t>
            </w:r>
          </w:p>
        </w:tc>
        <w:tc>
          <w:tcPr>
            <w:tcW w:type="dxa" w:w="3460"/>
            <w:shd w:fill="F2F4F7"/>
            <w:vAlign w:val="center"/>
          </w:tcPr>
          <w:p>
            <w:r>
              <w:rPr>
                <w:b/>
                <w:color w:val="1F4D78"/>
              </w:rPr>
              <w:t>Efeito</w:t>
            </w:r>
          </w:p>
        </w:tc>
      </w:tr>
      <w:tr>
        <w:tc>
          <w:tcPr>
            <w:tcW w:type="dxa" w:w="1900"/>
            <w:vAlign w:val="center"/>
          </w:tcPr>
          <w:p>
            <w:r>
              <w:t>Nomes claros</w:t>
            </w:r>
          </w:p>
        </w:tc>
        <w:tc>
          <w:tcPr>
            <w:tcW w:type="dxa" w:w="4000"/>
            <w:vAlign w:val="center"/>
          </w:tcPr>
          <w:p>
            <w:r>
              <w:t>MoveWalletFundsUseCase, PlaceBetUseCase, FinishEventUseCase, PoolPayoutStrategy.</w:t>
            </w:r>
          </w:p>
        </w:tc>
        <w:tc>
          <w:tcPr>
            <w:tcW w:type="dxa" w:w="3460"/>
            <w:vAlign w:val="center"/>
          </w:tcPr>
          <w:p>
            <w:r>
              <w:t>O nome descreve a intencao e reduz necessidade de comentarios.</w:t>
            </w:r>
          </w:p>
        </w:tc>
      </w:tr>
      <w:tr>
        <w:tc>
          <w:tcPr>
            <w:tcW w:type="dxa" w:w="1900"/>
            <w:vAlign w:val="center"/>
          </w:tcPr>
          <w:p>
            <w:r>
              <w:t>Funcoes pequenas</w:t>
            </w:r>
          </w:p>
        </w:tc>
        <w:tc>
          <w:tcPr>
            <w:tcW w:type="dxa" w:w="4000"/>
            <w:vAlign w:val="center"/>
          </w:tcPr>
          <w:p>
            <w:r>
              <w:t>toCents, assertPositiveCents, WalletTransactionFactory.deposit/withdraw/bet/win.</w:t>
            </w:r>
          </w:p>
        </w:tc>
        <w:tc>
          <w:tcPr>
            <w:tcW w:type="dxa" w:w="3460"/>
            <w:vAlign w:val="center"/>
          </w:tcPr>
          <w:p>
            <w:r>
              <w:t>Cada funcao tem responsabilidade curta e testavel.</w:t>
            </w:r>
          </w:p>
        </w:tc>
      </w:tr>
      <w:tr>
        <w:tc>
          <w:tcPr>
            <w:tcW w:type="dxa" w:w="1900"/>
            <w:vAlign w:val="center"/>
          </w:tcPr>
          <w:p>
            <w:r>
              <w:t>Reducao de duplicacao</w:t>
            </w:r>
          </w:p>
        </w:tc>
        <w:tc>
          <w:tcPr>
            <w:tcW w:type="dxa" w:w="4000"/>
            <w:vAlign w:val="center"/>
          </w:tcPr>
          <w:p>
            <w:r>
              <w:t>Deposito e saque usam MoveWalletFundsUseCase.</w:t>
            </w:r>
          </w:p>
        </w:tc>
        <w:tc>
          <w:tcPr>
            <w:tcW w:type="dxa" w:w="3460"/>
            <w:vAlign w:val="center"/>
          </w:tcPr>
          <w:p>
            <w:r>
              <w:t>Evita duas implementacoes quase iguais para movimentacao de saldo.</w:t>
            </w:r>
          </w:p>
        </w:tc>
      </w:tr>
      <w:tr>
        <w:tc>
          <w:tcPr>
            <w:tcW w:type="dxa" w:w="1900"/>
            <w:vAlign w:val="center"/>
          </w:tcPr>
          <w:p>
            <w:r>
              <w:t>Baixo acoplamento</w:t>
            </w:r>
          </w:p>
        </w:tc>
        <w:tc>
          <w:tcPr>
            <w:tcW w:type="dxa" w:w="4000"/>
            <w:vAlign w:val="center"/>
          </w:tcPr>
          <w:p>
            <w:r>
              <w:t>Casos de uso dependem de portas, nao de OracleDB diretamente.</w:t>
            </w:r>
          </w:p>
        </w:tc>
        <w:tc>
          <w:tcPr>
            <w:tcW w:type="dxa" w:w="3460"/>
            <w:vAlign w:val="center"/>
          </w:tcPr>
          <w:p>
            <w:r>
              <w:t>Infraestrutura pode mudar com menor impacto.</w:t>
            </w:r>
          </w:p>
        </w:tc>
      </w:tr>
      <w:tr>
        <w:tc>
          <w:tcPr>
            <w:tcW w:type="dxa" w:w="1900"/>
            <w:vAlign w:val="center"/>
          </w:tcPr>
          <w:p>
            <w:r>
              <w:t>Tratamento explicito de erros</w:t>
            </w:r>
          </w:p>
        </w:tc>
        <w:tc>
          <w:tcPr>
            <w:tcW w:type="dxa" w:w="4000"/>
            <w:vAlign w:val="center"/>
          </w:tcPr>
          <w:p>
            <w:r>
              <w:t>UseCaseResult com ok/fail.</w:t>
            </w:r>
          </w:p>
        </w:tc>
        <w:tc>
          <w:tcPr>
            <w:tcW w:type="dxa" w:w="3460"/>
            <w:vAlign w:val="center"/>
          </w:tcPr>
          <w:p>
            <w:r>
              <w:t>Fluxos retornam erro controlado em vez de excecoes espalhadas.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>
              <w:rPr>
                <w:rFonts w:ascii="Consolas" w:hAnsi="Consolas"/>
                <w:sz w:val="16"/>
              </w:rPr>
              <w:t>export function toCents(amount: number): number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(!Number.isFinite(amount) || amount &lt;= 0)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throw new Error("O valor deve ser maior que zero.");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Math.round(amount * 100);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6. Padroes de Projeto GoF</w:t>
      </w:r>
    </w:p>
    <w:p>
      <w:pPr>
        <w:pStyle w:val="Heading2"/>
      </w:pPr>
      <w:r>
        <w:t>Strategy - comportamento</w:t>
      </w:r>
    </w:p>
    <w:p>
      <w:r>
        <w:t>Problema: o calculo de premiacao pode mudar. A solucao foi criar PayoutStrategy e uma implementacao PoolPayoutStrategy. Beneficio: extensibilidade. Custo: mais uma abstracao para entender.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>
              <w:rPr>
                <w:rFonts w:ascii="Consolas" w:hAnsi="Consolas"/>
                <w:sz w:val="16"/>
              </w:rPr>
              <w:t>export interface PayoutStrategy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calculatePayouts(winningGuess: string, bets: SettledBet[]): Payout[];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export class PoolPayoutStrategy implements PayoutStrategy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calculatePayouts(winningGuess: string, bets: SettledBet[]): Payout[]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const totalPool = bets.reduce((sum, bet) =&gt; sum + bet.betAmountInCents, 0);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// ... distribuicao proporcional aos vencedores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t>Factory - criacao</w:t>
      </w:r>
    </w:p>
    <w:p>
      <w:r>
        <w:t>Problema: transacoes de carteira precisam ser consistentes quanto a tipo e validacao. A Factory padroniza deposito, saque, aposta e ganho. Beneficio: centralizacao da criacao. Custo: chamada indireta em vez de objeto literal.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>
              <w:rPr>
                <w:rFonts w:ascii="Consolas" w:hAnsi="Consolas"/>
                <w:sz w:val="16"/>
              </w:rPr>
              <w:t>export class WalletTransactionFactory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static deposit(walletId: number, amountInCents: number): WalletTransaction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this.create(walletId, amountInCents, "Deposito");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static win(walletId: number, amountInCents: number): WalletTransaction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this.create(walletId, amountInCents, "Ganho");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t>Adapter - estrutura</w:t>
      </w:r>
    </w:p>
    <w:p>
      <w:r>
        <w:t>Problema: casos de uso nao devem depender diretamente de OracleDB, JWT ou bibliotecas externas. Os adapters traduzem essas APIs para portas internas. Beneficio: substituicao e teste. Custo: mais classes de infraestrutura.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>
              <w:rPr>
                <w:rFonts w:ascii="Consolas" w:hAnsi="Consolas"/>
                <w:sz w:val="16"/>
              </w:rPr>
              <w:t>export class OracleWalletRepository implements WalletRepository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constructor(private readonly connection: OracleDB.Connection) {}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async findByOwnerId(ownerId: number): Promise&lt;StoredWallet | null&gt;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const result = await this.connection.execute(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`SELECT id, balance, owner_id FROM wallets WHERE owner_id = :ownerId`,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[ownerId],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{ outFormat: OracleDB.OUT_FORMAT_OBJECT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// ... mapeia linha Oracle para StoredWallet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f-class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Figura 2 - Classes dos padroes GoF. Fonte: diagrams/gof-class-diagram.mmd.</w:t>
      </w:r>
    </w:p>
    <w:p>
      <w:pPr>
        <w:pStyle w:val="Heading1"/>
      </w:pPr>
      <w:r>
        <w:t>7. Design de API</w:t>
      </w:r>
    </w:p>
    <w:p>
      <w:r>
        <w:t>O estilo escolhido e REST, pois o sistema ja possui recursos claros como account, wallet, event, bet e moderation. REST tambem combina com Express e com ferramentas de teste e documentacao amplamente conhecidas.</w:t>
      </w:r>
    </w:p>
    <w:p>
      <w:pPr>
        <w:pStyle w:val="ListBullet"/>
      </w:pPr>
      <w:r>
        <w:t>Especificacao formal: docs/openapi.yaml em OpenAPI 3.0.3.</w:t>
      </w:r>
    </w:p>
    <w:p>
      <w:pPr>
        <w:pStyle w:val="ListBullet"/>
      </w:pPr>
      <w:r>
        <w:t>Autenticacao: Bearer JWT no header Authorization.</w:t>
      </w:r>
    </w:p>
    <w:p>
      <w:pPr>
        <w:pStyle w:val="ListBullet"/>
      </w:pPr>
      <w:r>
        <w:t>Versionamento: sem versao explicita na URL nesta iteracao; o contrato e versionado pelo campo info.version do OpenAPI. Mudancas incompativeis futuras devem migrar para /v1 ou novo contrato.</w:t>
      </w:r>
    </w:p>
    <w:p>
      <w:pPr>
        <w:pStyle w:val="ListBullet"/>
      </w:pPr>
      <w:r>
        <w:t>Convencao de erro: respostas JSON com propriedade error.</w:t>
      </w:r>
    </w:p>
    <w:p>
      <w:pPr>
        <w:pStyle w:val="ListBullet"/>
      </w:pPr>
      <w:r>
        <w:t>Paginacao: ainda nao aplicada porque os endpoints de lista sao simples; recomendacao futura para GET /event/getEvents e GET /event/getMyEvents.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F2F4F7"/>
            <w:vAlign w:val="center"/>
          </w:tcPr>
          <w:p>
            <w:r>
              <w:rPr>
                <w:b/>
                <w:color w:val="1F4D78"/>
              </w:rPr>
              <w:t>Endpoint</w:t>
            </w:r>
          </w:p>
        </w:tc>
        <w:tc>
          <w:tcPr>
            <w:tcW w:type="dxa" w:w="6660"/>
            <w:shd w:fill="F2F4F7"/>
            <w:vAlign w:val="center"/>
          </w:tcPr>
          <w:p>
            <w:r>
              <w:rPr>
                <w:b/>
                <w:color w:val="1F4D78"/>
              </w:rPr>
              <w:t>Responsabilidade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/account/signUp</w:t>
            </w:r>
          </w:p>
        </w:tc>
        <w:tc>
          <w:tcPr>
            <w:tcW w:type="dxa" w:w="6660"/>
            <w:vAlign w:val="center"/>
          </w:tcPr>
          <w:p>
            <w:r>
              <w:t>Cadastro de usuario.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/account/login</w:t>
            </w:r>
          </w:p>
        </w:tc>
        <w:tc>
          <w:tcPr>
            <w:tcW w:type="dxa" w:w="6660"/>
            <w:vAlign w:val="center"/>
          </w:tcPr>
          <w:p>
            <w:r>
              <w:t>Login e emissao de token.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/account/addFunds</w:t>
            </w:r>
          </w:p>
        </w:tc>
        <w:tc>
          <w:tcPr>
            <w:tcW w:type="dxa" w:w="6660"/>
            <w:vAlign w:val="center"/>
          </w:tcPr>
          <w:p>
            <w:r>
              <w:t>Deposito em carteira.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/account/withdrawFunds</w:t>
            </w:r>
          </w:p>
        </w:tc>
        <w:tc>
          <w:tcPr>
            <w:tcW w:type="dxa" w:w="6660"/>
            <w:vAlign w:val="center"/>
          </w:tcPr>
          <w:p>
            <w:r>
              <w:t>Saque de carteira.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/event/addEvent</w:t>
            </w:r>
          </w:p>
        </w:tc>
        <w:tc>
          <w:tcPr>
            <w:tcW w:type="dxa" w:w="6660"/>
            <w:vAlign w:val="center"/>
          </w:tcPr>
          <w:p>
            <w:r>
              <w:t>Criacao de evento pendente.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/event/bet</w:t>
            </w:r>
          </w:p>
        </w:tc>
        <w:tc>
          <w:tcPr>
            <w:tcW w:type="dxa" w:w="6660"/>
            <w:vAlign w:val="center"/>
          </w:tcPr>
          <w:p>
            <w:r>
              <w:t>Realizacao de aposta.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/mod/evaluateEvent</w:t>
            </w:r>
          </w:p>
        </w:tc>
        <w:tc>
          <w:tcPr>
            <w:tcW w:type="dxa" w:w="6660"/>
            <w:vAlign w:val="center"/>
          </w:tcPr>
          <w:p>
            <w:r>
              <w:t>Aprovacao ou reprovacao por moderador.</w:t>
            </w:r>
          </w:p>
        </w:tc>
      </w:tr>
      <w:tr>
        <w:tc>
          <w:tcPr>
            <w:tcW w:type="dxa" w:w="2700"/>
            <w:vAlign w:val="center"/>
          </w:tcPr>
          <w:p>
            <w:r>
              <w:t>POST /mod/finishEvent</w:t>
            </w:r>
          </w:p>
        </w:tc>
        <w:tc>
          <w:tcPr>
            <w:tcW w:type="dxa" w:w="6660"/>
            <w:vAlign w:val="center"/>
          </w:tcPr>
          <w:p>
            <w:r>
              <w:t>Finalizacao e distribuicao de ganhos.</w:t>
            </w:r>
          </w:p>
        </w:tc>
      </w:tr>
    </w:tbl>
    <w:p/>
    <w:p>
      <w:pPr>
        <w:pStyle w:val="Heading1"/>
      </w:pPr>
      <w:r>
        <w:t>8. Diagramas e Modelos</w:t>
      </w:r>
    </w:p>
    <w:p>
      <w:r>
        <w:t>Os diagramas foram mantidos como codigo em Mermaid na pasta /diagrams, conforme recomendado no enunciado.</w:t>
      </w:r>
    </w:p>
    <w:p>
      <w:pPr>
        <w:pStyle w:val="ListBullet"/>
      </w:pPr>
      <w:r>
        <w:t>diagrams/architecture.mmd: visao geral de componentes.</w:t>
      </w:r>
    </w:p>
    <w:p>
      <w:pPr>
        <w:pStyle w:val="ListBullet"/>
      </w:pPr>
      <w:r>
        <w:t>diagrams/gof-class-diagram.mmd: classes onde GoF foi aplicado.</w:t>
      </w:r>
    </w:p>
    <w:p>
      <w:pPr>
        <w:pStyle w:val="ListBullet"/>
      </w:pPr>
      <w:r>
        <w:t>diagrams/place-bet-sequence.mmd: fluxo central de realizacao de aposta.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-bet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6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Figura 3 - Sequencia do fluxo de aposta. Fonte: diagrams/place-bet-sequence.mmd.</w:t>
      </w:r>
    </w:p>
    <w:p>
      <w:pPr>
        <w:pStyle w:val="Heading1"/>
      </w:pPr>
      <w:r>
        <w:t>9. Conclusoes</w:t>
      </w:r>
    </w:p>
    <w:p>
      <w:r>
        <w:t>A refatoracao arquitetural tornou o projeto mais defensavel: os fluxos centrais passaram a demonstrar separacao de responsabilidades, inversao de dependencias, padroes GoF aplicados a problemas reais e testes automatizados de dominio.</w:t>
      </w:r>
    </w:p>
    <w:p>
      <w:r>
        <w:t>A pratica mais efetiva foi separar regra de negocio de infraestrutura. Isso permitiu testar premiacao e transacoes de carteira sem depender de OracleDB ou servidor Express.</w:t>
      </w:r>
    </w:p>
    <w:p>
      <w:pPr>
        <w:pStyle w:val="Heading2"/>
      </w:pPr>
      <w:r>
        <w:t>Limitacoes e proximas melhorias</w:t>
      </w:r>
    </w:p>
    <w:p>
      <w:pPr>
        <w:pStyle w:val="ListBullet"/>
      </w:pPr>
      <w:r>
        <w:t>Usuarios legados com senha antiga devem passar por migracao ou troca obrigatoria de senha.</w:t>
      </w:r>
    </w:p>
    <w:p>
      <w:pPr>
        <w:pStyle w:val="ListBullet"/>
      </w:pPr>
      <w:r>
        <w:t>Validacao de entrada deveria ser centralizada com biblioteca como Zod, Joi ou class-validator.</w:t>
      </w:r>
    </w:p>
    <w:p>
      <w:pPr>
        <w:pStyle w:val="ListBullet"/>
      </w:pPr>
      <w:r>
        <w:t>Nem todos os servicos legados foram migrados integralmente para casos de uso.</w:t>
      </w:r>
    </w:p>
    <w:p>
      <w:pPr>
        <w:pStyle w:val="ListBullet"/>
      </w:pPr>
      <w:r>
        <w:t>Faltam testes de integracao para rotas Express e persistencia Oracle.</w:t>
      </w:r>
    </w:p>
    <w:p>
      <w:pPr>
        <w:pStyle w:val="ListBullet"/>
      </w:pPr>
      <w:r>
        <w:t>Os endpoints de listagem ainda nao possuem paginacao.</w:t>
      </w:r>
    </w:p>
    <w:p>
      <w:pPr>
        <w:pStyle w:val="ListBullet"/>
      </w:pPr>
      <w:r>
        <w:t>Mensagens e arquivos antigos possuem alguns problemas de encoding em acentos.</w:t>
      </w:r>
    </w:p>
    <w:p>
      <w:pPr>
        <w:pStyle w:val="ListBullet"/>
      </w:pPr>
      <w:r>
        <w:t>O livro-texto exato da disciplina e os nomes dos integrantes devem ser preenchidos antes da entrega.</w:t>
      </w:r>
    </w:p>
    <w:p>
      <w:pPr>
        <w:pStyle w:val="Heading1"/>
      </w:pPr>
      <w:r>
        <w:t>10. Referencias Bibliograficas</w:t>
      </w:r>
    </w:p>
    <w:p>
      <w:r>
        <w:t>GAMMA, Erich; HELM, Richard; JOHNSON, Ralph; VLISSIDES, John. Design Patterns: Elements of Reusable Object-Oriented Software. Reading: Addison-Wesley, 1994.</w:t>
      </w:r>
    </w:p>
    <w:p>
      <w:r>
        <w:t>MARTIN, Robert C. Clean Code: A Handbook of Agile Software Craftsmanship. Upper Saddle River: Prentice Hall, 2008.</w:t>
      </w:r>
    </w:p>
    <w:p>
      <w:r>
        <w:t>MARTIN, Robert C. Clean Architecture: A Craftsman's Guide to Software Structure and Design. Boston: Prentice Hall, 2017.</w:t>
      </w:r>
    </w:p>
    <w:p>
      <w:r>
        <w:t>FOWLER, Martin. Patterns of Enterprise Application Architecture. Boston: Addison-Wesley, 2002.</w:t>
      </w:r>
    </w:p>
    <w:p>
      <w:r>
        <w:t>INTERNATIONAL ORGANIZATION FOR STANDARDIZATION. ISO/IEC 25010:2023: Systems and software engineering - Systems and software Quality Requirements and Evaluation (SQuaRE) - Product quality model. Geneva: ISO, 2023.</w:t>
      </w:r>
    </w:p>
    <w:p>
      <w:r>
        <w:t>NYGARD, Michael. Documenting Architecture Decisions. 2011. Disponivel em: https://cognitect.com/blog/2011/11/15/documenting-architecture-decisions. Acesso em: 10 jun. 2026.</w:t>
      </w:r>
    </w:p>
    <w:p>
      <w:r>
        <w:t>LIVRO-TEXTO DA DISCIPLINA. Referencia a completar conforme bibliografia indicada pelo professor.</w:t>
      </w:r>
    </w:p>
    <w:p>
      <w:pPr>
        <w:pStyle w:val="Heading1"/>
      </w:pPr>
      <w:r>
        <w:t>Anexos</w:t>
      </w:r>
    </w:p>
    <w:p>
      <w:pPr>
        <w:pStyle w:val="ListBullet"/>
      </w:pPr>
      <w:r>
        <w:t>Repositorio Git: https://github.com/KachanChK/TCG.Bet</w:t>
      </w:r>
    </w:p>
    <w:p>
      <w:pPr>
        <w:pStyle w:val="ListBullet"/>
      </w:pPr>
      <w:r>
        <w:t>Pasta de ADRs: /adrs</w:t>
      </w:r>
    </w:p>
    <w:p>
      <w:pPr>
        <w:pStyle w:val="ListBullet"/>
      </w:pPr>
      <w:r>
        <w:t>Pasta de diagramas: /diagrams</w:t>
      </w:r>
    </w:p>
    <w:p>
      <w:pPr>
        <w:pStyle w:val="ListBullet"/>
      </w:pPr>
      <w:r>
        <w:t>Contrato de API: /docs/openapi.yaml</w:t>
      </w:r>
    </w:p>
    <w:p>
      <w:pPr>
        <w:pStyle w:val="ListBullet"/>
      </w:pPr>
      <w:r>
        <w:t>README de instalacao e execucao: /README.md</w:t>
      </w:r>
    </w:p>
    <w:p>
      <w:pPr>
        <w:pStyle w:val="ListBullet"/>
      </w:pPr>
      <w:r>
        <w:t>Testes automatizados: /tests</w:t>
      </w:r>
    </w:p>
    <w:p>
      <w:pPr>
        <w:pStyle w:val="ListBullet"/>
      </w:pPr>
      <w:r>
        <w:t>Comandos verificados: npm.cmd run build e npm.cmd test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TCG.Bet - Documentacao de Projeto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</w:pPr>
    <w:rPr>
      <w:rFonts w:ascii="Consolas" w:hAnsi="Consolas"/>
      <w:color w:val="2828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