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29E" w:rsidRPr="008345D9" w:rsidRDefault="00DF2712" w:rsidP="00DF2712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345D9">
        <w:rPr>
          <w:rFonts w:ascii="Times New Roman" w:hAnsi="Times New Roman"/>
          <w:b/>
          <w:sz w:val="24"/>
          <w:szCs w:val="24"/>
        </w:rPr>
        <w:t xml:space="preserve">The concept of active sites is fundamental in the field of drug discovery, as it plays a crucial role in understanding how drugs interact with their target proteins. </w:t>
      </w:r>
    </w:p>
    <w:p w:rsidR="00BE029E" w:rsidRPr="008345D9" w:rsidRDefault="00DF2712" w:rsidP="00DF271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345D9">
        <w:rPr>
          <w:rFonts w:ascii="Times New Roman" w:hAnsi="Times New Roman"/>
          <w:sz w:val="24"/>
          <w:szCs w:val="24"/>
        </w:rPr>
        <w:t xml:space="preserve">What are active sites? </w:t>
      </w:r>
    </w:p>
    <w:p w:rsidR="00BE029E" w:rsidRPr="008345D9" w:rsidRDefault="00DF2712" w:rsidP="00DF271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345D9">
        <w:rPr>
          <w:rFonts w:ascii="Times New Roman" w:hAnsi="Times New Roman"/>
          <w:sz w:val="24"/>
          <w:szCs w:val="24"/>
        </w:rPr>
        <w:t xml:space="preserve">An active site is a specific region on enzymes or receptors </w:t>
      </w:r>
      <w:r w:rsidRPr="008345D9">
        <w:rPr>
          <w:rFonts w:ascii="Times New Roman" w:hAnsi="Times New Roman"/>
          <w:sz w:val="24"/>
          <w:szCs w:val="24"/>
        </w:rPr>
        <w:t>where substrat</w:t>
      </w:r>
      <w:r w:rsidR="00E26CD5">
        <w:rPr>
          <w:rFonts w:ascii="Times New Roman" w:hAnsi="Times New Roman"/>
          <w:sz w:val="24"/>
          <w:szCs w:val="24"/>
        </w:rPr>
        <w:t xml:space="preserve">es bind to perform or elicit and </w:t>
      </w:r>
      <w:r w:rsidRPr="008345D9">
        <w:rPr>
          <w:rFonts w:ascii="Times New Roman" w:hAnsi="Times New Roman"/>
          <w:sz w:val="24"/>
          <w:szCs w:val="24"/>
        </w:rPr>
        <w:t>produce a biologic response. The ways the sites are structured and the characteristics of these sites determine the efficacy and specificity of potential drug candidates.</w:t>
      </w:r>
      <w:r w:rsidR="00E26CD5">
        <w:rPr>
          <w:rFonts w:ascii="Times New Roman" w:hAnsi="Times New Roman"/>
          <w:sz w:val="24"/>
          <w:szCs w:val="24"/>
        </w:rPr>
        <w:t xml:space="preserve"> </w:t>
      </w:r>
      <w:r w:rsidR="005C2EBC">
        <w:rPr>
          <w:rFonts w:ascii="Times New Roman" w:hAnsi="Times New Roman"/>
          <w:sz w:val="24"/>
          <w:szCs w:val="24"/>
        </w:rPr>
        <w:t>(</w:t>
      </w:r>
      <w:r w:rsidR="005C2EB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Cooper GM, 2000). </w:t>
      </w:r>
      <w:r w:rsidRPr="008345D9">
        <w:rPr>
          <w:rFonts w:ascii="Times New Roman" w:hAnsi="Times New Roman"/>
          <w:sz w:val="24"/>
          <w:szCs w:val="24"/>
        </w:rPr>
        <w:t>They are types of active sites; Catalyt</w:t>
      </w:r>
      <w:r w:rsidR="005C2EBC">
        <w:rPr>
          <w:rFonts w:ascii="Times New Roman" w:hAnsi="Times New Roman"/>
          <w:sz w:val="24"/>
          <w:szCs w:val="24"/>
        </w:rPr>
        <w:t>ic sites, allosteric sites, r</w:t>
      </w:r>
      <w:r w:rsidRPr="008345D9">
        <w:rPr>
          <w:rFonts w:ascii="Times New Roman" w:hAnsi="Times New Roman"/>
          <w:sz w:val="24"/>
          <w:szCs w:val="24"/>
        </w:rPr>
        <w:t xml:space="preserve">egulatory sites </w:t>
      </w:r>
      <w:r w:rsidR="008345D9" w:rsidRPr="008345D9">
        <w:rPr>
          <w:rFonts w:ascii="Times New Roman" w:hAnsi="Times New Roman"/>
          <w:sz w:val="24"/>
          <w:szCs w:val="24"/>
        </w:rPr>
        <w:t>etc.</w:t>
      </w:r>
    </w:p>
    <w:p w:rsidR="00BE029E" w:rsidRPr="008345D9" w:rsidRDefault="00DF2712" w:rsidP="00DF271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345D9">
        <w:rPr>
          <w:rFonts w:ascii="Times New Roman" w:hAnsi="Times New Roman"/>
          <w:sz w:val="24"/>
          <w:szCs w:val="24"/>
        </w:rPr>
        <w:t>In drug discovery</w:t>
      </w:r>
      <w:r w:rsidR="008345D9" w:rsidRPr="008345D9">
        <w:rPr>
          <w:rFonts w:ascii="Times New Roman" w:hAnsi="Times New Roman"/>
          <w:sz w:val="24"/>
          <w:szCs w:val="24"/>
        </w:rPr>
        <w:t>, the</w:t>
      </w:r>
      <w:r w:rsidRPr="008345D9">
        <w:rPr>
          <w:rFonts w:ascii="Times New Roman" w:hAnsi="Times New Roman"/>
          <w:sz w:val="24"/>
          <w:szCs w:val="24"/>
        </w:rPr>
        <w:t xml:space="preserve"> active site identification of a target protein is essential for designing effective inhibitors or activators. That is for preparing effective substrates that'll cause an inhibiti</w:t>
      </w:r>
      <w:r w:rsidRPr="008345D9">
        <w:rPr>
          <w:rFonts w:ascii="Times New Roman" w:hAnsi="Times New Roman"/>
          <w:sz w:val="24"/>
          <w:szCs w:val="24"/>
        </w:rPr>
        <w:t>ng effect or activating biological response.</w:t>
      </w:r>
      <w:r w:rsidR="005C2EB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5C2EBC">
        <w:rPr>
          <w:rFonts w:ascii="Times New Roman" w:hAnsi="Times New Roman"/>
          <w:sz w:val="24"/>
          <w:szCs w:val="24"/>
        </w:rPr>
        <w:t>(</w:t>
      </w:r>
      <w:proofErr w:type="spellStart"/>
      <w:r w:rsidR="005C2EBC" w:rsidRPr="005C2EBC">
        <w:rPr>
          <w:rFonts w:ascii="Times New Roman" w:hAnsi="Times New Roman"/>
          <w:color w:val="212121"/>
          <w:sz w:val="24"/>
          <w:szCs w:val="24"/>
          <w:shd w:val="clear" w:color="auto" w:fill="FFFFFF"/>
        </w:rPr>
        <w:t>Tabana</w:t>
      </w:r>
      <w:proofErr w:type="spellEnd"/>
      <w:r w:rsidR="005C2EBC" w:rsidRPr="005C2EBC">
        <w:rPr>
          <w:rFonts w:ascii="Times New Roman" w:hAnsi="Times New Roman"/>
          <w:color w:val="212121"/>
          <w:sz w:val="24"/>
          <w:szCs w:val="24"/>
          <w:shd w:val="clear" w:color="auto" w:fill="FFFFFF"/>
        </w:rPr>
        <w:t xml:space="preserve">, </w:t>
      </w:r>
      <w:r w:rsidR="005C2EBC" w:rsidRPr="005C2EBC">
        <w:rPr>
          <w:rFonts w:ascii="Times New Roman" w:hAnsi="Times New Roman"/>
          <w:i/>
          <w:color w:val="212121"/>
          <w:sz w:val="24"/>
          <w:szCs w:val="24"/>
          <w:shd w:val="clear" w:color="auto" w:fill="FFFFFF"/>
        </w:rPr>
        <w:t>et al</w:t>
      </w:r>
      <w:r w:rsidR="005C2EBC" w:rsidRPr="005C2EBC">
        <w:rPr>
          <w:rFonts w:ascii="Times New Roman" w:hAnsi="Times New Roman"/>
          <w:color w:val="212121"/>
          <w:sz w:val="24"/>
          <w:szCs w:val="24"/>
          <w:shd w:val="clear" w:color="auto" w:fill="FFFFFF"/>
        </w:rPr>
        <w:t xml:space="preserve"> 2023.)</w:t>
      </w:r>
      <w:proofErr w:type="gramEnd"/>
      <w:r w:rsidR="005C2EBC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  <w:r w:rsidRPr="008345D9">
        <w:rPr>
          <w:rFonts w:ascii="Times New Roman" w:hAnsi="Times New Roman"/>
          <w:sz w:val="24"/>
          <w:szCs w:val="24"/>
        </w:rPr>
        <w:t xml:space="preserve">The active site is made up of a specific arrangement of amino acids that create a specific three-dimensional shape, allowing certain molecules to bind effectively. The selectivity of an active site is vital for </w:t>
      </w:r>
      <w:r w:rsidRPr="008345D9">
        <w:rPr>
          <w:rFonts w:ascii="Times New Roman" w:hAnsi="Times New Roman"/>
          <w:sz w:val="24"/>
          <w:szCs w:val="24"/>
        </w:rPr>
        <w:t xml:space="preserve">the development of drugs that can help modulate biological pathways without causing noticeable off-target effects. </w:t>
      </w:r>
      <w:r w:rsidR="00015AAD" w:rsidRPr="00015AAD">
        <w:rPr>
          <w:rFonts w:ascii="Times New Roman" w:hAnsi="Times New Roman"/>
        </w:rPr>
        <w:t>(</w:t>
      </w:r>
      <w:r w:rsidR="00015AAD" w:rsidRPr="00015AAD">
        <w:rPr>
          <w:rFonts w:ascii="Times New Roman" w:hAnsi="Times New Roman"/>
          <w:color w:val="212121"/>
          <w:shd w:val="clear" w:color="auto" w:fill="FFFFFF"/>
        </w:rPr>
        <w:t xml:space="preserve">Robinson </w:t>
      </w:r>
      <w:r w:rsidR="00015AAD" w:rsidRPr="00015AAD">
        <w:rPr>
          <w:rFonts w:ascii="Times New Roman" w:hAnsi="Times New Roman"/>
          <w:i/>
          <w:color w:val="212121"/>
          <w:shd w:val="clear" w:color="auto" w:fill="FFFFFF"/>
        </w:rPr>
        <w:t>et al</w:t>
      </w:r>
      <w:r w:rsidR="00015AAD" w:rsidRPr="00015AAD">
        <w:rPr>
          <w:rFonts w:ascii="Times New Roman" w:hAnsi="Times New Roman"/>
          <w:color w:val="212121"/>
          <w:shd w:val="clear" w:color="auto" w:fill="FFFFFF"/>
        </w:rPr>
        <w:t xml:space="preserve">, </w:t>
      </w:r>
      <w:r w:rsidR="00015AAD" w:rsidRPr="00015AAD">
        <w:rPr>
          <w:rFonts w:ascii="Times New Roman" w:hAnsi="Times New Roman"/>
          <w:color w:val="212121"/>
          <w:shd w:val="clear" w:color="auto" w:fill="FFFFFF"/>
        </w:rPr>
        <w:t>2015).</w:t>
      </w:r>
    </w:p>
    <w:p w:rsidR="00BE029E" w:rsidRPr="008345D9" w:rsidRDefault="00DF2712" w:rsidP="00DF271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345D9">
        <w:rPr>
          <w:rFonts w:ascii="Times New Roman" w:hAnsi="Times New Roman"/>
          <w:sz w:val="24"/>
          <w:szCs w:val="24"/>
        </w:rPr>
        <w:t>In a case of certain enzyme inhibitors, the drug must fit properly into the active site to block the enzyme's function, hence preventing the</w:t>
      </w:r>
      <w:r w:rsidRPr="008345D9">
        <w:rPr>
          <w:rFonts w:ascii="Times New Roman" w:hAnsi="Times New Roman"/>
          <w:sz w:val="24"/>
          <w:szCs w:val="24"/>
        </w:rPr>
        <w:t xml:space="preserve"> conversion of substrates into products.</w:t>
      </w:r>
    </w:p>
    <w:p w:rsidR="00DF2712" w:rsidRDefault="00DF2712" w:rsidP="00DF2712">
      <w:pPr>
        <w:spacing w:line="360" w:lineRule="auto"/>
        <w:jc w:val="both"/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r w:rsidRPr="008345D9">
        <w:rPr>
          <w:rFonts w:ascii="Times New Roman" w:hAnsi="Times New Roman"/>
          <w:sz w:val="24"/>
          <w:szCs w:val="24"/>
        </w:rPr>
        <w:t>The process of identifying active sites often involves techniques such as X-ray crystallography, nuclear magnetic resonance (NMR) spectroscopy, and computational modeling. These processes/ techniques/ methods allow</w:t>
      </w:r>
      <w:r w:rsidRPr="008345D9">
        <w:rPr>
          <w:rFonts w:ascii="Times New Roman" w:hAnsi="Times New Roman"/>
          <w:sz w:val="24"/>
          <w:szCs w:val="24"/>
        </w:rPr>
        <w:t xml:space="preserve"> researchers to visualize the structure of the target protein and its active site, providing a better understanding into how different molecules can interact with it. </w:t>
      </w:r>
      <w:r w:rsidR="009B3A3D" w:rsidRPr="009B3A3D">
        <w:rPr>
          <w:rFonts w:ascii="Times New Roman" w:hAnsi="Times New Roman"/>
          <w:sz w:val="24"/>
          <w:szCs w:val="24"/>
        </w:rPr>
        <w:t>(</w:t>
      </w:r>
      <w:r w:rsidR="009B3A3D" w:rsidRPr="009B3A3D">
        <w:rPr>
          <w:rFonts w:ascii="Times New Roman" w:hAnsi="Times New Roman"/>
          <w:color w:val="212121"/>
          <w:sz w:val="24"/>
          <w:szCs w:val="24"/>
          <w:shd w:val="clear" w:color="auto" w:fill="FFFFFF"/>
        </w:rPr>
        <w:t xml:space="preserve">Mueller </w:t>
      </w:r>
      <w:r w:rsidR="009B3A3D" w:rsidRPr="009B3A3D">
        <w:rPr>
          <w:rFonts w:ascii="Times New Roman" w:hAnsi="Times New Roman"/>
          <w:i/>
          <w:color w:val="212121"/>
          <w:sz w:val="24"/>
          <w:szCs w:val="24"/>
          <w:shd w:val="clear" w:color="auto" w:fill="FFFFFF"/>
        </w:rPr>
        <w:t>et al</w:t>
      </w:r>
      <w:r w:rsidR="009B3A3D" w:rsidRPr="009B3A3D">
        <w:rPr>
          <w:rFonts w:ascii="Times New Roman" w:hAnsi="Times New Roman"/>
          <w:color w:val="212121"/>
          <w:sz w:val="24"/>
          <w:szCs w:val="24"/>
          <w:shd w:val="clear" w:color="auto" w:fill="FFFFFF"/>
        </w:rPr>
        <w:t>,</w:t>
      </w:r>
      <w:r w:rsidR="009B3A3D" w:rsidRPr="009B3A3D">
        <w:rPr>
          <w:rFonts w:ascii="Times New Roman" w:hAnsi="Times New Roman"/>
          <w:color w:val="212121"/>
          <w:sz w:val="24"/>
          <w:szCs w:val="24"/>
          <w:shd w:val="clear" w:color="auto" w:fill="FFFFFF"/>
        </w:rPr>
        <w:t xml:space="preserve"> 2013</w:t>
      </w:r>
      <w:r w:rsidR="009B3A3D" w:rsidRPr="009B3A3D">
        <w:rPr>
          <w:rFonts w:ascii="Times New Roman" w:hAnsi="Times New Roman"/>
          <w:sz w:val="24"/>
          <w:szCs w:val="24"/>
        </w:rPr>
        <w:t>)</w:t>
      </w:r>
      <w:r w:rsidR="009B3A3D">
        <w:rPr>
          <w:rFonts w:ascii="Times New Roman" w:hAnsi="Times New Roman"/>
          <w:sz w:val="24"/>
          <w:szCs w:val="24"/>
        </w:rPr>
        <w:t xml:space="preserve"> </w:t>
      </w:r>
      <w:r w:rsidRPr="008345D9">
        <w:rPr>
          <w:rFonts w:ascii="Times New Roman" w:hAnsi="Times New Roman"/>
          <w:sz w:val="24"/>
          <w:szCs w:val="24"/>
        </w:rPr>
        <w:t xml:space="preserve">After the site has been </w:t>
      </w:r>
      <w:r w:rsidR="004F1431" w:rsidRPr="008345D9">
        <w:rPr>
          <w:rFonts w:ascii="Times New Roman" w:hAnsi="Times New Roman"/>
          <w:sz w:val="24"/>
          <w:szCs w:val="24"/>
        </w:rPr>
        <w:t>characterized</w:t>
      </w:r>
      <w:r w:rsidRPr="008345D9">
        <w:rPr>
          <w:rFonts w:ascii="Times New Roman" w:hAnsi="Times New Roman"/>
          <w:sz w:val="24"/>
          <w:szCs w:val="24"/>
        </w:rPr>
        <w:t>, insightfully observed, medicinal chemists can desi</w:t>
      </w:r>
      <w:r w:rsidRPr="008345D9">
        <w:rPr>
          <w:rFonts w:ascii="Times New Roman" w:hAnsi="Times New Roman"/>
          <w:sz w:val="24"/>
          <w:szCs w:val="24"/>
        </w:rPr>
        <w:t>gn small molecules that mimic the natural substrates or ligands, optimizing their properties to enhance binding affinity and specificity.</w:t>
      </w:r>
      <w:r w:rsidR="009B3A3D">
        <w:rPr>
          <w:rFonts w:ascii="Times New Roman" w:hAnsi="Times New Roman"/>
          <w:sz w:val="24"/>
          <w:szCs w:val="24"/>
        </w:rPr>
        <w:t xml:space="preserve"> </w:t>
      </w:r>
      <w:r w:rsidR="009B3A3D" w:rsidRPr="009B3A3D"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color w:val="212121"/>
          <w:sz w:val="24"/>
          <w:szCs w:val="24"/>
          <w:shd w:val="clear" w:color="auto" w:fill="FFFFFF"/>
        </w:rPr>
        <w:t>Ekins</w:t>
      </w:r>
      <w:proofErr w:type="spellEnd"/>
      <w:r>
        <w:rPr>
          <w:rFonts w:ascii="Times New Roman" w:hAnsi="Times New Roman"/>
          <w:color w:val="212121"/>
          <w:sz w:val="24"/>
          <w:szCs w:val="24"/>
          <w:shd w:val="clear" w:color="auto" w:fill="FFFFFF"/>
        </w:rPr>
        <w:t xml:space="preserve"> </w:t>
      </w:r>
      <w:r w:rsidRPr="00DF2712">
        <w:rPr>
          <w:rFonts w:ascii="Times New Roman" w:hAnsi="Times New Roman"/>
          <w:i/>
          <w:color w:val="212121"/>
          <w:sz w:val="24"/>
          <w:szCs w:val="24"/>
          <w:shd w:val="clear" w:color="auto" w:fill="FFFFFF"/>
        </w:rPr>
        <w:t>et al</w:t>
      </w:r>
      <w:r>
        <w:rPr>
          <w:rFonts w:ascii="Times New Roman" w:hAnsi="Times New Roman"/>
          <w:color w:val="212121"/>
          <w:sz w:val="24"/>
          <w:szCs w:val="24"/>
          <w:shd w:val="clear" w:color="auto" w:fill="FFFFFF"/>
        </w:rPr>
        <w:t xml:space="preserve">, </w:t>
      </w:r>
      <w:r w:rsidR="009B3A3D" w:rsidRPr="009B3A3D">
        <w:rPr>
          <w:rFonts w:ascii="Times New Roman" w:hAnsi="Times New Roman"/>
          <w:color w:val="212121"/>
          <w:sz w:val="24"/>
          <w:szCs w:val="24"/>
          <w:shd w:val="clear" w:color="auto" w:fill="FFFFFF"/>
        </w:rPr>
        <w:t>2007)</w:t>
      </w:r>
      <w:r>
        <w:rPr>
          <w:rFonts w:ascii="Times New Roman" w:hAnsi="Times New Roman"/>
          <w:color w:val="212121"/>
          <w:sz w:val="24"/>
          <w:szCs w:val="24"/>
          <w:shd w:val="clear" w:color="auto" w:fill="FFFFFF"/>
        </w:rPr>
        <w:t>.</w:t>
      </w:r>
      <w:r w:rsidR="009B3A3D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  <w:r w:rsidRPr="008345D9">
        <w:rPr>
          <w:rFonts w:ascii="Times New Roman" w:hAnsi="Times New Roman"/>
          <w:sz w:val="24"/>
          <w:szCs w:val="24"/>
        </w:rPr>
        <w:t>In understanding the dynamics of active sites, a crucial context of drug resistance is understood For example, mutati</w:t>
      </w:r>
      <w:r w:rsidRPr="008345D9">
        <w:rPr>
          <w:rFonts w:ascii="Times New Roman" w:hAnsi="Times New Roman"/>
          <w:sz w:val="24"/>
          <w:szCs w:val="24"/>
        </w:rPr>
        <w:t>ons in the active site can lead to reduced binding of the drug, making it less effective. Th</w:t>
      </w:r>
      <w:r w:rsidR="00E26CD5">
        <w:rPr>
          <w:rFonts w:ascii="Times New Roman" w:hAnsi="Times New Roman"/>
          <w:sz w:val="24"/>
          <w:szCs w:val="24"/>
        </w:rPr>
        <w:t xml:space="preserve">is phenomenon is commonly seen </w:t>
      </w:r>
      <w:r w:rsidRPr="008345D9">
        <w:rPr>
          <w:rFonts w:ascii="Times New Roman" w:hAnsi="Times New Roman"/>
          <w:sz w:val="24"/>
          <w:szCs w:val="24"/>
        </w:rPr>
        <w:t>in cancer therapy cases, where tumor cells may develop resistance to targeted treatments</w:t>
      </w:r>
      <w:r w:rsidRPr="00DF2712">
        <w:rPr>
          <w:rFonts w:ascii="Times New Roman" w:hAnsi="Times New Roman"/>
          <w:sz w:val="24"/>
          <w:szCs w:val="24"/>
        </w:rPr>
        <w:t>. (</w:t>
      </w:r>
      <w:proofErr w:type="spellStart"/>
      <w:r w:rsidRPr="00DF2712">
        <w:rPr>
          <w:rFonts w:ascii="Times New Roman" w:hAnsi="Times New Roman"/>
          <w:color w:val="212121"/>
          <w:sz w:val="24"/>
          <w:szCs w:val="24"/>
          <w:shd w:val="clear" w:color="auto" w:fill="FFFFFF"/>
        </w:rPr>
        <w:t>Mansoori</w:t>
      </w:r>
      <w:proofErr w:type="spellEnd"/>
      <w:r w:rsidRPr="00DF2712">
        <w:rPr>
          <w:rFonts w:ascii="Times New Roman" w:hAnsi="Times New Roman"/>
          <w:color w:val="212121"/>
          <w:sz w:val="24"/>
          <w:szCs w:val="24"/>
          <w:shd w:val="clear" w:color="auto" w:fill="FFFFFF"/>
        </w:rPr>
        <w:t xml:space="preserve"> </w:t>
      </w:r>
      <w:r w:rsidRPr="00DF2712">
        <w:rPr>
          <w:rFonts w:ascii="Times New Roman" w:hAnsi="Times New Roman"/>
          <w:i/>
          <w:color w:val="212121"/>
          <w:sz w:val="24"/>
          <w:szCs w:val="24"/>
          <w:shd w:val="clear" w:color="auto" w:fill="FFFFFF"/>
        </w:rPr>
        <w:t>et al</w:t>
      </w:r>
      <w:r w:rsidRPr="00DF2712">
        <w:rPr>
          <w:rFonts w:ascii="Times New Roman" w:hAnsi="Times New Roman"/>
          <w:color w:val="212121"/>
          <w:sz w:val="24"/>
          <w:szCs w:val="24"/>
          <w:shd w:val="clear" w:color="auto" w:fill="FFFFFF"/>
        </w:rPr>
        <w:t xml:space="preserve"> 2017)</w:t>
      </w:r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</w:p>
    <w:p w:rsidR="00BE029E" w:rsidRPr="008345D9" w:rsidRDefault="00DF2712" w:rsidP="00DF271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345D9">
        <w:rPr>
          <w:rFonts w:ascii="Times New Roman" w:hAnsi="Times New Roman"/>
          <w:sz w:val="24"/>
          <w:szCs w:val="24"/>
        </w:rPr>
        <w:lastRenderedPageBreak/>
        <w:t xml:space="preserve">Ongoing research into the active sites of </w:t>
      </w:r>
      <w:r w:rsidRPr="008345D9">
        <w:rPr>
          <w:rFonts w:ascii="Times New Roman" w:hAnsi="Times New Roman"/>
          <w:sz w:val="24"/>
          <w:szCs w:val="24"/>
        </w:rPr>
        <w:t>target proteins is necessary to develop next-generation drugs that can c</w:t>
      </w:r>
      <w:r>
        <w:rPr>
          <w:rFonts w:ascii="Times New Roman" w:hAnsi="Times New Roman"/>
          <w:sz w:val="24"/>
          <w:szCs w:val="24"/>
        </w:rPr>
        <w:t>ircumvent resistance mechanisms.</w:t>
      </w:r>
    </w:p>
    <w:p w:rsidR="00BE029E" w:rsidRPr="008345D9" w:rsidRDefault="00DF2712" w:rsidP="00DF271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345D9">
        <w:rPr>
          <w:rFonts w:ascii="Times New Roman" w:hAnsi="Times New Roman"/>
          <w:sz w:val="24"/>
          <w:szCs w:val="24"/>
        </w:rPr>
        <w:t xml:space="preserve">To round up, the concept of active sites is </w:t>
      </w:r>
      <w:r w:rsidR="00E26CD5" w:rsidRPr="008345D9">
        <w:rPr>
          <w:rFonts w:ascii="Times New Roman" w:hAnsi="Times New Roman"/>
          <w:sz w:val="24"/>
          <w:szCs w:val="24"/>
        </w:rPr>
        <w:t>bedrock</w:t>
      </w:r>
      <w:r w:rsidRPr="008345D9">
        <w:rPr>
          <w:rFonts w:ascii="Times New Roman" w:hAnsi="Times New Roman"/>
          <w:sz w:val="24"/>
          <w:szCs w:val="24"/>
        </w:rPr>
        <w:t xml:space="preserve"> or can be said to be a strong base in</w:t>
      </w:r>
      <w:r w:rsidRPr="008345D9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8345D9">
        <w:rPr>
          <w:rFonts w:ascii="Times New Roman" w:hAnsi="Times New Roman"/>
          <w:sz w:val="24"/>
          <w:szCs w:val="24"/>
        </w:rPr>
        <w:t xml:space="preserve">drug discovery, influencing the design and development of </w:t>
      </w:r>
      <w:r w:rsidRPr="008345D9">
        <w:rPr>
          <w:rFonts w:ascii="Times New Roman" w:hAnsi="Times New Roman"/>
          <w:sz w:val="24"/>
          <w:szCs w:val="24"/>
        </w:rPr>
        <w:t xml:space="preserve">therapeutic agents. When the structure and </w:t>
      </w:r>
      <w:r w:rsidR="00E26CD5" w:rsidRPr="008345D9">
        <w:rPr>
          <w:rFonts w:ascii="Times New Roman" w:hAnsi="Times New Roman"/>
          <w:sz w:val="24"/>
          <w:szCs w:val="24"/>
        </w:rPr>
        <w:t>functions of</w:t>
      </w:r>
      <w:r w:rsidRPr="008345D9">
        <w:rPr>
          <w:rFonts w:ascii="Times New Roman" w:hAnsi="Times New Roman"/>
          <w:sz w:val="24"/>
          <w:szCs w:val="24"/>
        </w:rPr>
        <w:t xml:space="preserve"> active sites are understood, researchers can create more effective and selective drugs, ultimately improving patient outcomes. As technology advances, the ability to identify and manipulate active site</w:t>
      </w:r>
      <w:r w:rsidRPr="008345D9">
        <w:rPr>
          <w:rFonts w:ascii="Times New Roman" w:hAnsi="Times New Roman"/>
          <w:sz w:val="24"/>
          <w:szCs w:val="24"/>
        </w:rPr>
        <w:t>s will continue to enhance the field of pharmacology and medicine paving the way for innovative treatments for various diseases</w:t>
      </w:r>
    </w:p>
    <w:p w:rsidR="00BE029E" w:rsidRDefault="00BE029E" w:rsidP="00DF271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F2712" w:rsidRDefault="00DF2712" w:rsidP="00DF271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F2712" w:rsidRDefault="00DF2712" w:rsidP="00DF271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F2712" w:rsidRDefault="00DF2712" w:rsidP="00DF271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F2712" w:rsidRDefault="00DF2712" w:rsidP="00DF271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F2712" w:rsidRDefault="00DF2712" w:rsidP="00DF271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F2712" w:rsidRDefault="00DF2712" w:rsidP="00DF271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F2712" w:rsidRDefault="00DF2712" w:rsidP="00DF271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F2712" w:rsidRDefault="00DF2712" w:rsidP="00DF271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F2712" w:rsidRDefault="00DF2712" w:rsidP="00DF271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F2712" w:rsidRDefault="00DF2712" w:rsidP="00DF271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F2712" w:rsidRDefault="00DF2712" w:rsidP="00DF271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F2712" w:rsidRDefault="00DF2712" w:rsidP="00DF271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F2712" w:rsidRDefault="00DF2712" w:rsidP="00DF271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DF2712" w:rsidRDefault="00DF2712" w:rsidP="00DF271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F2712" w:rsidRPr="00DF2712" w:rsidRDefault="00DF2712" w:rsidP="00DF2712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F2712">
        <w:rPr>
          <w:rFonts w:ascii="Times New Roman" w:hAnsi="Times New Roman"/>
          <w:b/>
          <w:sz w:val="24"/>
          <w:szCs w:val="24"/>
        </w:rPr>
        <w:lastRenderedPageBreak/>
        <w:t>REFERENCES</w:t>
      </w:r>
    </w:p>
    <w:p w:rsidR="00DF2712" w:rsidRDefault="00DF2712" w:rsidP="00DF2712">
      <w:pPr>
        <w:spacing w:line="360" w:lineRule="auto"/>
        <w:jc w:val="both"/>
        <w:rPr>
          <w:rStyle w:val="bkciteavail"/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5C2EB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Cooper GM. The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Cell: A Molecular Approach. </w:t>
      </w:r>
      <w:proofErr w:type="gram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2</w:t>
      </w:r>
      <w:r w:rsidRPr="005C2EBC">
        <w:rPr>
          <w:rFonts w:ascii="Times New Roman" w:hAnsi="Times New Roman"/>
          <w:color w:val="222222"/>
          <w:sz w:val="24"/>
          <w:szCs w:val="24"/>
          <w:shd w:val="clear" w:color="auto" w:fill="FFFFFF"/>
          <w:vertAlign w:val="superscript"/>
        </w:rPr>
        <w:t>nd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Pr="005C2EB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edition.</w:t>
      </w:r>
      <w:proofErr w:type="gramEnd"/>
      <w:r w:rsidRPr="005C2EB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Sunderland (MA)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Sinauer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Associates; 2000. The </w:t>
      </w:r>
      <w:r w:rsidRPr="005C2EB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Central Role of Enzymes as Biological Catalysts.</w:t>
      </w:r>
      <w:r w:rsidRPr="005C2EBC">
        <w:rPr>
          <w:rStyle w:val="bkciteavail"/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 Available from: </w:t>
      </w:r>
      <w:hyperlink r:id="rId5" w:history="1">
        <w:r w:rsidRPr="00C534F2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https://www.ncbi.nlm.nih.gov/books/NBK9921/</w:t>
        </w:r>
      </w:hyperlink>
    </w:p>
    <w:p w:rsidR="00DF2712" w:rsidRDefault="00DF2712" w:rsidP="00DF2712">
      <w:pPr>
        <w:spacing w:line="360" w:lineRule="auto"/>
        <w:jc w:val="both"/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Ekins</w:t>
      </w:r>
      <w:proofErr w:type="spellEnd"/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, S., </w:t>
      </w:r>
      <w:proofErr w:type="spellStart"/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Mestres</w:t>
      </w:r>
      <w:proofErr w:type="spellEnd"/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, J., &amp; </w:t>
      </w:r>
      <w:proofErr w:type="spellStart"/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Testa</w:t>
      </w:r>
      <w:proofErr w:type="spellEnd"/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, B. (2007). In </w:t>
      </w:r>
      <w:proofErr w:type="spellStart"/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silico</w:t>
      </w:r>
      <w:proofErr w:type="spellEnd"/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pharmacology for drug discovery: methods for virtual ligand screening and profiling. </w:t>
      </w:r>
      <w:proofErr w:type="gramStart"/>
      <w:r>
        <w:rPr>
          <w:rFonts w:ascii="Arial" w:hAnsi="Arial" w:cs="Arial"/>
          <w:i/>
          <w:iCs/>
          <w:color w:val="212121"/>
          <w:sz w:val="26"/>
          <w:szCs w:val="26"/>
          <w:shd w:val="clear" w:color="auto" w:fill="FFFFFF"/>
        </w:rPr>
        <w:t>British journal of pharmacology</w:t>
      </w:r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i/>
          <w:iCs/>
          <w:color w:val="212121"/>
          <w:sz w:val="26"/>
          <w:szCs w:val="26"/>
          <w:shd w:val="clear" w:color="auto" w:fill="FFFFFF"/>
        </w:rPr>
        <w:t>152</w:t>
      </w:r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(1), 9–20.</w:t>
      </w:r>
      <w:proofErr w:type="gramEnd"/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  <w:hyperlink r:id="rId6" w:history="1">
        <w:r w:rsidRPr="00C534F2">
          <w:rPr>
            <w:rStyle w:val="Hyperlink"/>
            <w:rFonts w:ascii="Arial" w:hAnsi="Arial" w:cs="Arial"/>
            <w:sz w:val="26"/>
            <w:szCs w:val="26"/>
            <w:shd w:val="clear" w:color="auto" w:fill="FFFFFF"/>
          </w:rPr>
          <w:t>https://doi.org/10.1038/sj.bjp.0707305</w:t>
        </w:r>
      </w:hyperlink>
    </w:p>
    <w:p w:rsidR="00DF2712" w:rsidRDefault="00DF2712" w:rsidP="00DF2712">
      <w:pPr>
        <w:spacing w:line="360" w:lineRule="auto"/>
        <w:jc w:val="both"/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Mansoori</w:t>
      </w:r>
      <w:proofErr w:type="spellEnd"/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, B., </w:t>
      </w:r>
      <w:proofErr w:type="spellStart"/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Mohammadi</w:t>
      </w:r>
      <w:proofErr w:type="spellEnd"/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Davudian</w:t>
      </w:r>
      <w:proofErr w:type="spellEnd"/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, S., </w:t>
      </w:r>
      <w:proofErr w:type="spellStart"/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Shirjang</w:t>
      </w:r>
      <w:proofErr w:type="spellEnd"/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, S., &amp; </w:t>
      </w:r>
      <w:proofErr w:type="spellStart"/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Baradaran</w:t>
      </w:r>
      <w:proofErr w:type="spellEnd"/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, B. (2017).</w:t>
      </w:r>
      <w:proofErr w:type="gramEnd"/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The Different Mechanisms of Cancer Drug Resistance: A Brief Review. </w:t>
      </w:r>
      <w:proofErr w:type="gramStart"/>
      <w:r>
        <w:rPr>
          <w:rFonts w:ascii="Arial" w:hAnsi="Arial" w:cs="Arial"/>
          <w:i/>
          <w:iCs/>
          <w:color w:val="212121"/>
          <w:sz w:val="26"/>
          <w:szCs w:val="26"/>
          <w:shd w:val="clear" w:color="auto" w:fill="FFFFFF"/>
        </w:rPr>
        <w:t>Advanced pharmaceutical bulletin</w:t>
      </w:r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i/>
          <w:iCs/>
          <w:color w:val="212121"/>
          <w:sz w:val="26"/>
          <w:szCs w:val="26"/>
          <w:shd w:val="clear" w:color="auto" w:fill="FFFFFF"/>
        </w:rPr>
        <w:t>7</w:t>
      </w:r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(3), 339–348.</w:t>
      </w:r>
      <w:proofErr w:type="gramEnd"/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https://doi.org/10.15171/apb.2017.041</w:t>
      </w:r>
    </w:p>
    <w:p w:rsidR="00DF2712" w:rsidRDefault="00DF2712" w:rsidP="00DF2712">
      <w:pPr>
        <w:spacing w:line="360" w:lineRule="auto"/>
        <w:jc w:val="both"/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Mueller, L. J., &amp; Dunn, M. F. (2013).</w:t>
      </w:r>
      <w:proofErr w:type="gramEnd"/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NMR crystallography of enzyme active sites: probing chemically detailed, three-dimensional structure in tryptophan synthase. </w:t>
      </w:r>
      <w:proofErr w:type="gramStart"/>
      <w:r>
        <w:rPr>
          <w:rFonts w:ascii="Arial" w:hAnsi="Arial" w:cs="Arial"/>
          <w:i/>
          <w:iCs/>
          <w:color w:val="212121"/>
          <w:sz w:val="26"/>
          <w:szCs w:val="26"/>
          <w:shd w:val="clear" w:color="auto" w:fill="FFFFFF"/>
        </w:rPr>
        <w:t>Accounts of chemical research</w:t>
      </w:r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i/>
          <w:iCs/>
          <w:color w:val="212121"/>
          <w:sz w:val="26"/>
          <w:szCs w:val="26"/>
          <w:shd w:val="clear" w:color="auto" w:fill="FFFFFF"/>
        </w:rPr>
        <w:t>46</w:t>
      </w:r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(9), 2008–2017.</w:t>
      </w:r>
      <w:proofErr w:type="gramEnd"/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  <w:hyperlink r:id="rId7" w:history="1">
        <w:r w:rsidRPr="00C534F2">
          <w:rPr>
            <w:rStyle w:val="Hyperlink"/>
            <w:rFonts w:ascii="Arial" w:hAnsi="Arial" w:cs="Arial"/>
            <w:sz w:val="26"/>
            <w:szCs w:val="26"/>
            <w:shd w:val="clear" w:color="auto" w:fill="FFFFFF"/>
          </w:rPr>
          <w:t>https://doi.org/10.1021/ar3003333</w:t>
        </w:r>
      </w:hyperlink>
    </w:p>
    <w:p w:rsidR="00DF2712" w:rsidRDefault="00DF2712" w:rsidP="00DF2712">
      <w:pPr>
        <w:spacing w:line="360" w:lineRule="auto"/>
        <w:jc w:val="both"/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Robinson P. K. (2015). Enzymes: principles and biotechnological applications. </w:t>
      </w:r>
      <w:r>
        <w:rPr>
          <w:rFonts w:ascii="Arial" w:hAnsi="Arial" w:cs="Arial"/>
          <w:i/>
          <w:iCs/>
          <w:color w:val="212121"/>
          <w:sz w:val="26"/>
          <w:szCs w:val="26"/>
          <w:shd w:val="clear" w:color="auto" w:fill="FFFFFF"/>
        </w:rPr>
        <w:t xml:space="preserve">Essays </w:t>
      </w:r>
      <w:r>
        <w:rPr>
          <w:rFonts w:ascii="Arial" w:hAnsi="Arial" w:cs="Arial"/>
          <w:i/>
          <w:iCs/>
          <w:color w:val="212121"/>
          <w:sz w:val="26"/>
          <w:szCs w:val="26"/>
          <w:shd w:val="clear" w:color="auto" w:fill="FFFFFF"/>
        </w:rPr>
        <w:t>in biochemistry</w:t>
      </w:r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i/>
          <w:iCs/>
          <w:color w:val="212121"/>
          <w:sz w:val="26"/>
          <w:szCs w:val="26"/>
          <w:shd w:val="clear" w:color="auto" w:fill="FFFFFF"/>
        </w:rPr>
        <w:t>59</w:t>
      </w:r>
      <w:proofErr w:type="gramStart"/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,(</w:t>
      </w:r>
      <w:proofErr w:type="gramEnd"/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1)41. </w:t>
      </w:r>
      <w:hyperlink r:id="rId8" w:history="1">
        <w:r w:rsidRPr="00C534F2">
          <w:rPr>
            <w:rStyle w:val="Hyperlink"/>
            <w:rFonts w:ascii="Arial" w:hAnsi="Arial" w:cs="Arial"/>
            <w:sz w:val="26"/>
            <w:szCs w:val="26"/>
            <w:shd w:val="clear" w:color="auto" w:fill="FFFFFF"/>
          </w:rPr>
          <w:t>https://doi.org/10.1042/bse0590001</w:t>
        </w:r>
      </w:hyperlink>
    </w:p>
    <w:p w:rsidR="00DF2712" w:rsidRDefault="00DF2712" w:rsidP="00DF2712">
      <w:pPr>
        <w:spacing w:line="360" w:lineRule="auto"/>
        <w:jc w:val="both"/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Tabana</w:t>
      </w:r>
      <w:proofErr w:type="spellEnd"/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, Y., </w:t>
      </w:r>
      <w:proofErr w:type="spellStart"/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Babu</w:t>
      </w:r>
      <w:proofErr w:type="spellEnd"/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, D., </w:t>
      </w:r>
      <w:proofErr w:type="spellStart"/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Fahlman</w:t>
      </w:r>
      <w:proofErr w:type="spellEnd"/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, R., </w:t>
      </w:r>
      <w:proofErr w:type="spellStart"/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Siraki</w:t>
      </w:r>
      <w:proofErr w:type="spellEnd"/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, A. G., &amp; </w:t>
      </w:r>
      <w:proofErr w:type="spellStart"/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Barakat</w:t>
      </w:r>
      <w:proofErr w:type="spellEnd"/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, K. (2023).</w:t>
      </w:r>
      <w:proofErr w:type="gramEnd"/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Target identification of small molecules: an overview of the current applications in drug discovery. </w:t>
      </w:r>
      <w:r>
        <w:rPr>
          <w:rFonts w:ascii="Arial" w:hAnsi="Arial" w:cs="Arial"/>
          <w:i/>
          <w:iCs/>
          <w:color w:val="212121"/>
          <w:sz w:val="26"/>
          <w:szCs w:val="26"/>
          <w:shd w:val="clear" w:color="auto" w:fill="FFFFFF"/>
        </w:rPr>
        <w:t xml:space="preserve">BMC </w:t>
      </w:r>
      <w:r>
        <w:rPr>
          <w:rFonts w:ascii="Arial" w:hAnsi="Arial" w:cs="Arial"/>
          <w:i/>
          <w:iCs/>
          <w:color w:val="212121"/>
          <w:sz w:val="26"/>
          <w:szCs w:val="26"/>
          <w:shd w:val="clear" w:color="auto" w:fill="FFFFFF"/>
        </w:rPr>
        <w:t>biotechnology</w:t>
      </w:r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i/>
          <w:iCs/>
          <w:color w:val="212121"/>
          <w:sz w:val="26"/>
          <w:szCs w:val="26"/>
          <w:shd w:val="clear" w:color="auto" w:fill="FFFFFF"/>
        </w:rPr>
        <w:t>23</w:t>
      </w:r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(1)</w:t>
      </w:r>
      <w:proofErr w:type="gramStart"/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,</w:t>
      </w:r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44</w:t>
      </w:r>
      <w:proofErr w:type="gramEnd"/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. </w:t>
      </w:r>
      <w:hyperlink r:id="rId9" w:history="1">
        <w:r w:rsidRPr="00C534F2">
          <w:rPr>
            <w:rStyle w:val="Hyperlink"/>
            <w:rFonts w:ascii="Arial" w:hAnsi="Arial" w:cs="Arial"/>
            <w:sz w:val="26"/>
            <w:szCs w:val="26"/>
            <w:shd w:val="clear" w:color="auto" w:fill="FFFFFF"/>
          </w:rPr>
          <w:t>https://doi.org/10.1186/s12896-023-00815-4</w:t>
        </w:r>
      </w:hyperlink>
    </w:p>
    <w:p w:rsidR="009B3A3D" w:rsidRDefault="009B3A3D" w:rsidP="00DF2712">
      <w:pPr>
        <w:spacing w:line="360" w:lineRule="auto"/>
        <w:jc w:val="both"/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</w:p>
    <w:p w:rsidR="0014729A" w:rsidRDefault="003026BB" w:rsidP="00DF2712">
      <w:pPr>
        <w:spacing w:line="360" w:lineRule="auto"/>
        <w:jc w:val="both"/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 </w:t>
      </w:r>
    </w:p>
    <w:p w:rsidR="005C2EBC" w:rsidRPr="005C2EBC" w:rsidRDefault="005C2EBC" w:rsidP="00DF271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BE029E" w:rsidRPr="008345D9" w:rsidRDefault="00BE029E" w:rsidP="00DF271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BE029E" w:rsidRPr="00834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029E"/>
    <w:rsid w:val="00015AAD"/>
    <w:rsid w:val="0014729A"/>
    <w:rsid w:val="003026BB"/>
    <w:rsid w:val="004F1431"/>
    <w:rsid w:val="005C2EBC"/>
    <w:rsid w:val="008345D9"/>
    <w:rsid w:val="009B3A3D"/>
    <w:rsid w:val="00BE029E"/>
    <w:rsid w:val="00DF2712"/>
    <w:rsid w:val="00E2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kciteavail">
    <w:name w:val="bk_cite_avail"/>
    <w:rsid w:val="005C2EBC"/>
  </w:style>
  <w:style w:type="character" w:styleId="Hyperlink">
    <w:name w:val="Hyperlink"/>
    <w:uiPriority w:val="99"/>
    <w:unhideWhenUsed/>
    <w:rsid w:val="005C2EB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42/bse05900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21/ar300333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i.org/10.1038/sj.bjp.070730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cbi.nlm.nih.gov/books/NBK9921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86/s12896-023-00815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SM-J610F</dc:creator>
  <cp:lastModifiedBy>HP</cp:lastModifiedBy>
  <cp:revision>3</cp:revision>
  <dcterms:created xsi:type="dcterms:W3CDTF">2024-09-06T12:09:00Z</dcterms:created>
  <dcterms:modified xsi:type="dcterms:W3CDTF">2024-09-09T17:14:00Z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2fcc0274a6d3430380ee01472e5ce957</vt:lpwstr>
  </property>
</Properties>
</file>