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4BF79" w14:textId="77777777" w:rsidR="002D1C57" w:rsidRPr="005E5351" w:rsidRDefault="002D1C57" w:rsidP="002D1C57">
      <w:pPr>
        <w:rPr>
          <w:b/>
          <w:bCs/>
        </w:rPr>
      </w:pPr>
      <w:r w:rsidRPr="005E5351">
        <w:rPr>
          <w:b/>
          <w:bCs/>
        </w:rPr>
        <w:t>Wymagane dokumenty</w:t>
      </w:r>
    </w:p>
    <w:p w14:paraId="51D4AC28" w14:textId="07B0034F" w:rsidR="00CD0BBE" w:rsidRPr="00CD0BBE" w:rsidRDefault="002D1C57" w:rsidP="00CD0BBE">
      <w:pPr>
        <w:spacing w:line="360" w:lineRule="auto"/>
        <w:rPr>
          <w:sz w:val="24"/>
          <w:szCs w:val="24"/>
        </w:rPr>
      </w:pPr>
      <w:r w:rsidRPr="005E5351">
        <w:rPr>
          <w:sz w:val="24"/>
          <w:szCs w:val="24"/>
        </w:rPr>
        <w:t>1. Charakterystyka oprogramowania</w:t>
      </w:r>
      <w:r w:rsidR="00CD0BBE">
        <w:rPr>
          <w:sz w:val="24"/>
          <w:szCs w:val="24"/>
        </w:rPr>
        <w:t xml:space="preserve"> </w:t>
      </w:r>
    </w:p>
    <w:p w14:paraId="0EF797C4" w14:textId="5F84CB2A" w:rsidR="00EB7617" w:rsidRPr="00CD0BBE" w:rsidRDefault="00CD0BBE" w:rsidP="00CD0BBE">
      <w:pPr>
        <w:pStyle w:val="Akapitzlist"/>
        <w:numPr>
          <w:ilvl w:val="0"/>
          <w:numId w:val="6"/>
        </w:numPr>
        <w:spacing w:line="360" w:lineRule="auto"/>
        <w:rPr>
          <w:rFonts w:ascii="Aptos" w:hAnsi="Aptos" w:cs="Times New Roman"/>
        </w:rPr>
      </w:pPr>
      <w:r w:rsidRPr="00CD0BBE">
        <w:rPr>
          <w:u w:val="single"/>
        </w:rPr>
        <w:t>Nazwa skrócona</w:t>
      </w:r>
      <w:r w:rsidRPr="00CD0BBE">
        <w:rPr>
          <w:rFonts w:ascii="Aptos" w:hAnsi="Aptos" w:cs="Times New Roman"/>
        </w:rPr>
        <w:t xml:space="preserve"> :</w:t>
      </w:r>
      <w:r w:rsidR="00EB7617" w:rsidRPr="00CD0BBE">
        <w:rPr>
          <w:rFonts w:ascii="Aptos" w:hAnsi="Aptos" w:cs="Times New Roman"/>
        </w:rPr>
        <w:t xml:space="preserve">Dashboard przestępczości </w:t>
      </w:r>
    </w:p>
    <w:p w14:paraId="774F07FA" w14:textId="6399BA75" w:rsidR="002D1C57" w:rsidRPr="00CD0BBE" w:rsidRDefault="00CD0BBE" w:rsidP="00CD0BBE">
      <w:pPr>
        <w:pStyle w:val="Akapitzlist"/>
        <w:numPr>
          <w:ilvl w:val="0"/>
          <w:numId w:val="6"/>
        </w:numPr>
        <w:spacing w:line="360" w:lineRule="auto"/>
        <w:rPr>
          <w:rFonts w:ascii="Aptos" w:hAnsi="Aptos"/>
        </w:rPr>
      </w:pPr>
      <w:r w:rsidRPr="00CD0BBE">
        <w:rPr>
          <w:u w:val="single"/>
        </w:rPr>
        <w:t>Nazwa pełna:</w:t>
      </w:r>
      <w:r w:rsidRPr="00CD0BBE">
        <w:rPr>
          <w:rFonts w:ascii="Aptos" w:hAnsi="Aptos" w:cs="Times New Roman"/>
        </w:rPr>
        <w:t xml:space="preserve"> </w:t>
      </w:r>
      <w:r w:rsidR="00DB6F4E" w:rsidRPr="00CD0BBE">
        <w:rPr>
          <w:rFonts w:ascii="Aptos" w:hAnsi="Aptos" w:cs="Times New Roman"/>
        </w:rPr>
        <w:t>Zidentyfikowanie obszarów wysokiego ryzyka przestępczości w Polsce</w:t>
      </w:r>
    </w:p>
    <w:p w14:paraId="06532C62" w14:textId="77777777" w:rsidR="005B5A44" w:rsidRDefault="002D1C57" w:rsidP="005B5A44">
      <w:pPr>
        <w:pStyle w:val="Akapitzlist"/>
        <w:numPr>
          <w:ilvl w:val="0"/>
          <w:numId w:val="6"/>
        </w:numPr>
        <w:spacing w:line="360" w:lineRule="auto"/>
        <w:rPr>
          <w:rFonts w:ascii="Aptos" w:hAnsi="Aptos"/>
        </w:rPr>
      </w:pPr>
      <w:r w:rsidRPr="00CD0BBE">
        <w:rPr>
          <w:rFonts w:ascii="Aptos" w:hAnsi="Aptos"/>
          <w:u w:val="single"/>
        </w:rPr>
        <w:t>Krótki opis ze wskazaniem celów</w:t>
      </w:r>
      <w:r w:rsidRPr="00CD0BBE">
        <w:rPr>
          <w:rFonts w:ascii="Aptos" w:hAnsi="Aptos"/>
        </w:rPr>
        <w:t xml:space="preserve"> </w:t>
      </w:r>
    </w:p>
    <w:p w14:paraId="381C33BD" w14:textId="59AABEA5" w:rsidR="002D1C57" w:rsidRPr="00CD0BBE" w:rsidRDefault="005B5A44" w:rsidP="005B5A44">
      <w:pPr>
        <w:pStyle w:val="Akapitzlist"/>
        <w:spacing w:line="360" w:lineRule="auto"/>
        <w:jc w:val="both"/>
        <w:rPr>
          <w:rFonts w:ascii="Aptos" w:hAnsi="Aptos"/>
        </w:rPr>
      </w:pPr>
      <w:r w:rsidRPr="005B5A44">
        <w:rPr>
          <w:rFonts w:ascii="Aptos" w:hAnsi="Aptos"/>
        </w:rPr>
        <w:t>Projekt ma na celu stworzenie interaktywnego narzędzia analitycznego, które umożliwi ocenę poziomu przestępczości w różnych regionach Polski. Aplikacja, wyposażona w mapę Polski z podziałem na województwa i powiaty, pozwoli użytkownikom na szczegółową analizę danych historycznych dotyczących przestępczości, a także na przegląd rankingów regionów na podstawie wskaźnika kompozytowego obrazującego ryzyko przestępczości.</w:t>
      </w:r>
      <w:r>
        <w:rPr>
          <w:rFonts w:ascii="Aptos" w:hAnsi="Aptos"/>
        </w:rPr>
        <w:t xml:space="preserve"> </w:t>
      </w:r>
      <w:r w:rsidRPr="005B5A44">
        <w:rPr>
          <w:rFonts w:ascii="Aptos" w:hAnsi="Aptos"/>
        </w:rPr>
        <w:t>Kluczowym celem projektu jest dostarczenie mieszkańcom, decydentom i badaczom narzędzia, które wspiera podejmowanie decyzji, np. w zakresie osiedlania się, planowania społecznego czy wdrażania polityk bezpieczeństwa. Oprogramowanie uwzględnia także prognozy na lata 2025 i 2026 oraz ocenę błędów prognoz, co czyni je praktycznym narzędziem zarówno do analizy trendów, jak i przygotowywania strategii przeciwdziałania przestępczości.</w:t>
      </w:r>
    </w:p>
    <w:p w14:paraId="2CF9A6FD" w14:textId="64E691D1" w:rsidR="002D1C57" w:rsidRPr="005E5351" w:rsidRDefault="002D1C57" w:rsidP="005E5351">
      <w:pPr>
        <w:spacing w:line="360" w:lineRule="auto"/>
        <w:rPr>
          <w:sz w:val="24"/>
          <w:szCs w:val="24"/>
        </w:rPr>
      </w:pPr>
      <w:r w:rsidRPr="005E5351">
        <w:rPr>
          <w:sz w:val="24"/>
          <w:szCs w:val="24"/>
        </w:rPr>
        <w:t>2. Prawa autorskie</w:t>
      </w:r>
    </w:p>
    <w:p w14:paraId="0087FCC6" w14:textId="07887BB1" w:rsidR="002D1C57" w:rsidRDefault="002D1C57" w:rsidP="00CD0BBE">
      <w:pPr>
        <w:pStyle w:val="Akapitzlist"/>
        <w:numPr>
          <w:ilvl w:val="0"/>
          <w:numId w:val="7"/>
        </w:numPr>
        <w:spacing w:line="360" w:lineRule="auto"/>
      </w:pPr>
      <w:r w:rsidRPr="00CD0BBE">
        <w:rPr>
          <w:u w:val="single"/>
        </w:rPr>
        <w:t>Autorzy</w:t>
      </w:r>
      <w:r w:rsidR="005E5351" w:rsidRPr="00CD0BBE">
        <w:rPr>
          <w:u w:val="single"/>
        </w:rPr>
        <w:t>:</w:t>
      </w:r>
      <w:r w:rsidR="005E5351">
        <w:t xml:space="preserve">  Kacper Ossowski, Natalia Karpińska</w:t>
      </w:r>
    </w:p>
    <w:p w14:paraId="0F97F84A" w14:textId="5236248F" w:rsidR="00B60294" w:rsidRPr="00B60294" w:rsidRDefault="00B60294" w:rsidP="00B60294">
      <w:pPr>
        <w:pStyle w:val="Akapitzlist"/>
        <w:numPr>
          <w:ilvl w:val="0"/>
          <w:numId w:val="7"/>
        </w:numPr>
        <w:spacing w:line="360" w:lineRule="auto"/>
        <w:rPr>
          <w:u w:val="single"/>
        </w:rPr>
      </w:pPr>
      <w:r w:rsidRPr="00B60294">
        <w:rPr>
          <w:u w:val="single"/>
        </w:rPr>
        <w:t>Warunki licencyjne oprogramowania</w:t>
      </w:r>
      <w:r>
        <w:rPr>
          <w:u w:val="single"/>
        </w:rPr>
        <w:t>:</w:t>
      </w:r>
    </w:p>
    <w:p w14:paraId="7B14AFBA" w14:textId="6742D203" w:rsidR="000968E1" w:rsidRDefault="00B60294" w:rsidP="00B60294">
      <w:pPr>
        <w:spacing w:line="360" w:lineRule="auto"/>
        <w:ind w:left="360"/>
        <w:jc w:val="both"/>
      </w:pPr>
      <w:r>
        <w:t xml:space="preserve">Oprogramowanie korzysta z danych pochodzących z API Banku Danych Lokalnych (BDL) Głównego Urzędu Statystycznego, co zobowiązuje do przestrzegania warunków licencji BDL, w tym uznania autorstwa poprzez wskazanie GUS jako źródła danych. Licencja powinna określać, czy dane mogą być wykorzystywane do celów komercyjnych, oraz uwzględniać limity techniczne API opisane w dokumentacji BDL. Oprogramowanie może być udostępniane na licencji otwartej (np. MIT, Apache 2.0), komercyjnej lub mieszanej, w zależności od założeń dotyczących otwartości projektu i możliwości komercjalizacji. Licencja powinna precyzować warunki użytkowania, np. ograniczenie do celów badawczych lub niekomercyjnych, oraz zakazy, takie jak modyfikowanie kodu bez zgody autorów. Konieczne jest zamieszczenie klauzuli wyłączającej odpowiedzialność za błędne interpretacje danych lub szkody wynikające z użytkowania oprogramowania. Autorzy oprogramowania muszą być wskazani w widocznym miejscu aplikacji, np. w stopce, a dane opatrzone informacją: „Źródło danych: GUS, Bank Danych Lokalnych”. W przypadku udostępnienia na licencji open </w:t>
      </w:r>
      <w:proofErr w:type="spellStart"/>
      <w:r>
        <w:t>source</w:t>
      </w:r>
      <w:proofErr w:type="spellEnd"/>
      <w:r>
        <w:t xml:space="preserve"> należy jednoznacznie określić warunki korzystania, kopiowania i modyfikacji oprogramowania. </w:t>
      </w:r>
      <w:r>
        <w:lastRenderedPageBreak/>
        <w:t>Wszelkie licencje powinny być dostosowane do specyfiki projektu, uwzględniając zarówno ochronę praw autorskich, jak i dostępność narzędzia dla użytkowników.</w:t>
      </w:r>
    </w:p>
    <w:p w14:paraId="004610B0" w14:textId="5F3A5E00" w:rsidR="00657C75" w:rsidRPr="005E5351" w:rsidRDefault="002D1C57" w:rsidP="005E5351">
      <w:pPr>
        <w:spacing w:line="360" w:lineRule="auto"/>
        <w:rPr>
          <w:sz w:val="24"/>
          <w:szCs w:val="24"/>
        </w:rPr>
      </w:pPr>
      <w:r w:rsidRPr="005E5351">
        <w:rPr>
          <w:sz w:val="24"/>
          <w:szCs w:val="24"/>
        </w:rPr>
        <w:t xml:space="preserve">3. </w:t>
      </w:r>
      <w:r w:rsidR="00657C75" w:rsidRPr="005E5351">
        <w:rPr>
          <w:sz w:val="24"/>
          <w:szCs w:val="24"/>
        </w:rPr>
        <w:t>Specyfikacja wymagań aplikacji:</w:t>
      </w:r>
      <w:r w:rsidR="00BF1441">
        <w:rPr>
          <w:sz w:val="24"/>
          <w:szCs w:val="24"/>
        </w:rPr>
        <w:t xml:space="preserve"> 1 – wymagane 2 – przydatne 3 - </w:t>
      </w:r>
      <w:r w:rsidR="00DD2E3D">
        <w:rPr>
          <w:sz w:val="24"/>
          <w:szCs w:val="24"/>
        </w:rPr>
        <w:t>opcjonalne</w:t>
      </w:r>
    </w:p>
    <w:tbl>
      <w:tblPr>
        <w:tblStyle w:val="Tabela-Siatka"/>
        <w:tblW w:w="9634" w:type="dxa"/>
        <w:tblLayout w:type="fixed"/>
        <w:tblLook w:val="04A0" w:firstRow="1" w:lastRow="0" w:firstColumn="1" w:lastColumn="0" w:noHBand="0" w:noVBand="1"/>
      </w:tblPr>
      <w:tblGrid>
        <w:gridCol w:w="452"/>
        <w:gridCol w:w="2342"/>
        <w:gridCol w:w="3580"/>
        <w:gridCol w:w="1134"/>
        <w:gridCol w:w="2126"/>
      </w:tblGrid>
      <w:tr w:rsidR="00657C75" w14:paraId="28C15BB7" w14:textId="77777777" w:rsidTr="000968E1">
        <w:tc>
          <w:tcPr>
            <w:tcW w:w="452" w:type="dxa"/>
            <w:vAlign w:val="center"/>
          </w:tcPr>
          <w:p w14:paraId="42796778" w14:textId="7FE2803E" w:rsidR="00657C75" w:rsidRDefault="00657C75" w:rsidP="00657C75">
            <w:r>
              <w:rPr>
                <w:b/>
                <w:bCs/>
              </w:rPr>
              <w:t>ID</w:t>
            </w:r>
          </w:p>
        </w:tc>
        <w:tc>
          <w:tcPr>
            <w:tcW w:w="2342" w:type="dxa"/>
            <w:vAlign w:val="center"/>
          </w:tcPr>
          <w:p w14:paraId="46832C34" w14:textId="2F5EDA16" w:rsidR="00657C75" w:rsidRDefault="00657C75" w:rsidP="00657C75">
            <w:r>
              <w:rPr>
                <w:b/>
                <w:bCs/>
              </w:rPr>
              <w:t>Nazwa</w:t>
            </w:r>
          </w:p>
        </w:tc>
        <w:tc>
          <w:tcPr>
            <w:tcW w:w="3580" w:type="dxa"/>
            <w:vAlign w:val="center"/>
          </w:tcPr>
          <w:p w14:paraId="3143A261" w14:textId="64E158BA" w:rsidR="00657C75" w:rsidRDefault="00657C75" w:rsidP="00657C75">
            <w:r>
              <w:rPr>
                <w:b/>
                <w:bCs/>
              </w:rPr>
              <w:t>Opis</w:t>
            </w:r>
          </w:p>
        </w:tc>
        <w:tc>
          <w:tcPr>
            <w:tcW w:w="1134" w:type="dxa"/>
            <w:vAlign w:val="center"/>
          </w:tcPr>
          <w:p w14:paraId="0AB934C4" w14:textId="3415D680" w:rsidR="00657C75" w:rsidRDefault="00657C75" w:rsidP="005B5A44">
            <w:pPr>
              <w:jc w:val="center"/>
            </w:pPr>
            <w:r>
              <w:rPr>
                <w:b/>
                <w:bCs/>
              </w:rPr>
              <w:t>Priorytet</w:t>
            </w:r>
          </w:p>
        </w:tc>
        <w:tc>
          <w:tcPr>
            <w:tcW w:w="2126" w:type="dxa"/>
            <w:vAlign w:val="center"/>
          </w:tcPr>
          <w:p w14:paraId="7E29E84A" w14:textId="44D2BACD" w:rsidR="00657C75" w:rsidRDefault="00657C75" w:rsidP="005B5A44">
            <w:pPr>
              <w:jc w:val="center"/>
            </w:pPr>
            <w:r>
              <w:rPr>
                <w:b/>
                <w:bCs/>
              </w:rPr>
              <w:t>Kategoria</w:t>
            </w:r>
          </w:p>
        </w:tc>
      </w:tr>
      <w:tr w:rsidR="00657C75" w14:paraId="208BF042" w14:textId="77777777" w:rsidTr="000968E1">
        <w:tc>
          <w:tcPr>
            <w:tcW w:w="452" w:type="dxa"/>
            <w:vAlign w:val="center"/>
          </w:tcPr>
          <w:p w14:paraId="1CE846A3" w14:textId="63551D31" w:rsidR="00657C75" w:rsidRDefault="00657C75" w:rsidP="005B5A44">
            <w:pPr>
              <w:jc w:val="center"/>
            </w:pPr>
            <w:r>
              <w:t>1</w:t>
            </w:r>
          </w:p>
        </w:tc>
        <w:tc>
          <w:tcPr>
            <w:tcW w:w="2342" w:type="dxa"/>
            <w:vAlign w:val="center"/>
          </w:tcPr>
          <w:p w14:paraId="15EA95D0" w14:textId="534DCF05" w:rsidR="00657C75" w:rsidRDefault="00657C75" w:rsidP="00657C75">
            <w:r>
              <w:t>Integracja z API Banku Danych Lokalnych</w:t>
            </w:r>
          </w:p>
        </w:tc>
        <w:tc>
          <w:tcPr>
            <w:tcW w:w="3580" w:type="dxa"/>
            <w:vAlign w:val="center"/>
          </w:tcPr>
          <w:p w14:paraId="638201AF" w14:textId="6B0BD412" w:rsidR="00657C75" w:rsidRDefault="00657C75" w:rsidP="00657C75">
            <w:r>
              <w:t>Pobieranie danych o przestępczości z API Banku Danych Lokalnych, aby zapewnić regularne odświeżanie danych w aplikacji.</w:t>
            </w:r>
          </w:p>
        </w:tc>
        <w:tc>
          <w:tcPr>
            <w:tcW w:w="1134" w:type="dxa"/>
            <w:vAlign w:val="center"/>
          </w:tcPr>
          <w:p w14:paraId="0D878E76" w14:textId="3FD3ADE6" w:rsidR="00657C75" w:rsidRDefault="00657C75" w:rsidP="005B5A44">
            <w:pPr>
              <w:jc w:val="center"/>
            </w:pPr>
            <w:r>
              <w:t>1</w:t>
            </w:r>
          </w:p>
        </w:tc>
        <w:tc>
          <w:tcPr>
            <w:tcW w:w="2126" w:type="dxa"/>
            <w:vAlign w:val="center"/>
          </w:tcPr>
          <w:p w14:paraId="24711052" w14:textId="36C33808" w:rsidR="00657C75" w:rsidRDefault="00657C75" w:rsidP="005B5A44">
            <w:pPr>
              <w:jc w:val="center"/>
            </w:pPr>
            <w:r>
              <w:t>Funkcjonalne</w:t>
            </w:r>
          </w:p>
        </w:tc>
      </w:tr>
      <w:tr w:rsidR="00657C75" w14:paraId="4B6FDC04" w14:textId="77777777" w:rsidTr="000968E1">
        <w:tc>
          <w:tcPr>
            <w:tcW w:w="452" w:type="dxa"/>
            <w:vAlign w:val="center"/>
          </w:tcPr>
          <w:p w14:paraId="338CDEFB" w14:textId="7A495ED3" w:rsidR="00657C75" w:rsidRDefault="00657C75" w:rsidP="005B5A44">
            <w:pPr>
              <w:jc w:val="center"/>
            </w:pPr>
            <w:r>
              <w:t>2</w:t>
            </w:r>
          </w:p>
        </w:tc>
        <w:tc>
          <w:tcPr>
            <w:tcW w:w="2342" w:type="dxa"/>
            <w:vAlign w:val="center"/>
          </w:tcPr>
          <w:p w14:paraId="3E531634" w14:textId="6BC7AF46" w:rsidR="00657C75" w:rsidRDefault="00657C75" w:rsidP="00657C75">
            <w:r>
              <w:t>Automatyczne aktualizowanie danych</w:t>
            </w:r>
          </w:p>
        </w:tc>
        <w:tc>
          <w:tcPr>
            <w:tcW w:w="3580" w:type="dxa"/>
            <w:vAlign w:val="center"/>
          </w:tcPr>
          <w:p w14:paraId="1487ACA0" w14:textId="669BFC8D" w:rsidR="00657C75" w:rsidRDefault="00657C75" w:rsidP="00657C75">
            <w:r>
              <w:t>Umożliwienie aplikacji automatycznego odświeżania wskaźników przestępczości zgodnie z harmonogramem aktualizacji API Banku Danych Lokalnych.</w:t>
            </w:r>
          </w:p>
        </w:tc>
        <w:tc>
          <w:tcPr>
            <w:tcW w:w="1134" w:type="dxa"/>
            <w:vAlign w:val="center"/>
          </w:tcPr>
          <w:p w14:paraId="33F62089" w14:textId="09348B43" w:rsidR="00657C75" w:rsidRDefault="00657C75" w:rsidP="005B5A44">
            <w:pPr>
              <w:jc w:val="center"/>
            </w:pPr>
            <w:r>
              <w:t>1</w:t>
            </w:r>
          </w:p>
        </w:tc>
        <w:tc>
          <w:tcPr>
            <w:tcW w:w="2126" w:type="dxa"/>
            <w:vAlign w:val="center"/>
          </w:tcPr>
          <w:p w14:paraId="044AFA45" w14:textId="3FCF3B3E" w:rsidR="00657C75" w:rsidRDefault="00657C75" w:rsidP="005B5A44">
            <w:pPr>
              <w:jc w:val="center"/>
            </w:pPr>
            <w:r>
              <w:t>Funkcjonalne</w:t>
            </w:r>
          </w:p>
        </w:tc>
      </w:tr>
      <w:tr w:rsidR="00657C75" w14:paraId="679640BD" w14:textId="77777777" w:rsidTr="000968E1">
        <w:tc>
          <w:tcPr>
            <w:tcW w:w="452" w:type="dxa"/>
            <w:vAlign w:val="center"/>
          </w:tcPr>
          <w:p w14:paraId="1D587313" w14:textId="0C209251" w:rsidR="00657C75" w:rsidRDefault="00657C75" w:rsidP="005B5A44">
            <w:pPr>
              <w:jc w:val="center"/>
            </w:pPr>
            <w:r>
              <w:t>3</w:t>
            </w:r>
          </w:p>
        </w:tc>
        <w:tc>
          <w:tcPr>
            <w:tcW w:w="2342" w:type="dxa"/>
            <w:vAlign w:val="center"/>
          </w:tcPr>
          <w:p w14:paraId="65436FC6" w14:textId="5899EA44" w:rsidR="00657C75" w:rsidRDefault="00657C75" w:rsidP="00657C75">
            <w:r>
              <w:t>Przetwarzanie danych</w:t>
            </w:r>
          </w:p>
        </w:tc>
        <w:tc>
          <w:tcPr>
            <w:tcW w:w="3580" w:type="dxa"/>
            <w:vAlign w:val="center"/>
          </w:tcPr>
          <w:p w14:paraId="6723F0E5" w14:textId="23BD1F6D" w:rsidR="00657C75" w:rsidRDefault="00657C75" w:rsidP="00657C75">
            <w:r>
              <w:t>Analiza i kategoryzacja zebranych danych pod kątem typów przestępstw, lokalizacji oraz czasu, aby umożliwić efektywne wizualizacje.</w:t>
            </w:r>
          </w:p>
        </w:tc>
        <w:tc>
          <w:tcPr>
            <w:tcW w:w="1134" w:type="dxa"/>
            <w:vAlign w:val="center"/>
          </w:tcPr>
          <w:p w14:paraId="68DD6598" w14:textId="296B6194" w:rsidR="00657C75" w:rsidRDefault="00657C75" w:rsidP="005B5A44">
            <w:pPr>
              <w:jc w:val="center"/>
            </w:pPr>
            <w:r>
              <w:t>1</w:t>
            </w:r>
          </w:p>
        </w:tc>
        <w:tc>
          <w:tcPr>
            <w:tcW w:w="2126" w:type="dxa"/>
            <w:vAlign w:val="center"/>
          </w:tcPr>
          <w:p w14:paraId="108F6159" w14:textId="178B4176" w:rsidR="00657C75" w:rsidRDefault="00657C75" w:rsidP="005B5A44">
            <w:pPr>
              <w:jc w:val="center"/>
            </w:pPr>
            <w:r>
              <w:t>Funkcjonalne</w:t>
            </w:r>
          </w:p>
        </w:tc>
      </w:tr>
      <w:tr w:rsidR="00657C75" w14:paraId="2F0255F3" w14:textId="77777777" w:rsidTr="000968E1">
        <w:tc>
          <w:tcPr>
            <w:tcW w:w="452" w:type="dxa"/>
            <w:vAlign w:val="center"/>
          </w:tcPr>
          <w:p w14:paraId="0A3E6F5A" w14:textId="545B0569" w:rsidR="00657C75" w:rsidRDefault="00657C75" w:rsidP="005B5A44">
            <w:pPr>
              <w:jc w:val="center"/>
            </w:pPr>
            <w:r>
              <w:t>4</w:t>
            </w:r>
          </w:p>
        </w:tc>
        <w:tc>
          <w:tcPr>
            <w:tcW w:w="2342" w:type="dxa"/>
            <w:vAlign w:val="center"/>
          </w:tcPr>
          <w:p w14:paraId="18427743" w14:textId="42EB7A2A" w:rsidR="00657C75" w:rsidRDefault="00657C75" w:rsidP="00657C75">
            <w:r>
              <w:t>Dashboard z wskaźnikami przestępczości</w:t>
            </w:r>
          </w:p>
        </w:tc>
        <w:tc>
          <w:tcPr>
            <w:tcW w:w="3580" w:type="dxa"/>
            <w:vAlign w:val="center"/>
          </w:tcPr>
          <w:p w14:paraId="48E5F538" w14:textId="5EBA821C" w:rsidR="00657C75" w:rsidRDefault="00657C75" w:rsidP="00657C75">
            <w:r>
              <w:t>Wyświetlanie interaktywnego panelu z wskaźnikami przestępczości, przedstawiającego różne wskaźniki dla różnych regionów Polski.</w:t>
            </w:r>
          </w:p>
        </w:tc>
        <w:tc>
          <w:tcPr>
            <w:tcW w:w="1134" w:type="dxa"/>
            <w:vAlign w:val="center"/>
          </w:tcPr>
          <w:p w14:paraId="38FD41CE" w14:textId="341E58BE" w:rsidR="00657C75" w:rsidRDefault="00657C75" w:rsidP="005B5A44">
            <w:pPr>
              <w:jc w:val="center"/>
            </w:pPr>
            <w:r>
              <w:t>1</w:t>
            </w:r>
          </w:p>
        </w:tc>
        <w:tc>
          <w:tcPr>
            <w:tcW w:w="2126" w:type="dxa"/>
            <w:vAlign w:val="center"/>
          </w:tcPr>
          <w:p w14:paraId="66D25B38" w14:textId="0B3F526F" w:rsidR="00657C75" w:rsidRDefault="00657C75" w:rsidP="005B5A44">
            <w:pPr>
              <w:jc w:val="center"/>
            </w:pPr>
            <w:r>
              <w:t>Funkcjonalne</w:t>
            </w:r>
          </w:p>
        </w:tc>
      </w:tr>
      <w:tr w:rsidR="00657C75" w14:paraId="6FA993E8" w14:textId="77777777" w:rsidTr="000968E1">
        <w:tc>
          <w:tcPr>
            <w:tcW w:w="452" w:type="dxa"/>
            <w:vAlign w:val="center"/>
          </w:tcPr>
          <w:p w14:paraId="07A8269E" w14:textId="174A24E6" w:rsidR="00657C75" w:rsidRDefault="00657C75" w:rsidP="005B5A44">
            <w:pPr>
              <w:jc w:val="center"/>
            </w:pPr>
            <w:r>
              <w:t>5</w:t>
            </w:r>
          </w:p>
        </w:tc>
        <w:tc>
          <w:tcPr>
            <w:tcW w:w="2342" w:type="dxa"/>
            <w:vAlign w:val="center"/>
          </w:tcPr>
          <w:p w14:paraId="58DE3EFC" w14:textId="1276445A" w:rsidR="00657C75" w:rsidRDefault="00657C75" w:rsidP="00657C75">
            <w:r>
              <w:t>Mapy interaktywne</w:t>
            </w:r>
          </w:p>
        </w:tc>
        <w:tc>
          <w:tcPr>
            <w:tcW w:w="3580" w:type="dxa"/>
            <w:vAlign w:val="center"/>
          </w:tcPr>
          <w:p w14:paraId="058FB625" w14:textId="77777777" w:rsidR="00657C75" w:rsidRDefault="00657C75" w:rsidP="00657C75"/>
          <w:p w14:paraId="59D9F73F" w14:textId="22174ACF" w:rsidR="00657C75" w:rsidRDefault="00657C75" w:rsidP="00657C75">
            <w:r>
              <w:t>Możliwość przeglądania wskaźników przestępczości na mapach interaktywnych z podziałem na województwa i powiaty.</w:t>
            </w:r>
          </w:p>
          <w:p w14:paraId="61231D3D" w14:textId="4577B29A" w:rsidR="00657C75" w:rsidRDefault="00657C75" w:rsidP="00657C75"/>
        </w:tc>
        <w:tc>
          <w:tcPr>
            <w:tcW w:w="1134" w:type="dxa"/>
            <w:vAlign w:val="center"/>
          </w:tcPr>
          <w:p w14:paraId="1B25A93E" w14:textId="65B45064" w:rsidR="00657C75" w:rsidRDefault="00657C75" w:rsidP="005B5A44">
            <w:pPr>
              <w:jc w:val="center"/>
            </w:pPr>
            <w:r>
              <w:t>1</w:t>
            </w:r>
          </w:p>
        </w:tc>
        <w:tc>
          <w:tcPr>
            <w:tcW w:w="2126" w:type="dxa"/>
            <w:vAlign w:val="center"/>
          </w:tcPr>
          <w:p w14:paraId="0EDA8193" w14:textId="517CF527" w:rsidR="00657C75" w:rsidRDefault="00657C75" w:rsidP="005B5A44">
            <w:pPr>
              <w:jc w:val="center"/>
            </w:pPr>
            <w:r>
              <w:t>Funkcjonalne</w:t>
            </w:r>
          </w:p>
        </w:tc>
      </w:tr>
      <w:tr w:rsidR="00657C75" w14:paraId="1E03BC67" w14:textId="77777777" w:rsidTr="000968E1">
        <w:tc>
          <w:tcPr>
            <w:tcW w:w="452" w:type="dxa"/>
            <w:vAlign w:val="center"/>
          </w:tcPr>
          <w:p w14:paraId="579C0B43" w14:textId="41D5B76E" w:rsidR="00657C75" w:rsidRDefault="00657C75" w:rsidP="005B5A44">
            <w:pPr>
              <w:jc w:val="center"/>
            </w:pPr>
            <w:r>
              <w:t>6</w:t>
            </w:r>
          </w:p>
        </w:tc>
        <w:tc>
          <w:tcPr>
            <w:tcW w:w="2342" w:type="dxa"/>
            <w:vAlign w:val="center"/>
          </w:tcPr>
          <w:p w14:paraId="1868FD68" w14:textId="3EEABDC5" w:rsidR="00657C75" w:rsidRDefault="00657C75" w:rsidP="00657C75">
            <w:r>
              <w:t>Filtry i sortowanie</w:t>
            </w:r>
          </w:p>
        </w:tc>
        <w:tc>
          <w:tcPr>
            <w:tcW w:w="3580" w:type="dxa"/>
            <w:vAlign w:val="center"/>
          </w:tcPr>
          <w:p w14:paraId="0ECE401F" w14:textId="4E7EFAFE" w:rsidR="00657C75" w:rsidRDefault="00657C75" w:rsidP="00657C75">
            <w:r>
              <w:t>Użytkownicy mogą filtrować dane według kategorii przestępstw, czasu, lokalizacji, itp.</w:t>
            </w:r>
          </w:p>
        </w:tc>
        <w:tc>
          <w:tcPr>
            <w:tcW w:w="1134" w:type="dxa"/>
            <w:vAlign w:val="center"/>
          </w:tcPr>
          <w:p w14:paraId="197EA7BA" w14:textId="786FC699" w:rsidR="00657C75" w:rsidRDefault="00657C75" w:rsidP="005B5A44">
            <w:pPr>
              <w:jc w:val="center"/>
            </w:pPr>
            <w:r>
              <w:t>1</w:t>
            </w:r>
          </w:p>
        </w:tc>
        <w:tc>
          <w:tcPr>
            <w:tcW w:w="2126" w:type="dxa"/>
            <w:vAlign w:val="center"/>
          </w:tcPr>
          <w:p w14:paraId="2AF54278" w14:textId="7322E419" w:rsidR="00657C75" w:rsidRDefault="00657C75" w:rsidP="005B5A44">
            <w:pPr>
              <w:jc w:val="center"/>
            </w:pPr>
            <w:r>
              <w:t>Funkcjonalne</w:t>
            </w:r>
          </w:p>
        </w:tc>
      </w:tr>
      <w:tr w:rsidR="00657C75" w14:paraId="4CD0D2DA" w14:textId="77777777" w:rsidTr="000968E1">
        <w:tc>
          <w:tcPr>
            <w:tcW w:w="452" w:type="dxa"/>
            <w:vAlign w:val="center"/>
          </w:tcPr>
          <w:p w14:paraId="105F87D9" w14:textId="1C95917D" w:rsidR="00657C75" w:rsidRDefault="00657C75" w:rsidP="005B5A44">
            <w:pPr>
              <w:jc w:val="center"/>
            </w:pPr>
            <w:r>
              <w:t>7</w:t>
            </w:r>
          </w:p>
        </w:tc>
        <w:tc>
          <w:tcPr>
            <w:tcW w:w="2342" w:type="dxa"/>
            <w:vAlign w:val="center"/>
          </w:tcPr>
          <w:p w14:paraId="3BEB4DCC" w14:textId="30FB2C5F" w:rsidR="00657C75" w:rsidRDefault="00657C75" w:rsidP="00657C75">
            <w:r>
              <w:t>Ranking najbezpieczniejszych miejsc</w:t>
            </w:r>
          </w:p>
        </w:tc>
        <w:tc>
          <w:tcPr>
            <w:tcW w:w="3580" w:type="dxa"/>
            <w:vAlign w:val="center"/>
          </w:tcPr>
          <w:p w14:paraId="4D146D44" w14:textId="2EE208B0" w:rsidR="00657C75" w:rsidRDefault="00657C75" w:rsidP="00657C75">
            <w:r>
              <w:t>Generowanie listy najbezpieczniejszych miejsc do zamieszkania na podstawie wskaźników przestępczości.</w:t>
            </w:r>
          </w:p>
        </w:tc>
        <w:tc>
          <w:tcPr>
            <w:tcW w:w="1134" w:type="dxa"/>
            <w:vAlign w:val="center"/>
          </w:tcPr>
          <w:p w14:paraId="23B0A199" w14:textId="3074090D" w:rsidR="00657C75" w:rsidRDefault="00657C75" w:rsidP="005B5A44">
            <w:pPr>
              <w:jc w:val="center"/>
            </w:pPr>
            <w:r>
              <w:t>1</w:t>
            </w:r>
          </w:p>
        </w:tc>
        <w:tc>
          <w:tcPr>
            <w:tcW w:w="2126" w:type="dxa"/>
            <w:vAlign w:val="center"/>
          </w:tcPr>
          <w:p w14:paraId="4A342088" w14:textId="6E8C0BA4" w:rsidR="00657C75" w:rsidRDefault="00657C75" w:rsidP="005B5A44">
            <w:pPr>
              <w:jc w:val="center"/>
            </w:pPr>
            <w:r>
              <w:t>Funkcjonalne</w:t>
            </w:r>
          </w:p>
        </w:tc>
      </w:tr>
      <w:tr w:rsidR="00657C75" w14:paraId="1368EA03" w14:textId="77777777" w:rsidTr="000968E1">
        <w:tc>
          <w:tcPr>
            <w:tcW w:w="452" w:type="dxa"/>
            <w:vAlign w:val="center"/>
          </w:tcPr>
          <w:p w14:paraId="6EE3216F" w14:textId="5302AB3C" w:rsidR="00657C75" w:rsidRDefault="00BD109D" w:rsidP="005B5A44">
            <w:pPr>
              <w:jc w:val="center"/>
            </w:pPr>
            <w:r>
              <w:t>8</w:t>
            </w:r>
          </w:p>
        </w:tc>
        <w:tc>
          <w:tcPr>
            <w:tcW w:w="2342" w:type="dxa"/>
            <w:vAlign w:val="center"/>
          </w:tcPr>
          <w:p w14:paraId="1A868BF9" w14:textId="2201949B" w:rsidR="00657C75" w:rsidRDefault="00657C75" w:rsidP="00657C75">
            <w:r>
              <w:t>Eksport danych</w:t>
            </w:r>
          </w:p>
        </w:tc>
        <w:tc>
          <w:tcPr>
            <w:tcW w:w="3580" w:type="dxa"/>
            <w:vAlign w:val="center"/>
          </w:tcPr>
          <w:p w14:paraId="36B4919F" w14:textId="6712C3BB" w:rsidR="00657C75" w:rsidRDefault="00657C75" w:rsidP="00657C75">
            <w:r>
              <w:t>Możliwość eksportowania danych do plików (np. CSV).</w:t>
            </w:r>
          </w:p>
        </w:tc>
        <w:tc>
          <w:tcPr>
            <w:tcW w:w="1134" w:type="dxa"/>
            <w:vAlign w:val="center"/>
          </w:tcPr>
          <w:p w14:paraId="48434326" w14:textId="7B5E15F8" w:rsidR="00657C75" w:rsidRDefault="00657C75" w:rsidP="005B5A44">
            <w:pPr>
              <w:jc w:val="center"/>
            </w:pPr>
            <w:r>
              <w:t>3</w:t>
            </w:r>
          </w:p>
        </w:tc>
        <w:tc>
          <w:tcPr>
            <w:tcW w:w="2126" w:type="dxa"/>
            <w:vAlign w:val="center"/>
          </w:tcPr>
          <w:p w14:paraId="5773E018" w14:textId="7BF01D84" w:rsidR="00657C75" w:rsidRDefault="00657C75" w:rsidP="005B5A44">
            <w:pPr>
              <w:jc w:val="center"/>
            </w:pPr>
            <w:r>
              <w:t>Funkcjonalne</w:t>
            </w:r>
          </w:p>
        </w:tc>
      </w:tr>
      <w:tr w:rsidR="00657C75" w14:paraId="10CDB88F" w14:textId="77777777" w:rsidTr="000968E1">
        <w:tc>
          <w:tcPr>
            <w:tcW w:w="452" w:type="dxa"/>
            <w:vAlign w:val="center"/>
          </w:tcPr>
          <w:p w14:paraId="3AE64125" w14:textId="1708D45A" w:rsidR="00657C75" w:rsidRDefault="00BD109D" w:rsidP="005B5A44">
            <w:pPr>
              <w:jc w:val="center"/>
            </w:pPr>
            <w:r>
              <w:t>9</w:t>
            </w:r>
          </w:p>
        </w:tc>
        <w:tc>
          <w:tcPr>
            <w:tcW w:w="2342" w:type="dxa"/>
            <w:vAlign w:val="center"/>
          </w:tcPr>
          <w:p w14:paraId="2E5DE9EE" w14:textId="0D250B7D" w:rsidR="00657C75" w:rsidRDefault="00657C75" w:rsidP="00657C75">
            <w:r>
              <w:t>Responsywny interfejs użytkownika</w:t>
            </w:r>
          </w:p>
        </w:tc>
        <w:tc>
          <w:tcPr>
            <w:tcW w:w="3580" w:type="dxa"/>
            <w:vAlign w:val="center"/>
          </w:tcPr>
          <w:p w14:paraId="63E41FDB" w14:textId="6136784D" w:rsidR="00657C75" w:rsidRDefault="00657C75" w:rsidP="00657C75">
            <w:r>
              <w:t>Zapewnienie, że interfejs dostosowuje się do różnych rozdzielczości i urządzeń (np. desktop, mobile).</w:t>
            </w:r>
          </w:p>
        </w:tc>
        <w:tc>
          <w:tcPr>
            <w:tcW w:w="1134" w:type="dxa"/>
            <w:vAlign w:val="center"/>
          </w:tcPr>
          <w:p w14:paraId="41A710F1" w14:textId="01B1FD2A" w:rsidR="00657C75" w:rsidRDefault="00657C75" w:rsidP="005B5A44">
            <w:pPr>
              <w:jc w:val="center"/>
            </w:pPr>
            <w:r>
              <w:t>1</w:t>
            </w:r>
          </w:p>
        </w:tc>
        <w:tc>
          <w:tcPr>
            <w:tcW w:w="2126" w:type="dxa"/>
            <w:vAlign w:val="center"/>
          </w:tcPr>
          <w:p w14:paraId="4141B51C" w14:textId="2449E9E9" w:rsidR="00657C75" w:rsidRDefault="00657C75" w:rsidP="005B5A44">
            <w:pPr>
              <w:jc w:val="center"/>
            </w:pPr>
            <w:proofErr w:type="spellStart"/>
            <w:r>
              <w:t>Pozafunkcjonalne</w:t>
            </w:r>
            <w:proofErr w:type="spellEnd"/>
          </w:p>
        </w:tc>
      </w:tr>
      <w:tr w:rsidR="00657C75" w14:paraId="59A8D2BC" w14:textId="77777777" w:rsidTr="000968E1">
        <w:tc>
          <w:tcPr>
            <w:tcW w:w="452" w:type="dxa"/>
            <w:vAlign w:val="center"/>
          </w:tcPr>
          <w:p w14:paraId="46FFA72B" w14:textId="7C35ABF8" w:rsidR="00657C75" w:rsidRDefault="00657C75" w:rsidP="005B5A44">
            <w:pPr>
              <w:jc w:val="center"/>
            </w:pPr>
            <w:r>
              <w:t>1</w:t>
            </w:r>
            <w:r w:rsidR="00BD109D">
              <w:t>0</w:t>
            </w:r>
          </w:p>
        </w:tc>
        <w:tc>
          <w:tcPr>
            <w:tcW w:w="2342" w:type="dxa"/>
            <w:vAlign w:val="center"/>
          </w:tcPr>
          <w:p w14:paraId="58BCFCAE" w14:textId="4F695E50" w:rsidR="00657C75" w:rsidRDefault="00657C75" w:rsidP="00657C75">
            <w:r>
              <w:t>Dokumentacja aplikacji</w:t>
            </w:r>
          </w:p>
        </w:tc>
        <w:tc>
          <w:tcPr>
            <w:tcW w:w="3580" w:type="dxa"/>
            <w:vAlign w:val="center"/>
          </w:tcPr>
          <w:p w14:paraId="653673CE" w14:textId="52A76B83" w:rsidR="00657C75" w:rsidRDefault="00657C75" w:rsidP="00657C75">
            <w:r>
              <w:t>Dostarczenie dokumentacji technicznej</w:t>
            </w:r>
            <w:r w:rsidR="00BD109D">
              <w:t>.</w:t>
            </w:r>
          </w:p>
        </w:tc>
        <w:tc>
          <w:tcPr>
            <w:tcW w:w="1134" w:type="dxa"/>
            <w:vAlign w:val="center"/>
          </w:tcPr>
          <w:p w14:paraId="75058272" w14:textId="2A630B0B" w:rsidR="00657C75" w:rsidRDefault="00657C75" w:rsidP="005B5A44">
            <w:pPr>
              <w:jc w:val="center"/>
            </w:pPr>
            <w:r>
              <w:t>3</w:t>
            </w:r>
          </w:p>
        </w:tc>
        <w:tc>
          <w:tcPr>
            <w:tcW w:w="2126" w:type="dxa"/>
            <w:vAlign w:val="center"/>
          </w:tcPr>
          <w:p w14:paraId="6F6A3CBB" w14:textId="59E34E77" w:rsidR="00657C75" w:rsidRDefault="00657C75" w:rsidP="005B5A44">
            <w:pPr>
              <w:jc w:val="center"/>
            </w:pPr>
            <w:proofErr w:type="spellStart"/>
            <w:r>
              <w:t>Pozafunkcjonalne</w:t>
            </w:r>
            <w:proofErr w:type="spellEnd"/>
          </w:p>
        </w:tc>
      </w:tr>
    </w:tbl>
    <w:p w14:paraId="7BF9CCDE" w14:textId="77777777" w:rsidR="00527531" w:rsidRDefault="00527531"/>
    <w:sectPr w:rsidR="00527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52291"/>
    <w:multiLevelType w:val="hybridMultilevel"/>
    <w:tmpl w:val="EB64EAC0"/>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1880278A"/>
    <w:multiLevelType w:val="hybridMultilevel"/>
    <w:tmpl w:val="7EEED368"/>
    <w:lvl w:ilvl="0" w:tplc="B6AEBC8A">
      <w:start w:val="1"/>
      <w:numFmt w:val="lowerLetter"/>
      <w:lvlText w:val="%1."/>
      <w:lvlJc w:val="left"/>
      <w:pPr>
        <w:ind w:left="1068" w:hanging="360"/>
      </w:pPr>
      <w:rPr>
        <w:rFonts w:cstheme="minorBidi"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1A486827"/>
    <w:multiLevelType w:val="hybridMultilevel"/>
    <w:tmpl w:val="B830B3D6"/>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3CAF3C5B"/>
    <w:multiLevelType w:val="hybridMultilevel"/>
    <w:tmpl w:val="3EFEE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E6990"/>
    <w:multiLevelType w:val="hybridMultilevel"/>
    <w:tmpl w:val="2A0A1B74"/>
    <w:lvl w:ilvl="0" w:tplc="04090017">
      <w:start w:val="1"/>
      <w:numFmt w:val="lowerLetter"/>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15:restartNumberingAfterBreak="0">
    <w:nsid w:val="51FD287B"/>
    <w:multiLevelType w:val="hybridMultilevel"/>
    <w:tmpl w:val="91D40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700FF"/>
    <w:multiLevelType w:val="hybridMultilevel"/>
    <w:tmpl w:val="2C12039E"/>
    <w:lvl w:ilvl="0" w:tplc="04090017">
      <w:start w:val="1"/>
      <w:numFmt w:val="lowerLetter"/>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16cid:durableId="274605080">
    <w:abstractNumId w:val="6"/>
  </w:num>
  <w:num w:numId="2" w16cid:durableId="1981499628">
    <w:abstractNumId w:val="1"/>
  </w:num>
  <w:num w:numId="3" w16cid:durableId="1602254152">
    <w:abstractNumId w:val="2"/>
  </w:num>
  <w:num w:numId="4" w16cid:durableId="822090412">
    <w:abstractNumId w:val="0"/>
  </w:num>
  <w:num w:numId="5" w16cid:durableId="111436955">
    <w:abstractNumId w:val="4"/>
  </w:num>
  <w:num w:numId="6" w16cid:durableId="839350071">
    <w:abstractNumId w:val="3"/>
  </w:num>
  <w:num w:numId="7" w16cid:durableId="15823316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C75"/>
    <w:rsid w:val="000824EF"/>
    <w:rsid w:val="000968E1"/>
    <w:rsid w:val="000E3319"/>
    <w:rsid w:val="00150CFB"/>
    <w:rsid w:val="00294CF5"/>
    <w:rsid w:val="002D1C57"/>
    <w:rsid w:val="002D4678"/>
    <w:rsid w:val="00383634"/>
    <w:rsid w:val="00527531"/>
    <w:rsid w:val="00580A5A"/>
    <w:rsid w:val="005B5A44"/>
    <w:rsid w:val="005E5351"/>
    <w:rsid w:val="00657C75"/>
    <w:rsid w:val="006D2018"/>
    <w:rsid w:val="006F56FC"/>
    <w:rsid w:val="0086343A"/>
    <w:rsid w:val="00AF33B7"/>
    <w:rsid w:val="00B60294"/>
    <w:rsid w:val="00BD109D"/>
    <w:rsid w:val="00BF1441"/>
    <w:rsid w:val="00BF37C5"/>
    <w:rsid w:val="00CD0BBE"/>
    <w:rsid w:val="00DB6F4E"/>
    <w:rsid w:val="00DD010E"/>
    <w:rsid w:val="00DD2E3D"/>
    <w:rsid w:val="00DD4D70"/>
    <w:rsid w:val="00E67DCC"/>
    <w:rsid w:val="00EB76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54652"/>
  <w15:chartTrackingRefBased/>
  <w15:docId w15:val="{21CEA8BE-B812-49F2-95F8-650F5F40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57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657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657C7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657C7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657C7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657C7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57C7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57C7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57C7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7C7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657C7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657C7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657C7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657C7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657C7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57C7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57C7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57C75"/>
    <w:rPr>
      <w:rFonts w:eastAsiaTheme="majorEastAsia" w:cstheme="majorBidi"/>
      <w:color w:val="272727" w:themeColor="text1" w:themeTint="D8"/>
    </w:rPr>
  </w:style>
  <w:style w:type="paragraph" w:styleId="Tytu">
    <w:name w:val="Title"/>
    <w:basedOn w:val="Normalny"/>
    <w:next w:val="Normalny"/>
    <w:link w:val="TytuZnak"/>
    <w:uiPriority w:val="10"/>
    <w:qFormat/>
    <w:rsid w:val="00657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57C7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57C7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57C7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57C75"/>
    <w:pPr>
      <w:spacing w:before="160"/>
      <w:jc w:val="center"/>
    </w:pPr>
    <w:rPr>
      <w:i/>
      <w:iCs/>
      <w:color w:val="404040" w:themeColor="text1" w:themeTint="BF"/>
    </w:rPr>
  </w:style>
  <w:style w:type="character" w:customStyle="1" w:styleId="CytatZnak">
    <w:name w:val="Cytat Znak"/>
    <w:basedOn w:val="Domylnaczcionkaakapitu"/>
    <w:link w:val="Cytat"/>
    <w:uiPriority w:val="29"/>
    <w:rsid w:val="00657C75"/>
    <w:rPr>
      <w:i/>
      <w:iCs/>
      <w:color w:val="404040" w:themeColor="text1" w:themeTint="BF"/>
    </w:rPr>
  </w:style>
  <w:style w:type="paragraph" w:styleId="Akapitzlist">
    <w:name w:val="List Paragraph"/>
    <w:basedOn w:val="Normalny"/>
    <w:uiPriority w:val="34"/>
    <w:qFormat/>
    <w:rsid w:val="00657C75"/>
    <w:pPr>
      <w:ind w:left="720"/>
      <w:contextualSpacing/>
    </w:pPr>
  </w:style>
  <w:style w:type="character" w:styleId="Wyrnienieintensywne">
    <w:name w:val="Intense Emphasis"/>
    <w:basedOn w:val="Domylnaczcionkaakapitu"/>
    <w:uiPriority w:val="21"/>
    <w:qFormat/>
    <w:rsid w:val="00657C75"/>
    <w:rPr>
      <w:i/>
      <w:iCs/>
      <w:color w:val="0F4761" w:themeColor="accent1" w:themeShade="BF"/>
    </w:rPr>
  </w:style>
  <w:style w:type="paragraph" w:styleId="Cytatintensywny">
    <w:name w:val="Intense Quote"/>
    <w:basedOn w:val="Normalny"/>
    <w:next w:val="Normalny"/>
    <w:link w:val="CytatintensywnyZnak"/>
    <w:uiPriority w:val="30"/>
    <w:qFormat/>
    <w:rsid w:val="00657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657C75"/>
    <w:rPr>
      <w:i/>
      <w:iCs/>
      <w:color w:val="0F4761" w:themeColor="accent1" w:themeShade="BF"/>
    </w:rPr>
  </w:style>
  <w:style w:type="character" w:styleId="Odwoanieintensywne">
    <w:name w:val="Intense Reference"/>
    <w:basedOn w:val="Domylnaczcionkaakapitu"/>
    <w:uiPriority w:val="32"/>
    <w:qFormat/>
    <w:rsid w:val="00657C75"/>
    <w:rPr>
      <w:b/>
      <w:bCs/>
      <w:smallCaps/>
      <w:color w:val="0F4761" w:themeColor="accent1" w:themeShade="BF"/>
      <w:spacing w:val="5"/>
    </w:rPr>
  </w:style>
  <w:style w:type="table" w:styleId="Tabela-Siatka">
    <w:name w:val="Table Grid"/>
    <w:basedOn w:val="Standardowy"/>
    <w:uiPriority w:val="39"/>
    <w:rsid w:val="0065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254635">
      <w:bodyDiv w:val="1"/>
      <w:marLeft w:val="0"/>
      <w:marRight w:val="0"/>
      <w:marTop w:val="0"/>
      <w:marBottom w:val="0"/>
      <w:divBdr>
        <w:top w:val="none" w:sz="0" w:space="0" w:color="auto"/>
        <w:left w:val="none" w:sz="0" w:space="0" w:color="auto"/>
        <w:bottom w:val="none" w:sz="0" w:space="0" w:color="auto"/>
        <w:right w:val="none" w:sz="0" w:space="0" w:color="auto"/>
      </w:divBdr>
    </w:div>
    <w:div w:id="231964373">
      <w:bodyDiv w:val="1"/>
      <w:marLeft w:val="0"/>
      <w:marRight w:val="0"/>
      <w:marTop w:val="0"/>
      <w:marBottom w:val="0"/>
      <w:divBdr>
        <w:top w:val="none" w:sz="0" w:space="0" w:color="auto"/>
        <w:left w:val="none" w:sz="0" w:space="0" w:color="auto"/>
        <w:bottom w:val="none" w:sz="0" w:space="0" w:color="auto"/>
        <w:right w:val="none" w:sz="0" w:space="0" w:color="auto"/>
      </w:divBdr>
    </w:div>
    <w:div w:id="313143388">
      <w:bodyDiv w:val="1"/>
      <w:marLeft w:val="0"/>
      <w:marRight w:val="0"/>
      <w:marTop w:val="0"/>
      <w:marBottom w:val="0"/>
      <w:divBdr>
        <w:top w:val="none" w:sz="0" w:space="0" w:color="auto"/>
        <w:left w:val="none" w:sz="0" w:space="0" w:color="auto"/>
        <w:bottom w:val="none" w:sz="0" w:space="0" w:color="auto"/>
        <w:right w:val="none" w:sz="0" w:space="0" w:color="auto"/>
      </w:divBdr>
    </w:div>
    <w:div w:id="824977950">
      <w:bodyDiv w:val="1"/>
      <w:marLeft w:val="0"/>
      <w:marRight w:val="0"/>
      <w:marTop w:val="0"/>
      <w:marBottom w:val="0"/>
      <w:divBdr>
        <w:top w:val="none" w:sz="0" w:space="0" w:color="auto"/>
        <w:left w:val="none" w:sz="0" w:space="0" w:color="auto"/>
        <w:bottom w:val="none" w:sz="0" w:space="0" w:color="auto"/>
        <w:right w:val="none" w:sz="0" w:space="0" w:color="auto"/>
      </w:divBdr>
    </w:div>
    <w:div w:id="1645819438">
      <w:bodyDiv w:val="1"/>
      <w:marLeft w:val="0"/>
      <w:marRight w:val="0"/>
      <w:marTop w:val="0"/>
      <w:marBottom w:val="0"/>
      <w:divBdr>
        <w:top w:val="none" w:sz="0" w:space="0" w:color="auto"/>
        <w:left w:val="none" w:sz="0" w:space="0" w:color="auto"/>
        <w:bottom w:val="none" w:sz="0" w:space="0" w:color="auto"/>
        <w:right w:val="none" w:sz="0" w:space="0" w:color="auto"/>
      </w:divBdr>
    </w:div>
    <w:div w:id="17700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588</Words>
  <Characters>3532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Ossowski</dc:creator>
  <cp:keywords/>
  <dc:description/>
  <cp:lastModifiedBy>Kacper Ossowski</cp:lastModifiedBy>
  <cp:revision>15</cp:revision>
  <dcterms:created xsi:type="dcterms:W3CDTF">2024-11-14T10:23:00Z</dcterms:created>
  <dcterms:modified xsi:type="dcterms:W3CDTF">2025-01-02T16:04:00Z</dcterms:modified>
</cp:coreProperties>
</file>