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val="clear" w:color="auto" w:fill="0F2137"/>
            <w:tcBorders>
              <w:top w:val="none" w:sz="4" w:color="E2E8F0"/>
              <w:left w:val="none" w:sz="4" w:color="E2E8F0"/>
              <w:bottom w:val="none" w:sz="4" w:color="E2E8F0"/>
              <w:right w:val="none" w:sz="4" w:color="E2E8F0"/>
            </w:tcBorders>
          </w:tcPr>
          <w:p>
            <w:pPr>
              <w:spacing w:before="280" w:after="80"/>
              <w:jc w:val="left"/>
            </w:pPr>
            <w:r>
              <w:rPr>
                <w:rFonts w:ascii="Lato" w:hAnsi="Lato"/>
                <w:b w:val="0"/>
                <w:i w:val="0"/>
                <w:color w:val="FFFFFF"/>
                <w:sz w:val="20"/>
              </w:rPr>
              <w:t>Specyfikacja Funkcjonalna</w:t>
            </w:r>
          </w:p>
          <w:p>
            <w:pPr>
              <w:spacing w:before="0" w:after="280"/>
              <w:jc w:val="left"/>
            </w:pPr>
            <w:r>
              <w:rPr>
                <w:rFonts w:ascii="Lato" w:hAnsi="Lato"/>
                <w:b/>
                <w:i w:val="0"/>
                <w:color w:val="E63946"/>
                <w:sz w:val="44"/>
              </w:rPr>
              <w:t>Administratiekantoor Gibula</w:t>
            </w:r>
          </w:p>
          <w:p>
            <w:pPr>
              <w:spacing w:before="0" w:after="240"/>
            </w:pPr>
            <w:r>
              <w:rPr>
                <w:rFonts w:ascii="Lato" w:hAnsi="Lato"/>
                <w:b w:val="0"/>
                <w:i w:val="0"/>
                <w:color w:val="A0AEBE"/>
                <w:sz w:val="20"/>
              </w:rPr>
              <w:t>Załącznik nr 1 do Umowy  ·  Wersja 1.0  ·  4 kwietnia 2026</w:t>
            </w:r>
          </w:p>
        </w:tc>
        <w:tc>
          <w:tcPr>
            <w:tcW w:type="dxa" w:w="6120"/>
            <w:shd w:val="clear" w:color="auto" w:fill="0F2137"/>
            <w:tcBorders>
              <w:top w:val="none" w:sz="4" w:color="E2E8F0"/>
              <w:left w:val="none" w:sz="4" w:color="E2E8F0"/>
              <w:bottom w:val="none" w:sz="4" w:color="E2E8F0"/>
              <w:right w:val="none" w:sz="4" w:color="E2E8F0"/>
            </w:tcBorders>
          </w:tcPr>
          <w:p>
            <w:pPr>
              <w:spacing w:before="400" w:after="80"/>
              <w:jc w:val="right"/>
            </w:pPr>
            <w:r>
              <w:rPr>
                <w:rFonts w:ascii="Lato" w:hAnsi="Lato"/>
                <w:b/>
                <w:i w:val="0"/>
                <w:color w:val="FFFFFF"/>
                <w:sz w:val="40"/>
              </w:rPr>
              <w:t>dokodu</w:t>
            </w:r>
            <w:r>
              <w:rPr>
                <w:rFonts w:ascii="Lato" w:hAnsi="Lato"/>
                <w:b/>
                <w:i w:val="0"/>
                <w:color w:val="E63946"/>
                <w:sz w:val="40"/>
              </w:rPr>
              <w:t>.it</w:t>
            </w:r>
          </w:p>
          <w:p>
            <w:pPr>
              <w:spacing w:before="0" w:after="280"/>
              <w:jc w:val="right"/>
            </w:pPr>
            <w:r>
              <w:rPr>
                <w:rFonts w:ascii="Lato" w:hAnsi="Lato"/>
                <w:b w:val="0"/>
                <w:i w:val="0"/>
                <w:color w:val="A0AEBE"/>
                <w:sz w:val="18"/>
              </w:rPr>
              <w:t>kacper@dokodu.it  ·  +48 508 106 046</w:t>
            </w:r>
          </w:p>
        </w:tc>
      </w:tr>
    </w:tbl>
    <w:p/>
    <w:p>
      <w:pPr>
        <w:spacing w:before="40" w:after="80"/>
      </w:pPr>
      <w:r>
        <w:rPr>
          <w:rFonts w:ascii="Lato" w:hAnsi="Lato"/>
          <w:b/>
          <w:i w:val="0"/>
          <w:color w:val="0F2137"/>
          <w:sz w:val="20"/>
        </w:rPr>
        <w:t>Projekt:</w:t>
      </w:r>
      <w:r>
        <w:rPr>
          <w:rFonts w:ascii="Lato" w:hAnsi="Lato"/>
          <w:b w:val="0"/>
          <w:i w:val="0"/>
          <w:color w:val="1A2B3C"/>
          <w:sz w:val="20"/>
        </w:rPr>
        <w:t xml:space="preserve"> Aplikacja SaaS do fakturowania dla Administratiekantoor Gibula</w:t>
      </w:r>
    </w:p>
    <w:p>
      <w:pPr>
        <w:spacing w:before="40" w:after="80"/>
      </w:pPr>
      <w:r>
        <w:rPr>
          <w:rFonts w:ascii="Lato" w:hAnsi="Lato"/>
          <w:b/>
          <w:i w:val="0"/>
          <w:color w:val="0F2137"/>
          <w:sz w:val="20"/>
        </w:rPr>
        <w:t>Wersja:</w:t>
      </w:r>
      <w:r>
        <w:rPr>
          <w:rFonts w:ascii="Lato" w:hAnsi="Lato"/>
          <w:b w:val="0"/>
          <w:i w:val="0"/>
          <w:color w:val="1A2B3C"/>
          <w:sz w:val="20"/>
        </w:rPr>
        <w:t xml:space="preserve"> 1.0</w:t>
      </w:r>
    </w:p>
    <w:p>
      <w:pPr>
        <w:spacing w:before="40" w:after="80"/>
      </w:pPr>
      <w:r>
        <w:rPr>
          <w:rFonts w:ascii="Lato" w:hAnsi="Lato"/>
          <w:b/>
          <w:i w:val="0"/>
          <w:color w:val="0F2137"/>
          <w:sz w:val="20"/>
        </w:rPr>
        <w:t>Data:</w:t>
      </w:r>
      <w:r>
        <w:rPr>
          <w:rFonts w:ascii="Lato" w:hAnsi="Lato"/>
          <w:b w:val="0"/>
          <w:i w:val="0"/>
          <w:color w:val="1A2B3C"/>
          <w:sz w:val="20"/>
        </w:rPr>
        <w:t xml:space="preserve"> 4 kwietnia 2026</w:t>
      </w:r>
    </w:p>
    <w:p>
      <w:r>
        <w:rPr>
          <w:rFonts w:ascii="Lato" w:hAnsi="Lato"/>
          <w:color w:val="1A2B3C"/>
          <w:sz w:val="20"/>
        </w:rPr>
        <w:t>Wykonawca: DOKODU Sp. z o.o., ul. Kosynierów 76/22, 84-230 Rumia, NIP: 5882473305</w:t>
      </w:r>
    </w:p>
    <w:p>
      <w:pPr>
        <w:spacing w:before="40" w:after="80"/>
      </w:pPr>
      <w:r>
        <w:rPr>
          <w:rFonts w:ascii="Lato" w:hAnsi="Lato"/>
          <w:b/>
          <w:i w:val="0"/>
          <w:color w:val="0F2137"/>
          <w:sz w:val="20"/>
        </w:rPr>
        <w:t>Zamawiający:</w:t>
      </w:r>
      <w:r>
        <w:rPr>
          <w:rFonts w:ascii="Lato" w:hAnsi="Lato"/>
          <w:b w:val="0"/>
          <w:i w:val="0"/>
          <w:color w:val="1A2B3C"/>
          <w:sz w:val="20"/>
        </w:rPr>
        <w:t xml:space="preserve"> Administratiekantoor Gibula, Holandia</w:t>
      </w:r>
    </w:p>
    <w:p>
      <w:pPr>
        <w:spacing w:before="40" w:after="80"/>
      </w:pPr>
      <w:r>
        <w:rPr>
          <w:rFonts w:ascii="Lato" w:hAnsi="Lato"/>
          <w:b/>
          <w:i w:val="0"/>
          <w:color w:val="0F2137"/>
          <w:sz w:val="20"/>
        </w:rPr>
        <w:t>Kwota netto:</w:t>
      </w:r>
      <w:r>
        <w:rPr>
          <w:rFonts w:ascii="Lato" w:hAnsi="Lato"/>
          <w:b w:val="0"/>
          <w:i w:val="0"/>
          <w:color w:val="1A2B3C"/>
          <w:sz w:val="20"/>
        </w:rPr>
        <w:t xml:space="preserve"> 66 000 PLN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1. OPIS OGÓLNY SYSTEMU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System jest aplikacją webową typu SaaS przeznaczoną dla przedsiębiorców prowadzących działalność gospodarczą w Holandii. Umożliwia wystawianie faktur, prowadzenie uproszczonej ewidencji kosztów, godzin pracy i kilometrów oraz generowanie raportów finansowych.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Architektura systemu od początku zakłada model wielodostępowy (multi-tenant), umożliwiający w przyszłości podłączenie kolejnych biur rachunkowych bez konieczności przebudowy systemu.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Język interfejsu: polski.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Język generowanych dokumentów (faktur): holenderski.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Waluta: wyłącznie EUR (€).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2. SYSTEM RÓL I UPRAWNIEŃ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System przewiduje trzy poziomy dostępu: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2.1. Administrator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Pełny dostęp do wszystkich funkcji systemu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Zarządzanie kontami księgowych i użytkowników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Konfiguracja globalna systemu (stawki, szablony, ustawienia)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Wgląd w dane wszystkich użytkowników i księgowych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2.2. Księgowy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Zarządzanie przypisanymi do siebie klientami (użytkownikami)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Wgląd w faktury, koszty i raporty swoich klientów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Możliwość wykonania eksportu kwartalnego dla swoich klientów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Dostęp do funkcji "Magicznego Przycisku" (automatyczne księgowanie)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Przydzielona pula kont użytkowników do podpięcia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2.3. Użytkownik (przedsiębiorca)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Wystawianie faktur, pro-form, ofert i korekt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Prowadzenie ewidencji kosztów, godzin i kilometrów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Dostęp do własnych raportów i dashboardu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Użytkownik podpięty pod biuro rachunkowe nie ponosi opłaty abonamentowej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Użytkownik niezależny opłaca abonament samodzielnie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3. MODUŁ FAKTUROWANIA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3.1. Typy dokumentów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System obsługuje następujące typy dokumentów: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Faktura (Factuur)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Pro-forma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Oferta — dokument o strukturze identycznej z fakturą, oznaczony jako oferta, z możliwością przekształcenia jednym kliknięciem w fakturę końcową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Korekta (Creditnota) — patrz punkt 3.5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3.2. Stawki BTW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Dostępne stawki podatku dla każdej pozycji na dokumencie: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21%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9%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0%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BTW verlegd (reverse charge)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BTW vrijgesteld (zwolniony z BTW)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BTW marge regel (procedura marży)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3.3. Numeracja dokumentów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Domyślny format: NN-RRRR (np. 01-2026, 02-2026)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Każda kolejna faktura otrzymuje automatycznie kolejny numer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Użytkownik ma możliwość ręcznej edycji numeracji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3.4. Personalizacja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Możliwość wgrania własnego logo firmy przez użytkownika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Logo wyświetlane na wszystkich generowanych dokumentach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3.5. Faktury korygujące (Creditnota)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Korekta jest powiązana z fakturą oryginalną (referencja do numeru)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System automatycznie pobiera dane z faktury źródłowej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Użytkownik wskazuje które pozycje koryguje i podaje nowe wartości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System przelicza różnicę automatycznie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Korekta otrzymuje własny numer z osobnej serii numeracji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Korekta wpływa na raporty i dashboard (pomniejsza przychód)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3.6. Kod QR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Na podglądzie i wydruku faktury generowany jest kod QR umożliwiający szybką płatność.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3.7. Eksport UBL/XML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System umożliwia eksport wystawionych faktur do formatu UBL/XML.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4. MODUŁ EWIDENCJI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4.1. Ewidencja kosztów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Prosty formularz dodawania kosztów zawierający: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Kwota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Opis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Kategoria (do wyboru z listy)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Data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Koszty zliczają się do głównego raportu na dashboardzie.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4.2. Ewidencja godzin pracy (godzinówka)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Uproszczona tabela ewidencji: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Data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Liczba godzin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Opis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Możliwość pobrania/eksportu ewidencji.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4.3. Ewidencja kilometrów (kilometrówka)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Uproszczona tabela ewidencji: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Data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Liczba kilometrów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Opis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Możliwość pobrania/eksportu ewidencji.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5. DASHBOARD I RAPORTY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5.1. Panel główny (Dashboard)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Karty podsumowujące z kluczowymi metrykami: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Suma przychodów ze wszystkich faktur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Suma dodanych kosztów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Wynik: kwota do opodatkowania (przychód minus koszty)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5.2. Rozliczenie kwartalne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Generowanie raportu kwartalnego per użytkownik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Eksport do pliku Excel w formacie kompatybilnym z programem Exact Online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Raport zawiera zestawienie faktur i kosztów za dany kwartał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Funkcja dostępna dla ról Księgowy i Administrator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5.3. Instrukcje video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Przestrzeń na kafelki z linkami do filmów instruktażowych (YouTube). Treść filmów przygotowuje Zamawiający.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6. MIĘKKA WINDYKACJA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6.1. Lista faktur ze statusami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Widok listy wystawionych faktur z oznaczeniem statusu: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Opłacona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Oczekuje na płatność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Po terminie płatności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6.2. Akcje windykacyjne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Przy każdej niezapłaconej fakturze dostępne przyciski: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Wyślij przypomnienie o płatności (email)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Wyślij oficjalne wezwanie do zapłaty (email)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7. INTEGRACJA Z KSIĘGOWOŚCIĄ ("MAGICZNY PRZYCISK")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Wyróżniony przycisk umożliwiający automatyczne przesłanie danych księgowych do systemu Zamawiającego. Mechanizm oparty na istniejącej integracji opracowanej wcześniej przez Wykonawcę (aplikacja łącząca faktury z kontami bankowymi).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Dodatkowo system generuje eksport Excel kompatybilny z importem do popularnych holenderskich programów księgowych (Exact Online, AFAS, Twinfield, Moneybird, e-Boekhouden.nl, SnelStart, Yuki).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8. SYSTEM ABONAMENTOWY I PŁATNOŚCI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8.1. Rejestracja i weryfikacja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Każdy użytkownik zakłada własne konto z loginem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Weryfikacja firmy w rejestrze KvK (Kamer van Koophandel) w celu potwierdzenia tożsamości przedsiębiorcy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8.2. Płatności abonamentowe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Integracja z bramką płatniczą Mollie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Jeden pakiet abonamentowy, płatny automatycznie co miesiąc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W przypadku braku płatności — automatyczna blokada dostępu do systemu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Użytkownicy podpięci pod biuro rachunkowe są zwolnieni z opłaty abonamentowej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8.3. Program poleceń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Użytkownik posiadający abonament może polecić nowego klienta za pomocą indywidualnego linku. Za skuteczne polecenie otrzymuje zniżkę na miesięczny abonament.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9. WYMAGANIA TECHNICZNE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Aplikacja webowa (przeglądarkowa), responsywna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Technologia: Next.js, React, Tailwind CSS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Bezpieczny panel logowania z autoryzacją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Architektura multi-tenant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Przygotowanie pod przyszłą wielojęzyczność interfejsu (holenderski, angielski, ukraiński, rumuński, bułgarski)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10. ROZSZERZENIA OPCJONALNE (POZA ZAKRESEM V1.0)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Poniższe funkcjonalności nie wchodzą w zakres niniejszej umowy. Mogą zostać zrealizowane jako Etap 2, na podstawie osobnej wyceny i zamówienia po odbiorze Wersji 1.0.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10.1. OCR faktur zakupowych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Automatyczne odczytywanie danych z faktur zakupowych wgrywanych jako pliki PNG lub PDF. System rozpoznaje dane z dokumentu (kwota, data, kontrahent, stawka BTW) i automatycznie dodaje je do ewidencji kosztów.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Orientacyjna wycena: 3 000 – 4 000 PLN netto.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10.2. Integracja z siecią Peppol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Wysyłka i odbiór e-faktur przez sieć Peppol.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10.3. Pełna gospodarka magazynowa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Stany magazynowe, przyjęcia, wydania — powiązane z fakturami.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10.4. Zaawansowana ewidencja godzin i kilometrów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GPS, projekty, stawki per klient.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10.5. Integracja z bramkami płatniczymi dla odbiorców faktur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Umożliwienie klientom końcowym opłacenia faktury jednym kliknięciem.</w:t>
      </w:r>
    </w:p>
    <w:p>
      <w:pPr>
        <w:spacing w:before="240" w:after="120"/>
      </w:pPr>
      <w:r>
        <w:rPr>
          <w:rFonts w:ascii="Lato" w:hAnsi="Lato"/>
          <w:b/>
          <w:i w:val="0"/>
          <w:color w:val="0F2137"/>
          <w:sz w:val="22"/>
        </w:rPr>
        <w:t>10.6. Dodatkowe języki interfejsu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Holenderski, angielski, ukraiński, rumuński, bułgarski.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11. WYŁĄCZENIA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Niniejsza specyfikacja nie obejmuje: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Obsługi paragonów/bonów fiskalnych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Integracji z systemem Peppol (poza eksportem UBL/XML)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Pełnej gospodarki magazynowej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Funkcji GPS w ewidencji kilometrów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Obsługi walut innych niż EUR</w:t>
      </w:r>
    </w:p>
    <w:p>
      <w:pPr>
        <w:pStyle w:val="ListBullet"/>
        <w:spacing w:before="20" w:after="20"/>
        <w:ind w:left="227"/>
      </w:pPr>
      <w:r>
        <w:rPr>
          <w:rFonts w:ascii="Lato" w:hAnsi="Lato"/>
          <w:b w:val="0"/>
          <w:i w:val="0"/>
          <w:sz w:val="20"/>
        </w:rPr>
        <w:t>Hostingu i utrzymania serwerów (do ustalenia osobno)</w:t>
      </w:r>
    </w:p>
    <w:p>
      <w:pPr>
        <w:spacing w:before="360" w:after="120"/>
        <w:pBdr>
          <w:bottom w:val="single" w:sz="4" w:space="4" w:color="E63946"/>
        </w:pBdr>
      </w:pPr>
      <w:r>
        <w:rPr>
          <w:rFonts w:ascii="Lato" w:hAnsi="Lato"/>
          <w:b/>
          <w:i w:val="0"/>
          <w:color w:val="0F2137"/>
          <w:sz w:val="22"/>
        </w:rPr>
        <w:t>12. WARUNKI ODBIORU</w:t>
      </w:r>
    </w:p>
    <w:p>
      <w:pPr>
        <w:spacing w:before="40" w:after="80"/>
      </w:pPr>
      <w:r>
        <w:rPr>
          <w:rFonts w:ascii="Lato" w:hAnsi="Lato"/>
          <w:b w:val="0"/>
          <w:i w:val="0"/>
          <w:color w:val="1A2B3C"/>
          <w:sz w:val="20"/>
        </w:rPr>
        <w:t>System uznaje się za dostarczony po spełnieniu wszystkich punktów opisanych w rozdziałach 1–9 niniejszej specyfikacji. Testy odbiorcze przeprowadza Zamawiający w terminie uzgodnionym w umowie głównej.</w:t>
      </w:r>
    </w:p>
    <w:p/>
    <w:p>
      <w:pPr>
        <w:shd w:val="clear" w:color="auto" w:fill="0F2137"/>
        <w:spacing w:before="160" w:after="160"/>
        <w:ind w:left="170"/>
      </w:pPr>
      <w:r>
        <w:rPr>
          <w:rFonts w:ascii="Lato" w:hAnsi="Lato"/>
          <w:b/>
          <w:i w:val="0"/>
          <w:color w:val="FFFFFF"/>
          <w:sz w:val="18"/>
        </w:rPr>
        <w:t xml:space="preserve">Dokodu  ·  </w:t>
      </w:r>
      <w:r>
        <w:rPr>
          <w:rFonts w:ascii="Lato" w:hAnsi="Lato"/>
          <w:b w:val="0"/>
          <w:i w:val="0"/>
          <w:color w:val="A0AEBE"/>
          <w:sz w:val="18"/>
        </w:rPr>
        <w:t>kacper@dokodu.it  ·  +48 508 106 046  ·  dokodu.it  ·  ul. Kosynierów 76/22, 84-230 Rumia</w:t>
      </w:r>
    </w:p>
    <w:p>
      <w:pPr>
        <w:spacing w:before="400"/>
        <w:jc w:val="center"/>
      </w:pPr>
      <w:r>
        <w:rPr>
          <w:rFonts w:ascii="Lato" w:hAnsi="Lato"/>
          <w:i/>
          <w:color w:val="5A6677"/>
          <w:sz w:val="20"/>
        </w:rPr>
        <w:t>— Koniec specyfikacji —</w:t>
      </w:r>
    </w:p>
    <w:sectPr w:rsidR="00FC693F" w:rsidRPr="0006063C" w:rsidSect="00034616">
      <w:pgSz w:w="12240" w:h="15840"/>
      <w:pgMar w:top="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