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SPG — Module Allèles nuls</w:t>
      </w:r>
    </w:p>
    <w:p>
      <w:pPr>
        <w:spacing w:after="300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Guide utilisateur</w:t>
      </w:r>
    </w:p>
    <w:p>
      <w:pPr>
        <w:pStyle w:val="Heading1"/>
        <w:spacing w:after="150" w:before="300"/>
      </w:pPr>
      <w:r>
        <w:t xml:space="preserve">1. Codage des données manquantes par locus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Pour chaque locus, vous choisissez comment ses données manquantes doivent entrer dans l'algorithme EM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0 = donnée réellement manquante (ignorée par l'algorithme)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999999 = homozygote pour l'allèle 999 (code pour tous les allèles nuls).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 choix est appliqué comme un recodage temporaire pour le calcul, indépendamment du codage effectivement présent dans votre fichier de données (0 ou 999) : le choix que vous faites ici prime toujours.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⚠️ Assurez-vous qu'aucun allèle réel n'est déjà codé 999 dans vos données avant de choisir l'option 999999 pour un locus — sinon il sera interprété à tort comme un homozygote nul.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Exception : si une population donnée n'a aucune donnée manquante à un locus, le choix « 999999 » n'a aucun effet pour cette population précise (il n'y a rien à recoder).</w:t>
      </w:r>
    </w:p>
    <w:p>
      <w:pPr>
        <w:pStyle w:val="Heading1"/>
        <w:spacing w:after="150" w:before="300"/>
      </w:pPr>
      <w:r>
        <w:t xml:space="preserve">2. Bootstrap</w:t>
      </w:r>
    </w:p>
    <w:p>
      <w:pPr>
        <w:pStyle w:val="Heading2"/>
        <w:spacing w:after="110" w:before="220"/>
      </w:pPr>
      <w:r>
        <w:t xml:space="preserve">2.1 Bootstrap sur les loci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loci sont ré-échantillonnés avec remise (une séquence de loci ré-échantillonnés par réplicat, appliquée simultanément à toutes les statistiques). Entièrement vectorisé : 5 000 réplicats s'exécutent en quelques secondes.</w:t>
      </w:r>
    </w:p>
    <w:p>
      <w:pPr>
        <w:pStyle w:val="Heading2"/>
        <w:spacing w:after="110" w:before="220"/>
      </w:pPr>
      <w:r>
        <w:t xml:space="preserve">2.2 Bootstrap sur les sous-échantillons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sous-échantillons (populations) sont ré-échantillonnés comme des blocs entiers, avec remise — une population tirée deux fois contribue deux fois ; une population non tirée ne contribue pas à ce réplicat. C'est la même convention que celle utilisée dans les modules General stats et Subdivision.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Aucun calcul EM n'est refait pour ce bootstrap : seule la composition de l'échantillon de populations change à chaque réplicat, les estimations par locus × population déjà calculées sont réutilisées. Ceci le rend rapide même avec un grand nombre de réplicats.</w:t>
      </w:r>
    </w:p>
    <w:p>
      <w:pPr>
        <w:pStyle w:val="Heading2"/>
        <w:spacing w:after="110" w:before="220"/>
      </w:pPr>
      <w:r>
        <w:t xml:space="preserve">2.3 Niveau de confiance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niveau alpha se saisit librement (ex. 0.05 pour un intervalle à 95 %).</w:t>
      </w:r>
    </w:p>
    <w:p>
      <w:pPr>
        <w:pStyle w:val="Heading1"/>
        <w:spacing w:after="150" w:before="300"/>
      </w:pPr>
      <w:r>
        <w:t xml:space="preserve">3. Fichiers de sortie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5 fichiers sont enregistrés automatiquement au format texte tabulé (.txt) dans le dossier choisi. Le nom de chaque fichier est : racine + suffixe optionnel + description (ex. BoophilusAdultsDataCattlenull_allele_frequencies.txt). Aucune date n'est ajoutée au nom (déjà visible dans l'explorateur de fichiers) ; utilisez le suffixe optionnel pour distinguer deux analyses successives (par ex. avec un codage différent des données manquantes).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E293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300"/>
            <w:shd w:fill="1E293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null_allele_frequencies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p_nulls par locus × sous-échantillon ; moyenne pondérée par locus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global_FST_ENA_CI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FST et FST-ENA par locus et global multilocus, avec IC bootstrap (sur loci et sur sous-échantillons)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pairwise_long_format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FST, FST-ENA, DCSE, DCSE-INA par paire de sous-échantillons, tous loci combinés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per_locus_half_matrices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Demi-matrices FST/FST-ENA/DCSE/DCSE-INA, une par locus, par paire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bootstrap_distributions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Toutes les valeurs de réplicats bootstrap (sur loci et sur sous-échantillons), pour inspecter la distribution complète et non seulement ses quantiles</w:t>
            </w:r>
          </w:p>
        </w:tc>
      </w:tr>
    </w:tbl>
    <w:p>
      <w:pPr>
        <w:pStyle w:val="Heading1"/>
        <w:spacing w:after="150" w:before="300"/>
      </w:pPr>
      <w:r>
        <w:t xml:space="preserve">4. Colonnes du fichier « null_allele_frequencies »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1E293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7000"/>
            <w:shd w:fill="1E293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Locus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identifiant du locus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Subsample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identifiant du sous-échantillon (population)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Miss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codage retenu pour les données manquantes de ce locus (0 ou 999999)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p_nulls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fréquence de l'allèle nul estimée par l'EM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effectif total (génotypés + manquants)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N_blanks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 de données manquantes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N_exp_blanks</w:t>
            </w:r>
          </w:p>
        </w:tc>
        <w:tc>
          <w:tcPr>
            <w:tcW w:type="dxa" w:w="7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 attendu d'homozygotes nuls = N × p_nulls²</w:t>
            </w:r>
          </w:p>
        </w:tc>
      </w:tr>
    </w:tbl>
    <w:p>
      <w:pPr>
        <w:pStyle w:val="Heading1"/>
        <w:spacing w:after="150" w:before="300"/>
      </w:pPr>
      <w:r>
        <w:t xml:space="preserve">5. Note statistique — bootstrap sur sous-échantillons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version antérieure de ce module ré-échantillonnait les individus à l'intérieur de chaque population plutôt que les populations elles-mêmes. Cette méthode produisait parfois une estimation observée légèrement en dehors de son propre intervalle de confiance bootstrap, ce qui n'est pas cohérent avec un bootstrap bien construit. La méthode a été corrigée pour ré-échantillonner les populations comme blocs entiers, conformément à la convention déjà utilisée dans les modules General stats et Subdivision. L'estimation observée se retrouve désormais bien à l'intérieur de son intervalle de confiance, comme attendu.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2026-08-06T10:58:36.560Z</dcterms:created>
  <dcterms:modified xsi:type="dcterms:W3CDTF">2026-08-06T10:58:36.577Z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