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color w:val="000000"/>
          <w:sz w:val="30"/>
        </w:rPr>
        <w:t>ARCHITECTURE SELECTION AND JUSTIFICATION</w:t>
      </w:r>
    </w:p>
    <w:p>
      <w:pPr>
        <w:spacing w:after="40" w:line="276" w:lineRule="auto"/>
      </w:pPr>
      <w:r>
        <w:rPr>
          <w:rFonts w:ascii="Times New Roman" w:hAnsi="Times New Roman"/>
          <w:b/>
          <w:color w:val="000000"/>
          <w:sz w:val="22"/>
        </w:rPr>
        <w:t>Project:</w:t>
      </w:r>
      <w:r>
        <w:rPr>
          <w:rFonts w:ascii="Times New Roman" w:hAnsi="Times New Roman"/>
          <w:color w:val="000000"/>
          <w:sz w:val="22"/>
        </w:rPr>
        <w:t xml:space="preserve"> Remote Patient Vitals Alert &amp; Monitoring App</w:t>
      </w:r>
    </w:p>
    <w:p>
      <w:pPr>
        <w:spacing w:after="40" w:line="276" w:lineRule="auto"/>
      </w:pPr>
      <w:r>
        <w:rPr>
          <w:rFonts w:ascii="Times New Roman" w:hAnsi="Times New Roman"/>
          <w:b/>
          <w:color w:val="000000"/>
          <w:sz w:val="22"/>
        </w:rPr>
        <w:t>Problem Statement:</w:t>
      </w:r>
      <w:r>
        <w:rPr>
          <w:rFonts w:ascii="Times New Roman" w:hAnsi="Times New Roman"/>
          <w:color w:val="000000"/>
          <w:sz w:val="22"/>
        </w:rPr>
        <w:t xml:space="preserve"> #16</w:t>
      </w:r>
    </w:p>
    <w:p>
      <w:pPr>
        <w:spacing w:after="40" w:line="276" w:lineRule="auto"/>
      </w:pPr>
      <w:r>
        <w:rPr>
          <w:rFonts w:ascii="Times New Roman" w:hAnsi="Times New Roman"/>
          <w:b/>
          <w:color w:val="000000"/>
          <w:sz w:val="22"/>
        </w:rPr>
        <w:t>Student SRN:</w:t>
      </w:r>
      <w:r>
        <w:rPr>
          <w:rFonts w:ascii="Times New Roman" w:hAnsi="Times New Roman"/>
          <w:color w:val="000000"/>
          <w:sz w:val="22"/>
        </w:rPr>
        <w:t xml:space="preserve"> PES1UG24CS444</w:t>
      </w:r>
    </w:p>
    <w:p>
      <w:pPr>
        <w:spacing w:after="40" w:line="276" w:lineRule="auto"/>
      </w:pPr>
      <w:r>
        <w:rPr>
          <w:rFonts w:ascii="Times New Roman" w:hAnsi="Times New Roman"/>
          <w:b/>
          <w:color w:val="000000"/>
          <w:sz w:val="22"/>
        </w:rPr>
        <w:t>Selected Architecture:</w:t>
      </w:r>
      <w:r>
        <w:rPr>
          <w:rFonts w:ascii="Times New Roman" w:hAnsi="Times New Roman"/>
          <w:color w:val="000000"/>
          <w:sz w:val="22"/>
        </w:rPr>
        <w:t xml:space="preserve"> Microservices Architecture</w:t>
      </w:r>
    </w:p>
    <w:p>
      <w:pPr>
        <w:spacing w:after="80"/>
      </w:pPr>
    </w:p>
    <w:p>
      <w:pPr>
        <w:spacing w:before="200" w:after="60"/>
      </w:pPr>
      <w:r>
        <w:rPr>
          <w:rFonts w:ascii="Times New Roman" w:hAnsi="Times New Roman"/>
          <w:b/>
          <w:color w:val="000000"/>
          <w:sz w:val="24"/>
        </w:rPr>
        <w:t>Architecture Selection</w:t>
      </w:r>
    </w:p>
    <w:p>
      <w:pPr>
        <w:spacing w:after="100" w:line="276" w:lineRule="auto"/>
      </w:pPr>
      <w:r>
        <w:rPr>
          <w:rFonts w:ascii="Times New Roman" w:hAnsi="Times New Roman"/>
          <w:color w:val="000000"/>
          <w:sz w:val="22"/>
        </w:rPr>
        <w:t>Microservices Architecture was chosen for the Remote Patient Vitals Alert &amp; Monitoring App. The system is divided into independently manageable services for telemetry ingestion, vital monitoring and detection, clinical threshold management, alert generation and escalation, caregiver interaction, and emergency dispatch integration.</w:t>
      </w:r>
    </w:p>
    <w:p>
      <w:pPr>
        <w:spacing w:before="200" w:after="60"/>
      </w:pPr>
      <w:r>
        <w:rPr>
          <w:rFonts w:ascii="Times New Roman" w:hAnsi="Times New Roman"/>
          <w:b/>
          <w:color w:val="000000"/>
          <w:sz w:val="24"/>
        </w:rPr>
        <w:t>Reasons for Selection</w:t>
      </w:r>
    </w:p>
    <w:p>
      <w:pPr>
        <w:spacing w:after="100" w:line="276" w:lineRule="auto"/>
      </w:pPr>
      <w:r>
        <w:rPr>
          <w:rFonts w:ascii="Times New Roman" w:hAnsi="Times New Roman"/>
          <w:color w:val="000000"/>
          <w:sz w:val="22"/>
        </w:rPr>
        <w:t>1. Independent scaling for continuous telemetry processing</w:t>
        <w:br/>
        <w:br/>
        <w:t>The system must support at least 500 concurrent continuous telemetry streams while continuously evaluating patient vitals. Separating telemetry ingestion and vital monitoring into dedicated services allows these functions to be scaled independently as the number of telemetry streams increases.</w:t>
      </w:r>
    </w:p>
    <w:p>
      <w:pPr>
        <w:spacing w:after="100" w:line="276" w:lineRule="auto"/>
      </w:pPr>
      <w:r>
        <w:rPr>
          <w:rFonts w:ascii="Times New Roman" w:hAnsi="Times New Roman"/>
          <w:color w:val="000000"/>
          <w:sz w:val="22"/>
        </w:rPr>
        <w:t>2. Fault isolation for critical alert handling</w:t>
        <w:br/>
        <w:br/>
        <w:t>The application contains time-critical alert and escalation functions. Separating alert generation and escalation from other services reduces the impact of failures in non-critical components and allows critical alert processing to remain independently managed.</w:t>
      </w:r>
    </w:p>
    <w:p>
      <w:pPr>
        <w:spacing w:before="200" w:after="60"/>
      </w:pPr>
      <w:r>
        <w:rPr>
          <w:rFonts w:ascii="Times New Roman" w:hAnsi="Times New Roman"/>
          <w:b/>
          <w:color w:val="000000"/>
          <w:sz w:val="24"/>
        </w:rPr>
        <w:t>Security Advantage</w:t>
      </w:r>
    </w:p>
    <w:p>
      <w:pPr>
        <w:spacing w:after="100" w:line="276" w:lineRule="auto"/>
      </w:pPr>
      <w:r>
        <w:rPr>
          <w:rFonts w:ascii="Times New Roman" w:hAnsi="Times New Roman"/>
          <w:color w:val="000000"/>
          <w:sz w:val="22"/>
        </w:rPr>
        <w:t>Microservices provide separate service boundaries where authentication and authorization controls can be enforced. Access to sensitive patient information can be restricted to authorized services and users, while communication between services can use encrypted connections. This supports the requirement for protected patient data, encryption, and role-based access control.</w:t>
      </w:r>
    </w:p>
    <w:p>
      <w:pPr>
        <w:spacing w:before="200" w:after="60"/>
      </w:pPr>
      <w:r>
        <w:rPr>
          <w:rFonts w:ascii="Times New Roman" w:hAnsi="Times New Roman"/>
          <w:b/>
          <w:color w:val="000000"/>
          <w:sz w:val="24"/>
        </w:rPr>
        <w:t>Performance Benefit</w:t>
      </w:r>
    </w:p>
    <w:p>
      <w:pPr>
        <w:spacing w:after="100" w:line="276" w:lineRule="auto"/>
      </w:pPr>
      <w:r>
        <w:rPr>
          <w:rFonts w:ascii="Times New Roman" w:hAnsi="Times New Roman"/>
          <w:color w:val="000000"/>
          <w:sz w:val="22"/>
        </w:rPr>
        <w:t>Telemetry ingestion and anomaly detection can operate independently of the caregiver dashboard. Incoming vital readings can therefore be evaluated and critical anomalies processed without depending on dashboard interaction. This supports the requirement to identify critical anomalies within 2 seconds. Actual latency and throughput would need to be verified through implementation and testing.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