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proofErr w:type="spellStart"/>
            <w:r>
              <w:rPr>
                <w:lang w:val="nl-NL"/>
              </w:rPr>
              <w:t>Releasenotes</w:t>
            </w:r>
            <w:proofErr w:type="spellEnd"/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1F08E9" w:rsidP="00FD03EC">
            <w:pPr>
              <w:pStyle w:val="Datum"/>
            </w:pPr>
            <w:bookmarkStart w:id="2" w:name="bmDatum"/>
            <w:bookmarkEnd w:id="2"/>
            <w:r>
              <w:t>mei</w:t>
            </w:r>
            <w:r w:rsidR="00FD03EC">
              <w:t xml:space="preserve"> </w:t>
            </w:r>
            <w:r w:rsidR="00D678D2">
              <w:t>201</w:t>
            </w:r>
            <w:r>
              <w:t>7</w:t>
            </w: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4078AA" w:rsidRPr="008D210A" w:rsidTr="00AA1784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4078AA" w:rsidRPr="008D210A" w:rsidRDefault="004078AA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8AA" w:rsidRPr="002A57A6" w:rsidRDefault="004078AA" w:rsidP="001F08E9">
            <w:pPr>
              <w:spacing w:before="60"/>
              <w:rPr>
                <w:i/>
              </w:rPr>
            </w:pPr>
            <w:r>
              <w:rPr>
                <w:i/>
              </w:rPr>
              <w:t xml:space="preserve">BLG </w:t>
            </w:r>
            <w:proofErr w:type="spellStart"/>
            <w:r>
              <w:rPr>
                <w:i/>
              </w:rPr>
              <w:t>stylesheetnummer</w:t>
            </w:r>
            <w:proofErr w:type="spellEnd"/>
            <w:r>
              <w:rPr>
                <w:i/>
              </w:rPr>
              <w:t xml:space="preserve"> </w:t>
            </w:r>
            <w:r w:rsidR="00D20E3E" w:rsidRPr="00DC7652">
              <w:rPr>
                <w:szCs w:val="18"/>
              </w:rPr>
              <w:t>20151101000014</w:t>
            </w:r>
            <w:r w:rsidR="00D20E3E">
              <w:rPr>
                <w:szCs w:val="18"/>
              </w:rPr>
              <w:t xml:space="preserve"> </w:t>
            </w:r>
            <w:r>
              <w:rPr>
                <w:i/>
              </w:rPr>
              <w:t xml:space="preserve">implementatienummer </w:t>
            </w:r>
            <w:r w:rsidR="00C03D53">
              <w:rPr>
                <w:i/>
              </w:rPr>
              <w:t>3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1F08E9" w:rsidP="00811E8D">
            <w:pPr>
              <w:spacing w:before="60"/>
              <w:rPr>
                <w:i/>
              </w:rPr>
            </w:pPr>
            <w:r>
              <w:rPr>
                <w:i/>
              </w:rPr>
              <w:t>mei</w:t>
            </w:r>
            <w:r w:rsidR="00D678D2">
              <w:rPr>
                <w:i/>
              </w:rPr>
              <w:t xml:space="preserve"> 201</w:t>
            </w:r>
            <w:r>
              <w:rPr>
                <w:i/>
              </w:rPr>
              <w:t>7</w:t>
            </w:r>
          </w:p>
        </w:tc>
      </w:tr>
      <w:tr w:rsidR="0067244A" w:rsidRPr="008D210A" w:rsidTr="0054123B"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  <w:r>
        <w:rPr>
          <w:b/>
          <w:sz w:val="20"/>
        </w:rPr>
        <w:t>Wijzigingen</w:t>
      </w:r>
    </w:p>
    <w:p w:rsidR="00267618" w:rsidRDefault="00267618" w:rsidP="0032415F">
      <w:pPr>
        <w:ind w:hanging="180"/>
      </w:pPr>
    </w:p>
    <w:p w:rsidR="00FD03EC" w:rsidRPr="006B2BF6" w:rsidRDefault="001F08E9" w:rsidP="00FD03EC">
      <w:pPr>
        <w:numPr>
          <w:ilvl w:val="0"/>
          <w:numId w:val="22"/>
        </w:numPr>
        <w:snapToGrid w:val="0"/>
        <w:rPr>
          <w:b/>
          <w:snapToGrid/>
          <w:color w:val="000080"/>
        </w:rPr>
      </w:pPr>
      <w:r>
        <w:rPr>
          <w:b/>
          <w:snapToGrid/>
          <w:color w:val="000080"/>
        </w:rPr>
        <w:t>Adrescontrole</w:t>
      </w:r>
      <w:r w:rsidR="002C510A">
        <w:rPr>
          <w:b/>
          <w:snapToGrid/>
          <w:color w:val="000080"/>
        </w:rPr>
        <w:t xml:space="preserve"> Volksbank, aanpassing BLG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FD03EC" w:rsidTr="009B423C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03EC" w:rsidRDefault="00FD03EC" w:rsidP="009B423C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03EC" w:rsidRDefault="00FD03EC" w:rsidP="009B423C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03EC" w:rsidRDefault="00FD03EC" w:rsidP="009B423C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FD03EC" w:rsidRPr="00A25F5B" w:rsidTr="001F08E9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8E9" w:rsidRDefault="001F08E9" w:rsidP="001F08E9">
            <w:pPr>
              <w:rPr>
                <w:rFonts w:cs="Arial"/>
                <w:kern w:val="0"/>
                <w:szCs w:val="18"/>
              </w:rPr>
            </w:pPr>
            <w:r w:rsidRPr="001F08E9">
              <w:rPr>
                <w:rFonts w:cs="Arial"/>
                <w:kern w:val="0"/>
                <w:szCs w:val="18"/>
              </w:rPr>
              <w:t xml:space="preserve">AA-3386 en </w:t>
            </w:r>
          </w:p>
          <w:p w:rsidR="00FD03EC" w:rsidRDefault="001F08E9" w:rsidP="001F08E9">
            <w:pPr>
              <w:rPr>
                <w:rFonts w:cs="Arial"/>
                <w:kern w:val="0"/>
                <w:szCs w:val="18"/>
              </w:rPr>
            </w:pPr>
            <w:r w:rsidRPr="001F08E9">
              <w:rPr>
                <w:rFonts w:cs="Arial"/>
                <w:kern w:val="0"/>
                <w:szCs w:val="18"/>
              </w:rPr>
              <w:t>AA-3415</w:t>
            </w:r>
          </w:p>
        </w:tc>
        <w:tc>
          <w:tcPr>
            <w:tcW w:w="527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0E3E" w:rsidRPr="00E95857" w:rsidRDefault="001F08E9" w:rsidP="001F08E9">
            <w:pPr>
              <w:rPr>
                <w:rFonts w:cs="Arial"/>
                <w:kern w:val="0"/>
                <w:szCs w:val="18"/>
              </w:rPr>
            </w:pPr>
            <w:r w:rsidRPr="001F08E9">
              <w:rPr>
                <w:rFonts w:cs="Arial"/>
                <w:kern w:val="0"/>
                <w:szCs w:val="18"/>
              </w:rPr>
              <w:t>Controle</w:t>
            </w:r>
            <w:r>
              <w:rPr>
                <w:rFonts w:cs="Arial"/>
                <w:kern w:val="0"/>
                <w:szCs w:val="18"/>
              </w:rPr>
              <w:t xml:space="preserve"> met ingang van</w:t>
            </w:r>
            <w:r w:rsidRPr="001F08E9">
              <w:rPr>
                <w:rFonts w:cs="Arial"/>
                <w:kern w:val="0"/>
                <w:szCs w:val="18"/>
              </w:rPr>
              <w:t xml:space="preserve"> 1 juni 2017 </w:t>
            </w:r>
            <w:r>
              <w:rPr>
                <w:rFonts w:cs="Arial"/>
                <w:kern w:val="0"/>
                <w:szCs w:val="18"/>
              </w:rPr>
              <w:t xml:space="preserve">op het correcte </w:t>
            </w:r>
            <w:r w:rsidRPr="001F08E9">
              <w:rPr>
                <w:rFonts w:cs="Arial"/>
                <w:kern w:val="0"/>
                <w:szCs w:val="18"/>
              </w:rPr>
              <w:t xml:space="preserve">adres </w:t>
            </w:r>
            <w:r>
              <w:rPr>
                <w:rFonts w:cs="Arial"/>
                <w:kern w:val="0"/>
                <w:szCs w:val="18"/>
              </w:rPr>
              <w:t xml:space="preserve">van de </w:t>
            </w:r>
            <w:r w:rsidRPr="001F08E9">
              <w:rPr>
                <w:rFonts w:cs="Arial"/>
                <w:kern w:val="0"/>
                <w:szCs w:val="18"/>
              </w:rPr>
              <w:t xml:space="preserve">Volksbank </w:t>
            </w:r>
            <w:r>
              <w:rPr>
                <w:rFonts w:cs="Arial"/>
                <w:kern w:val="0"/>
                <w:szCs w:val="18"/>
              </w:rPr>
              <w:t xml:space="preserve">toegevoegd </w:t>
            </w:r>
            <w:r w:rsidRPr="001F08E9">
              <w:rPr>
                <w:rFonts w:cs="Arial"/>
                <w:kern w:val="0"/>
                <w:szCs w:val="18"/>
              </w:rPr>
              <w:t xml:space="preserve">voor </w:t>
            </w:r>
            <w:r>
              <w:rPr>
                <w:rFonts w:cs="Arial"/>
                <w:kern w:val="0"/>
                <w:szCs w:val="18"/>
              </w:rPr>
              <w:t>zowel Hypotheek als</w:t>
            </w:r>
            <w:r w:rsidRPr="001F08E9">
              <w:rPr>
                <w:rFonts w:cs="Arial"/>
                <w:kern w:val="0"/>
                <w:szCs w:val="18"/>
              </w:rPr>
              <w:t xml:space="preserve"> Doorhaling</w:t>
            </w:r>
            <w:r>
              <w:rPr>
                <w:rFonts w:cs="Arial"/>
                <w:kern w:val="0"/>
                <w:szCs w:val="18"/>
              </w:rPr>
              <w:t xml:space="preserve"> Hypotheek. </w:t>
            </w:r>
            <w:r w:rsidR="00D20E3E">
              <w:rPr>
                <w:rFonts w:cs="Arial"/>
                <w:kern w:val="0"/>
                <w:szCs w:val="18"/>
              </w:rPr>
              <w:t>Hier is in principe geen wijziging in de software voor nodi</w:t>
            </w:r>
            <w:r w:rsidR="00837095">
              <w:rPr>
                <w:rFonts w:cs="Arial"/>
                <w:kern w:val="0"/>
                <w:szCs w:val="18"/>
              </w:rPr>
              <w:t>g</w:t>
            </w:r>
            <w:r w:rsidR="006C0763">
              <w:rPr>
                <w:rFonts w:cs="Arial"/>
                <w:kern w:val="0"/>
                <w:szCs w:val="18"/>
              </w:rPr>
              <w:t>. Er is daarmee ook g</w:t>
            </w:r>
            <w:r w:rsidR="00837095">
              <w:rPr>
                <w:rFonts w:cs="Arial"/>
                <w:kern w:val="0"/>
                <w:szCs w:val="18"/>
              </w:rPr>
              <w:t>een nieuw implementatienummer</w:t>
            </w:r>
            <w:r w:rsidR="006C0763">
              <w:rPr>
                <w:rFonts w:cs="Arial"/>
                <w:kern w:val="0"/>
                <w:szCs w:val="18"/>
              </w:rPr>
              <w:t xml:space="preserve"> van toepassing.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03EC" w:rsidRPr="001F08E9" w:rsidRDefault="001F08E9" w:rsidP="009B423C">
            <w:pPr>
              <w:rPr>
                <w:rFonts w:cs="Arial"/>
                <w:kern w:val="0"/>
                <w:szCs w:val="18"/>
              </w:rPr>
            </w:pPr>
            <w:r w:rsidRPr="001F08E9">
              <w:rPr>
                <w:rFonts w:cs="Arial"/>
                <w:kern w:val="0"/>
                <w:szCs w:val="18"/>
              </w:rPr>
              <w:t>Controle toegevoegd</w:t>
            </w:r>
            <w:r>
              <w:rPr>
                <w:rFonts w:cs="Arial"/>
                <w:kern w:val="0"/>
                <w:szCs w:val="18"/>
              </w:rPr>
              <w:t>.</w:t>
            </w:r>
          </w:p>
        </w:tc>
      </w:tr>
      <w:tr w:rsidR="001F08E9" w:rsidRPr="00A25F5B" w:rsidTr="009B423C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8E9" w:rsidRDefault="001F08E9" w:rsidP="002C510A">
            <w:pPr>
              <w:rPr>
                <w:rFonts w:cs="Arial"/>
                <w:kern w:val="0"/>
                <w:szCs w:val="18"/>
              </w:rPr>
            </w:pP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8E9" w:rsidRDefault="008A227A" w:rsidP="006C0763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 xml:space="preserve">Het correcte adres is: de Volksbank N.V. Statutair gevestigd te Utrecht </w:t>
            </w:r>
            <w:proofErr w:type="spellStart"/>
            <w:r>
              <w:rPr>
                <w:rFonts w:cs="Arial"/>
                <w:kern w:val="0"/>
                <w:szCs w:val="18"/>
              </w:rPr>
              <w:t>Croeselaan</w:t>
            </w:r>
            <w:proofErr w:type="spellEnd"/>
            <w:r>
              <w:rPr>
                <w:rFonts w:cs="Arial"/>
                <w:kern w:val="0"/>
                <w:szCs w:val="18"/>
              </w:rPr>
              <w:t xml:space="preserve"> 1, 3521 BJ Utrecht.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8E9" w:rsidRDefault="001F08E9" w:rsidP="009B423C">
            <w:pPr>
              <w:rPr>
                <w:rFonts w:cs="Arial"/>
                <w:kern w:val="0"/>
                <w:szCs w:val="18"/>
                <w:lang w:val="en-US"/>
              </w:rPr>
            </w:pPr>
          </w:p>
        </w:tc>
      </w:tr>
    </w:tbl>
    <w:p w:rsidR="00FD03EC" w:rsidRDefault="00FD03EC" w:rsidP="00FD03EC">
      <w:pPr>
        <w:snapToGrid w:val="0"/>
        <w:rPr>
          <w:b/>
          <w:color w:val="000080"/>
        </w:rPr>
      </w:pPr>
    </w:p>
    <w:p w:rsidR="00FD03EC" w:rsidRPr="00FD03EC" w:rsidRDefault="00FD03EC" w:rsidP="00FD03EC">
      <w:pPr>
        <w:numPr>
          <w:ilvl w:val="0"/>
          <w:numId w:val="22"/>
        </w:numPr>
        <w:snapToGrid w:val="0"/>
        <w:rPr>
          <w:b/>
          <w:snapToGrid/>
          <w:color w:val="000080"/>
        </w:rPr>
      </w:pPr>
      <w:r w:rsidRPr="00FD03EC"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FD03EC" w:rsidRPr="006E0817" w:rsidTr="009B423C">
        <w:tc>
          <w:tcPr>
            <w:tcW w:w="6912" w:type="dxa"/>
            <w:shd w:val="clear" w:color="auto" w:fill="D9D9D9"/>
          </w:tcPr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FD03EC" w:rsidRPr="005B055B" w:rsidTr="009B423C">
        <w:tc>
          <w:tcPr>
            <w:tcW w:w="6912" w:type="dxa"/>
            <w:shd w:val="clear" w:color="auto" w:fill="auto"/>
          </w:tcPr>
          <w:p w:rsidR="00FD03EC" w:rsidRPr="00DC734F" w:rsidRDefault="00FD03EC" w:rsidP="00FD03EC">
            <w:pPr>
              <w:rPr>
                <w:szCs w:val="18"/>
              </w:rPr>
            </w:pPr>
            <w:r w:rsidRPr="00DC734F">
              <w:rPr>
                <w:szCs w:val="18"/>
              </w:rPr>
              <w:t xml:space="preserve">Modeldocument </w:t>
            </w:r>
            <w:r>
              <w:rPr>
                <w:szCs w:val="18"/>
              </w:rPr>
              <w:t>BLG</w:t>
            </w:r>
          </w:p>
        </w:tc>
        <w:tc>
          <w:tcPr>
            <w:tcW w:w="946" w:type="dxa"/>
            <w:shd w:val="clear" w:color="auto" w:fill="auto"/>
          </w:tcPr>
          <w:p w:rsidR="00FD03EC" w:rsidRPr="001F08E9" w:rsidRDefault="002C510A" w:rsidP="002C510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F08E9">
              <w:rPr>
                <w:szCs w:val="18"/>
                <w:lang w:val="nl-NL"/>
              </w:rPr>
              <w:t>V</w:t>
            </w:r>
            <w:r w:rsidR="00D20E3E" w:rsidRPr="001F08E9">
              <w:rPr>
                <w:szCs w:val="18"/>
                <w:lang w:val="nl-NL"/>
              </w:rPr>
              <w:t>2.2.1</w:t>
            </w:r>
          </w:p>
        </w:tc>
        <w:tc>
          <w:tcPr>
            <w:tcW w:w="897" w:type="dxa"/>
            <w:shd w:val="clear" w:color="auto" w:fill="auto"/>
          </w:tcPr>
          <w:p w:rsidR="00FD03EC" w:rsidRPr="001F08E9" w:rsidRDefault="00D20E3E" w:rsidP="001F08E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F08E9">
              <w:rPr>
                <w:szCs w:val="18"/>
                <w:lang w:val="nl-NL"/>
              </w:rPr>
              <w:t>V2.1</w:t>
            </w:r>
            <w:r w:rsidR="002C510A" w:rsidRPr="001F08E9">
              <w:rPr>
                <w:szCs w:val="18"/>
                <w:lang w:val="nl-NL"/>
              </w:rPr>
              <w:t>.</w:t>
            </w:r>
            <w:r w:rsidR="001F08E9">
              <w:rPr>
                <w:szCs w:val="18"/>
                <w:lang w:val="nl-NL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FD03EC" w:rsidRPr="001F08E9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5B055B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rPr>
                <w:szCs w:val="18"/>
              </w:rPr>
            </w:pPr>
            <w:r w:rsidRPr="002C510A">
              <w:rPr>
                <w:szCs w:val="18"/>
              </w:rPr>
              <w:t xml:space="preserve">XSD </w:t>
            </w:r>
            <w:proofErr w:type="spellStart"/>
            <w:r w:rsidRPr="002C510A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v2.9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v3.3.1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v3.0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v3.6.0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83BB1" w:rsidRPr="004F0DBF" w:rsidTr="009B423C">
        <w:tc>
          <w:tcPr>
            <w:tcW w:w="6912" w:type="dxa"/>
            <w:shd w:val="clear" w:color="auto" w:fill="auto"/>
          </w:tcPr>
          <w:p w:rsidR="00083BB1" w:rsidRPr="002C510A" w:rsidRDefault="00083BB1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Tekstblok - Overbruggingshypotheek</w:t>
            </w:r>
          </w:p>
        </w:tc>
        <w:tc>
          <w:tcPr>
            <w:tcW w:w="946" w:type="dxa"/>
            <w:shd w:val="clear" w:color="auto" w:fill="auto"/>
          </w:tcPr>
          <w:p w:rsidR="00083BB1" w:rsidRPr="002C510A" w:rsidRDefault="00083BB1" w:rsidP="00083BB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v1.4</w:t>
            </w:r>
          </w:p>
        </w:tc>
        <w:tc>
          <w:tcPr>
            <w:tcW w:w="897" w:type="dxa"/>
            <w:shd w:val="clear" w:color="auto" w:fill="auto"/>
          </w:tcPr>
          <w:p w:rsidR="00083BB1" w:rsidRPr="002C510A" w:rsidRDefault="00083BB1" w:rsidP="00083BB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v1.3</w:t>
            </w:r>
          </w:p>
        </w:tc>
        <w:tc>
          <w:tcPr>
            <w:tcW w:w="425" w:type="dxa"/>
            <w:shd w:val="clear" w:color="auto" w:fill="auto"/>
          </w:tcPr>
          <w:p w:rsidR="00083BB1" w:rsidRPr="002C510A" w:rsidRDefault="00083BB1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7F40FD" w:rsidRDefault="00FD03EC" w:rsidP="00C93CEC">
      <w:pPr>
        <w:pStyle w:val="streepje"/>
        <w:numPr>
          <w:ilvl w:val="0"/>
          <w:numId w:val="0"/>
        </w:num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  <w:bookmarkStart w:id="4" w:name="_GoBack"/>
      <w:bookmarkEnd w:id="4"/>
    </w:p>
    <w:sectPr w:rsidR="007F40FD">
      <w:headerReference w:type="default" r:id="rId8"/>
      <w:headerReference w:type="first" r:id="rId9"/>
      <w:footerReference w:type="first" r:id="rId10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91B" w:rsidRDefault="00B1091B">
      <w:r>
        <w:separator/>
      </w:r>
    </w:p>
  </w:endnote>
  <w:endnote w:type="continuationSeparator" w:id="0">
    <w:p w:rsidR="00B1091B" w:rsidRDefault="00B1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2C510A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91B" w:rsidRDefault="00B1091B">
      <w:r>
        <w:separator/>
      </w:r>
    </w:p>
  </w:footnote>
  <w:footnote w:type="continuationSeparator" w:id="0">
    <w:p w:rsidR="00B1091B" w:rsidRDefault="00B109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2C510A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2C510A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7350"/>
    <w:multiLevelType w:val="hybridMultilevel"/>
    <w:tmpl w:val="27C07DBC"/>
    <w:lvl w:ilvl="0" w:tplc="3AE6E1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5004C"/>
    <w:multiLevelType w:val="hybridMultilevel"/>
    <w:tmpl w:val="08B2CDCC"/>
    <w:lvl w:ilvl="0" w:tplc="1982D95A">
      <w:start w:val="2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9"/>
  </w:num>
  <w:num w:numId="19">
    <w:abstractNumId w:val="8"/>
  </w:num>
  <w:num w:numId="20">
    <w:abstractNumId w:val="8"/>
  </w:num>
  <w:num w:numId="21">
    <w:abstractNumId w:val="7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83B4D"/>
    <w:rsid w:val="00083BB1"/>
    <w:rsid w:val="00092C0F"/>
    <w:rsid w:val="000A3C1C"/>
    <w:rsid w:val="000A42EF"/>
    <w:rsid w:val="000C053A"/>
    <w:rsid w:val="000E3351"/>
    <w:rsid w:val="00100B12"/>
    <w:rsid w:val="00107BC7"/>
    <w:rsid w:val="00116310"/>
    <w:rsid w:val="00125619"/>
    <w:rsid w:val="0015712E"/>
    <w:rsid w:val="001629E3"/>
    <w:rsid w:val="00184A3D"/>
    <w:rsid w:val="0018670E"/>
    <w:rsid w:val="00193BBC"/>
    <w:rsid w:val="00193C20"/>
    <w:rsid w:val="001A726C"/>
    <w:rsid w:val="001F08E9"/>
    <w:rsid w:val="001F3655"/>
    <w:rsid w:val="00205477"/>
    <w:rsid w:val="00226A13"/>
    <w:rsid w:val="00253F83"/>
    <w:rsid w:val="0025466D"/>
    <w:rsid w:val="00262460"/>
    <w:rsid w:val="00267618"/>
    <w:rsid w:val="0027223E"/>
    <w:rsid w:val="00296F66"/>
    <w:rsid w:val="002A57A6"/>
    <w:rsid w:val="002C510A"/>
    <w:rsid w:val="002F0967"/>
    <w:rsid w:val="0031626E"/>
    <w:rsid w:val="0032415F"/>
    <w:rsid w:val="003277BD"/>
    <w:rsid w:val="00344080"/>
    <w:rsid w:val="00363AC7"/>
    <w:rsid w:val="003768CF"/>
    <w:rsid w:val="003964A4"/>
    <w:rsid w:val="003F39FA"/>
    <w:rsid w:val="0040739A"/>
    <w:rsid w:val="004078AA"/>
    <w:rsid w:val="00433130"/>
    <w:rsid w:val="004516D5"/>
    <w:rsid w:val="004958FF"/>
    <w:rsid w:val="004B4326"/>
    <w:rsid w:val="004E630E"/>
    <w:rsid w:val="00501F22"/>
    <w:rsid w:val="0054123B"/>
    <w:rsid w:val="00573668"/>
    <w:rsid w:val="00586FFD"/>
    <w:rsid w:val="00587BBC"/>
    <w:rsid w:val="00595A28"/>
    <w:rsid w:val="005A4233"/>
    <w:rsid w:val="005C216E"/>
    <w:rsid w:val="005D78CD"/>
    <w:rsid w:val="00600791"/>
    <w:rsid w:val="0060731C"/>
    <w:rsid w:val="006365ED"/>
    <w:rsid w:val="006623AF"/>
    <w:rsid w:val="0067244A"/>
    <w:rsid w:val="006870CC"/>
    <w:rsid w:val="006B2BAC"/>
    <w:rsid w:val="006C0763"/>
    <w:rsid w:val="006C22BD"/>
    <w:rsid w:val="006D3859"/>
    <w:rsid w:val="006F5C33"/>
    <w:rsid w:val="00710074"/>
    <w:rsid w:val="00750598"/>
    <w:rsid w:val="00757FEC"/>
    <w:rsid w:val="007C24AB"/>
    <w:rsid w:val="007C712C"/>
    <w:rsid w:val="007D2A6E"/>
    <w:rsid w:val="007D6F2B"/>
    <w:rsid w:val="007F40FD"/>
    <w:rsid w:val="00811E8D"/>
    <w:rsid w:val="00837095"/>
    <w:rsid w:val="00850508"/>
    <w:rsid w:val="008540F6"/>
    <w:rsid w:val="0085540D"/>
    <w:rsid w:val="0088431E"/>
    <w:rsid w:val="008A227A"/>
    <w:rsid w:val="008A53B8"/>
    <w:rsid w:val="008B46FF"/>
    <w:rsid w:val="008B5291"/>
    <w:rsid w:val="00922F80"/>
    <w:rsid w:val="00951CEC"/>
    <w:rsid w:val="00963AAE"/>
    <w:rsid w:val="0097491D"/>
    <w:rsid w:val="00981691"/>
    <w:rsid w:val="009A46D2"/>
    <w:rsid w:val="009B125F"/>
    <w:rsid w:val="009B423C"/>
    <w:rsid w:val="009D08C7"/>
    <w:rsid w:val="009E732A"/>
    <w:rsid w:val="009F5B84"/>
    <w:rsid w:val="00A53765"/>
    <w:rsid w:val="00A76AA9"/>
    <w:rsid w:val="00A92105"/>
    <w:rsid w:val="00AA1784"/>
    <w:rsid w:val="00AB1F8B"/>
    <w:rsid w:val="00AB549B"/>
    <w:rsid w:val="00AC3EF7"/>
    <w:rsid w:val="00B1091B"/>
    <w:rsid w:val="00B15015"/>
    <w:rsid w:val="00B213B8"/>
    <w:rsid w:val="00B256ED"/>
    <w:rsid w:val="00B3035F"/>
    <w:rsid w:val="00B4199A"/>
    <w:rsid w:val="00B424B0"/>
    <w:rsid w:val="00B57389"/>
    <w:rsid w:val="00B62DD6"/>
    <w:rsid w:val="00BA66B0"/>
    <w:rsid w:val="00BD0E0F"/>
    <w:rsid w:val="00BD5067"/>
    <w:rsid w:val="00C015BF"/>
    <w:rsid w:val="00C03D53"/>
    <w:rsid w:val="00C212CD"/>
    <w:rsid w:val="00C26160"/>
    <w:rsid w:val="00C47E44"/>
    <w:rsid w:val="00C52245"/>
    <w:rsid w:val="00C6007C"/>
    <w:rsid w:val="00C73700"/>
    <w:rsid w:val="00C8038D"/>
    <w:rsid w:val="00C91155"/>
    <w:rsid w:val="00C93CEC"/>
    <w:rsid w:val="00C974B1"/>
    <w:rsid w:val="00CD547A"/>
    <w:rsid w:val="00D15122"/>
    <w:rsid w:val="00D20E3E"/>
    <w:rsid w:val="00D31BA0"/>
    <w:rsid w:val="00D37FF2"/>
    <w:rsid w:val="00D44F9C"/>
    <w:rsid w:val="00D50E8C"/>
    <w:rsid w:val="00D678D2"/>
    <w:rsid w:val="00DB5DB1"/>
    <w:rsid w:val="00DC280B"/>
    <w:rsid w:val="00DE3271"/>
    <w:rsid w:val="00E305A8"/>
    <w:rsid w:val="00E53AC2"/>
    <w:rsid w:val="00E5583F"/>
    <w:rsid w:val="00E94674"/>
    <w:rsid w:val="00EA0FAA"/>
    <w:rsid w:val="00EC0CA7"/>
    <w:rsid w:val="00FD03EC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220529-AD79-4AA0-B5B1-082BC777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Verwijzingopmerking">
    <w:name w:val="annotation reference"/>
    <w:rsid w:val="00FD03EC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FD03EC"/>
    <w:rPr>
      <w:sz w:val="20"/>
    </w:rPr>
  </w:style>
  <w:style w:type="character" w:customStyle="1" w:styleId="TekstopmerkingChar">
    <w:name w:val="Tekst opmerking Char"/>
    <w:link w:val="Tekstopmerking"/>
    <w:rsid w:val="00FD03EC"/>
    <w:rPr>
      <w:rFonts w:ascii="Arial" w:hAnsi="Arial"/>
      <w:snapToGrid w:val="0"/>
      <w:kern w:val="28"/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FD03EC"/>
    <w:rPr>
      <w:b/>
      <w:bCs/>
    </w:rPr>
  </w:style>
  <w:style w:type="character" w:customStyle="1" w:styleId="OnderwerpvanopmerkingChar">
    <w:name w:val="Onderwerp van opmerking Char"/>
    <w:link w:val="Onderwerpvanopmerking"/>
    <w:rsid w:val="00FD03EC"/>
    <w:rPr>
      <w:rFonts w:ascii="Arial" w:hAnsi="Arial"/>
      <w:b/>
      <w:bCs/>
      <w:snapToGrid w:val="0"/>
      <w:kern w:val="28"/>
      <w:lang w:eastAsia="en-US"/>
    </w:rPr>
  </w:style>
  <w:style w:type="paragraph" w:styleId="Ballontekst">
    <w:name w:val="Balloon Text"/>
    <w:basedOn w:val="Standaard"/>
    <w:link w:val="BallontekstChar"/>
    <w:rsid w:val="00FD03E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link w:val="Ballontekst"/>
    <w:rsid w:val="00FD03EC"/>
    <w:rPr>
      <w:rFonts w:ascii="Segoe UI" w:hAnsi="Segoe UI" w:cs="Segoe UI"/>
      <w:snapToGrid w:val="0"/>
      <w:kern w:val="28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04E92-633E-4136-B798-84D716C35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28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Manen, Ivar van</cp:lastModifiedBy>
  <cp:revision>12</cp:revision>
  <cp:lastPrinted>1899-12-31T23:00:00Z</cp:lastPrinted>
  <dcterms:created xsi:type="dcterms:W3CDTF">2016-11-30T13:02:00Z</dcterms:created>
  <dcterms:modified xsi:type="dcterms:W3CDTF">2017-05-19T09:16:00Z</dcterms:modified>
</cp:coreProperties>
</file>