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6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4140"/>
      </w:tblGrid>
      <w:tr w:rsidR="00267618" w:rsidRPr="00981691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4140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proofErr w:type="spellStart"/>
            <w:r>
              <w:rPr>
                <w:lang w:val="nl-NL"/>
              </w:rPr>
              <w:t>Releasenotes</w:t>
            </w:r>
            <w:proofErr w:type="spellEnd"/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4140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>
        <w:tc>
          <w:tcPr>
            <w:tcW w:w="5470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4140" w:type="dxa"/>
          </w:tcPr>
          <w:p w:rsidR="00B57389" w:rsidRPr="00981691" w:rsidRDefault="002C510A" w:rsidP="00FD03EC">
            <w:pPr>
              <w:pStyle w:val="Datum"/>
            </w:pPr>
            <w:bookmarkStart w:id="2" w:name="bmDatum"/>
            <w:bookmarkEnd w:id="2"/>
            <w:r>
              <w:t>December</w:t>
            </w:r>
            <w:r w:rsidR="00FD03EC">
              <w:t xml:space="preserve"> </w:t>
            </w:r>
            <w:r w:rsidR="00D678D2">
              <w:t>2016</w:t>
            </w: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>
        <w:tc>
          <w:tcPr>
            <w:tcW w:w="5470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4140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676" w:type="dxa"/>
        <w:tblLayout w:type="fixed"/>
        <w:tblLook w:val="0000" w:firstRow="0" w:lastRow="0" w:firstColumn="0" w:lastColumn="0" w:noHBand="0" w:noVBand="0"/>
      </w:tblPr>
      <w:tblGrid>
        <w:gridCol w:w="1908"/>
        <w:gridCol w:w="7768"/>
      </w:tblGrid>
      <w:tr w:rsidR="0067244A" w:rsidRPr="0021335B" w:rsidTr="00193BBC">
        <w:trPr>
          <w:trHeight w:hRule="exact" w:val="441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4078AA" w:rsidRPr="008D210A" w:rsidTr="00AA1784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4078AA" w:rsidRPr="008D210A" w:rsidRDefault="004078AA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8AA" w:rsidRPr="002A57A6" w:rsidRDefault="004078AA" w:rsidP="002C510A">
            <w:pPr>
              <w:spacing w:before="60"/>
              <w:rPr>
                <w:i/>
              </w:rPr>
            </w:pPr>
            <w:r>
              <w:rPr>
                <w:i/>
              </w:rPr>
              <w:t xml:space="preserve">BLG </w:t>
            </w:r>
            <w:proofErr w:type="spellStart"/>
            <w:r>
              <w:rPr>
                <w:i/>
              </w:rPr>
              <w:t>stylesheetnummer</w:t>
            </w:r>
            <w:proofErr w:type="spellEnd"/>
            <w:r>
              <w:rPr>
                <w:i/>
              </w:rPr>
              <w:t xml:space="preserve"> </w:t>
            </w:r>
            <w:r w:rsidR="00D20E3E" w:rsidRPr="00DC7652">
              <w:rPr>
                <w:szCs w:val="18"/>
              </w:rPr>
              <w:t>20151101000014</w:t>
            </w:r>
            <w:r w:rsidR="00D20E3E">
              <w:rPr>
                <w:szCs w:val="18"/>
              </w:rPr>
              <w:t xml:space="preserve"> </w:t>
            </w:r>
            <w:r>
              <w:rPr>
                <w:i/>
              </w:rPr>
              <w:t xml:space="preserve">implementatienummer </w:t>
            </w:r>
            <w:r w:rsidR="00D20E3E">
              <w:rPr>
                <w:i/>
              </w:rPr>
              <w:t>3</w:t>
            </w:r>
          </w:p>
        </w:tc>
      </w:tr>
      <w:tr w:rsidR="00D15122" w:rsidRPr="008D210A" w:rsidTr="00D15122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solid" w:color="C0C0C0" w:fill="auto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7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2C510A" w:rsidP="00811E8D">
            <w:pPr>
              <w:spacing w:before="60"/>
              <w:rPr>
                <w:i/>
              </w:rPr>
            </w:pPr>
            <w:r>
              <w:rPr>
                <w:i/>
              </w:rPr>
              <w:t>december</w:t>
            </w:r>
            <w:r w:rsidR="00D678D2">
              <w:rPr>
                <w:i/>
              </w:rPr>
              <w:t xml:space="preserve"> 2016</w:t>
            </w:r>
            <w:bookmarkStart w:id="3" w:name="_GoBack"/>
            <w:bookmarkEnd w:id="3"/>
          </w:p>
        </w:tc>
      </w:tr>
      <w:tr w:rsidR="0067244A" w:rsidRPr="008D210A" w:rsidTr="0054123B">
        <w:trPr>
          <w:trHeight w:val="326"/>
        </w:trPr>
        <w:tc>
          <w:tcPr>
            <w:tcW w:w="9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4078AA" w:rsidRDefault="004078AA" w:rsidP="0067244A">
      <w:pPr>
        <w:pBdr>
          <w:bottom w:val="single" w:sz="6" w:space="1" w:color="auto"/>
        </w:pBdr>
        <w:rPr>
          <w:b/>
          <w:sz w:val="20"/>
        </w:rPr>
      </w:pPr>
      <w:bookmarkStart w:id="4" w:name="bmStartpunt"/>
      <w:bookmarkEnd w:id="4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267618" w:rsidRDefault="00267618" w:rsidP="0032415F">
      <w:pPr>
        <w:ind w:hanging="180"/>
      </w:pPr>
    </w:p>
    <w:p w:rsidR="00FD03EC" w:rsidRPr="006B2BF6" w:rsidRDefault="002C510A" w:rsidP="00FD03EC">
      <w:pPr>
        <w:numPr>
          <w:ilvl w:val="0"/>
          <w:numId w:val="22"/>
        </w:numPr>
        <w:snapToGrid w:val="0"/>
        <w:rPr>
          <w:b/>
          <w:snapToGrid/>
          <w:color w:val="000080"/>
        </w:rPr>
      </w:pPr>
      <w:r>
        <w:rPr>
          <w:b/>
          <w:snapToGrid/>
          <w:color w:val="000080"/>
        </w:rPr>
        <w:t>Fusie Volksbank, aanpassing BLG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FD03EC" w:rsidTr="009B423C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Default="00FD03EC" w:rsidP="009B42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Default="00FD03EC" w:rsidP="009B42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Default="00FD03EC" w:rsidP="009B423C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FD03EC" w:rsidRPr="00A25F5B" w:rsidTr="009B423C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Default="00FD03EC" w:rsidP="002C510A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AA-</w:t>
            </w:r>
            <w:r w:rsidR="002C510A">
              <w:rPr>
                <w:rFonts w:cs="Arial"/>
                <w:kern w:val="0"/>
                <w:szCs w:val="18"/>
              </w:rPr>
              <w:t>3145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0E3E" w:rsidRPr="00E95857" w:rsidRDefault="002C510A" w:rsidP="006C0763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In de toelichting in het modeldocument zelf is aangegeven welke adre</w:t>
            </w:r>
            <w:r w:rsidR="00A53765">
              <w:rPr>
                <w:rFonts w:cs="Arial"/>
                <w:kern w:val="0"/>
                <w:szCs w:val="18"/>
              </w:rPr>
              <w:t>sgegevens en naam van toepassing zijn na de fusie</w:t>
            </w:r>
            <w:r>
              <w:rPr>
                <w:rFonts w:cs="Arial"/>
                <w:kern w:val="0"/>
                <w:szCs w:val="18"/>
              </w:rPr>
              <w:t>.</w:t>
            </w:r>
            <w:r w:rsidR="00D20E3E">
              <w:rPr>
                <w:rFonts w:cs="Arial"/>
                <w:kern w:val="0"/>
                <w:szCs w:val="18"/>
              </w:rPr>
              <w:t xml:space="preserve"> Hier is in principe dan ook geen wijziging in de software voor nodi</w:t>
            </w:r>
            <w:r w:rsidR="00837095">
              <w:rPr>
                <w:rFonts w:cs="Arial"/>
                <w:kern w:val="0"/>
                <w:szCs w:val="18"/>
              </w:rPr>
              <w:t>g</w:t>
            </w:r>
            <w:r w:rsidR="006C0763">
              <w:rPr>
                <w:rFonts w:cs="Arial"/>
                <w:kern w:val="0"/>
                <w:szCs w:val="18"/>
              </w:rPr>
              <w:t>. Er is daarmee ook g</w:t>
            </w:r>
            <w:r w:rsidR="00837095">
              <w:rPr>
                <w:rFonts w:cs="Arial"/>
                <w:kern w:val="0"/>
                <w:szCs w:val="18"/>
              </w:rPr>
              <w:t>een nieuw implementatienummer</w:t>
            </w:r>
            <w:r w:rsidR="006C0763">
              <w:rPr>
                <w:rFonts w:cs="Arial"/>
                <w:kern w:val="0"/>
                <w:szCs w:val="18"/>
              </w:rPr>
              <w:t xml:space="preserve"> van toepassing.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03EC" w:rsidRPr="00A25F5B" w:rsidRDefault="002C510A" w:rsidP="009B423C">
            <w:pPr>
              <w:rPr>
                <w:rFonts w:cs="Arial"/>
                <w:kern w:val="0"/>
                <w:szCs w:val="18"/>
                <w:lang w:val="en-US"/>
              </w:rPr>
            </w:pP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Modeldocument</w:t>
            </w:r>
            <w:proofErr w:type="spellEnd"/>
            <w:r w:rsidR="00D20E3E">
              <w:rPr>
                <w:rFonts w:cs="Arial"/>
                <w:kern w:val="0"/>
                <w:szCs w:val="18"/>
                <w:lang w:val="en-US"/>
              </w:rPr>
              <w:t xml:space="preserve">, </w:t>
            </w:r>
            <w:proofErr w:type="spellStart"/>
            <w:r w:rsidR="00D20E3E">
              <w:rPr>
                <w:rFonts w:cs="Arial"/>
                <w:kern w:val="0"/>
                <w:szCs w:val="18"/>
                <w:lang w:val="en-US"/>
              </w:rPr>
              <w:t>Toelichting</w:t>
            </w:r>
            <w:proofErr w:type="spellEnd"/>
          </w:p>
        </w:tc>
      </w:tr>
    </w:tbl>
    <w:p w:rsidR="00FD03EC" w:rsidRDefault="00FD03EC" w:rsidP="00FD03EC">
      <w:pPr>
        <w:snapToGrid w:val="0"/>
        <w:rPr>
          <w:b/>
          <w:snapToGrid/>
          <w:color w:val="000080"/>
          <w:lang w:val="en-US"/>
        </w:rPr>
      </w:pPr>
    </w:p>
    <w:p w:rsidR="00FD03EC" w:rsidRDefault="00FD03EC" w:rsidP="00FD03EC">
      <w:pPr>
        <w:snapToGrid w:val="0"/>
        <w:rPr>
          <w:b/>
          <w:color w:val="000080"/>
        </w:rPr>
      </w:pPr>
    </w:p>
    <w:p w:rsidR="00FD03EC" w:rsidRPr="00FD03EC" w:rsidRDefault="00FD03EC" w:rsidP="00FD03EC">
      <w:pPr>
        <w:numPr>
          <w:ilvl w:val="0"/>
          <w:numId w:val="22"/>
        </w:numPr>
        <w:snapToGrid w:val="0"/>
        <w:rPr>
          <w:b/>
          <w:snapToGrid/>
          <w:color w:val="000080"/>
        </w:rPr>
      </w:pPr>
      <w:r w:rsidRPr="00FD03EC"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FD03EC" w:rsidRPr="006E0817" w:rsidTr="009B423C">
        <w:tc>
          <w:tcPr>
            <w:tcW w:w="6912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FD03EC" w:rsidRPr="006E0817" w:rsidRDefault="00FD03EC" w:rsidP="009B423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FD03EC" w:rsidRPr="005B055B" w:rsidTr="009B423C">
        <w:tc>
          <w:tcPr>
            <w:tcW w:w="6912" w:type="dxa"/>
            <w:shd w:val="clear" w:color="auto" w:fill="auto"/>
          </w:tcPr>
          <w:p w:rsidR="00FD03EC" w:rsidRPr="00DC734F" w:rsidRDefault="00FD03EC" w:rsidP="00FD03EC">
            <w:pPr>
              <w:rPr>
                <w:szCs w:val="18"/>
              </w:rPr>
            </w:pPr>
            <w:r w:rsidRPr="00DC734F">
              <w:rPr>
                <w:szCs w:val="18"/>
              </w:rPr>
              <w:t xml:space="preserve">Modeldocument </w:t>
            </w:r>
            <w:r>
              <w:rPr>
                <w:szCs w:val="18"/>
              </w:rPr>
              <w:t>BLG</w:t>
            </w:r>
          </w:p>
        </w:tc>
        <w:tc>
          <w:tcPr>
            <w:tcW w:w="946" w:type="dxa"/>
            <w:shd w:val="clear" w:color="auto" w:fill="auto"/>
          </w:tcPr>
          <w:p w:rsidR="00FD03EC" w:rsidRPr="000A3C1C" w:rsidRDefault="002C510A" w:rsidP="002C510A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0A3C1C">
              <w:rPr>
                <w:b/>
                <w:szCs w:val="18"/>
                <w:lang w:val="nl-NL"/>
              </w:rPr>
              <w:t>V</w:t>
            </w:r>
            <w:r w:rsidR="00D20E3E">
              <w:rPr>
                <w:b/>
                <w:szCs w:val="18"/>
                <w:lang w:val="nl-NL"/>
              </w:rPr>
              <w:t>2.2.1</w:t>
            </w:r>
          </w:p>
        </w:tc>
        <w:tc>
          <w:tcPr>
            <w:tcW w:w="897" w:type="dxa"/>
            <w:shd w:val="clear" w:color="auto" w:fill="auto"/>
          </w:tcPr>
          <w:p w:rsidR="00FD03EC" w:rsidRPr="000A3C1C" w:rsidRDefault="00D20E3E" w:rsidP="000A3C1C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>
              <w:rPr>
                <w:b/>
                <w:szCs w:val="18"/>
                <w:lang w:val="nl-NL"/>
              </w:rPr>
              <w:t>V2.1</w:t>
            </w:r>
            <w:r w:rsidR="002C510A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FD03EC" w:rsidRPr="005B055B" w:rsidRDefault="000A3C1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5B055B">
              <w:rPr>
                <w:b/>
                <w:szCs w:val="18"/>
                <w:lang w:val="nl-NL"/>
              </w:rPr>
              <w:t>X</w:t>
            </w:r>
          </w:p>
        </w:tc>
      </w:tr>
      <w:tr w:rsidR="00FD03EC" w:rsidRPr="005B055B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rPr>
                <w:szCs w:val="18"/>
              </w:rPr>
            </w:pPr>
            <w:r w:rsidRPr="002C510A">
              <w:rPr>
                <w:szCs w:val="18"/>
              </w:rPr>
              <w:t xml:space="preserve">XSD </w:t>
            </w:r>
            <w:proofErr w:type="spellStart"/>
            <w:r w:rsidRPr="002C510A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v3.6.0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2C510A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083BB1" w:rsidRPr="004F0DBF" w:rsidTr="009B423C">
        <w:tc>
          <w:tcPr>
            <w:tcW w:w="6912" w:type="dxa"/>
            <w:shd w:val="clear" w:color="auto" w:fill="auto"/>
          </w:tcPr>
          <w:p w:rsidR="00083BB1" w:rsidRPr="002C510A" w:rsidRDefault="00083BB1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Tekstblok - Overbruggingshypotheek</w:t>
            </w:r>
          </w:p>
        </w:tc>
        <w:tc>
          <w:tcPr>
            <w:tcW w:w="946" w:type="dxa"/>
            <w:shd w:val="clear" w:color="auto" w:fill="auto"/>
          </w:tcPr>
          <w:p w:rsidR="00083BB1" w:rsidRPr="002C510A" w:rsidRDefault="00083BB1" w:rsidP="00083BB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v1.4</w:t>
            </w:r>
          </w:p>
        </w:tc>
        <w:tc>
          <w:tcPr>
            <w:tcW w:w="897" w:type="dxa"/>
            <w:shd w:val="clear" w:color="auto" w:fill="auto"/>
          </w:tcPr>
          <w:p w:rsidR="00083BB1" w:rsidRPr="002C510A" w:rsidRDefault="00083BB1" w:rsidP="00083BB1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>v1.3</w:t>
            </w:r>
          </w:p>
        </w:tc>
        <w:tc>
          <w:tcPr>
            <w:tcW w:w="425" w:type="dxa"/>
            <w:shd w:val="clear" w:color="auto" w:fill="auto"/>
          </w:tcPr>
          <w:p w:rsidR="00083BB1" w:rsidRPr="002C510A" w:rsidRDefault="00083BB1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FD03EC" w:rsidRPr="004F0DBF" w:rsidTr="009B423C">
        <w:tc>
          <w:tcPr>
            <w:tcW w:w="6912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2C510A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2C510A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FD03EC" w:rsidRPr="002C510A" w:rsidRDefault="00FD03EC" w:rsidP="009B423C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FD03EC" w:rsidRPr="00FC0186" w:rsidRDefault="00FD03EC" w:rsidP="00FD03EC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7F40FD" w:rsidRDefault="007F40FD" w:rsidP="0032415F">
      <w:pPr>
        <w:ind w:hanging="180"/>
      </w:pPr>
    </w:p>
    <w:p w:rsidR="007F40FD" w:rsidRDefault="007F40FD" w:rsidP="0032415F">
      <w:pPr>
        <w:ind w:hanging="180"/>
      </w:pPr>
    </w:p>
    <w:sectPr w:rsidR="007F40FD">
      <w:headerReference w:type="default" r:id="rId7"/>
      <w:headerReference w:type="first" r:id="rId8"/>
      <w:footerReference w:type="first" r:id="rId9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E0F" w:rsidRDefault="00BD0E0F">
      <w:r>
        <w:separator/>
      </w:r>
    </w:p>
  </w:endnote>
  <w:endnote w:type="continuationSeparator" w:id="0">
    <w:p w:rsidR="00BD0E0F" w:rsidRDefault="00BD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C510A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E0F" w:rsidRDefault="00BD0E0F">
      <w:r>
        <w:separator/>
      </w:r>
    </w:p>
  </w:footnote>
  <w:footnote w:type="continuationSeparator" w:id="0">
    <w:p w:rsidR="00BD0E0F" w:rsidRDefault="00BD0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C510A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2C510A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27C07DBC"/>
    <w:lvl w:ilvl="0" w:tplc="3AE6E1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99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5004C"/>
    <w:multiLevelType w:val="hybridMultilevel"/>
    <w:tmpl w:val="08B2CDCC"/>
    <w:lvl w:ilvl="0" w:tplc="1982D95A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9"/>
  </w:num>
  <w:num w:numId="19">
    <w:abstractNumId w:val="8"/>
  </w:num>
  <w:num w:numId="20">
    <w:abstractNumId w:val="8"/>
  </w:num>
  <w:num w:numId="21">
    <w:abstractNumId w:val="7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83B4D"/>
    <w:rsid w:val="00083BB1"/>
    <w:rsid w:val="00092C0F"/>
    <w:rsid w:val="000A3C1C"/>
    <w:rsid w:val="000A42EF"/>
    <w:rsid w:val="000C053A"/>
    <w:rsid w:val="000E3351"/>
    <w:rsid w:val="00100B12"/>
    <w:rsid w:val="00107BC7"/>
    <w:rsid w:val="00116310"/>
    <w:rsid w:val="00125619"/>
    <w:rsid w:val="0015712E"/>
    <w:rsid w:val="001629E3"/>
    <w:rsid w:val="00184A3D"/>
    <w:rsid w:val="0018670E"/>
    <w:rsid w:val="00193BBC"/>
    <w:rsid w:val="00193C20"/>
    <w:rsid w:val="001A726C"/>
    <w:rsid w:val="001F3655"/>
    <w:rsid w:val="00205477"/>
    <w:rsid w:val="00226A13"/>
    <w:rsid w:val="00253F83"/>
    <w:rsid w:val="0025466D"/>
    <w:rsid w:val="00262460"/>
    <w:rsid w:val="00267618"/>
    <w:rsid w:val="0027223E"/>
    <w:rsid w:val="00296F66"/>
    <w:rsid w:val="002A57A6"/>
    <w:rsid w:val="002C510A"/>
    <w:rsid w:val="002F0967"/>
    <w:rsid w:val="0031626E"/>
    <w:rsid w:val="0032415F"/>
    <w:rsid w:val="003277BD"/>
    <w:rsid w:val="00344080"/>
    <w:rsid w:val="00363AC7"/>
    <w:rsid w:val="003768CF"/>
    <w:rsid w:val="003964A4"/>
    <w:rsid w:val="003F39FA"/>
    <w:rsid w:val="0040739A"/>
    <w:rsid w:val="004078AA"/>
    <w:rsid w:val="00433130"/>
    <w:rsid w:val="004516D5"/>
    <w:rsid w:val="004958FF"/>
    <w:rsid w:val="004B4326"/>
    <w:rsid w:val="004E630E"/>
    <w:rsid w:val="00501F22"/>
    <w:rsid w:val="0054123B"/>
    <w:rsid w:val="00573668"/>
    <w:rsid w:val="00586FFD"/>
    <w:rsid w:val="00587BBC"/>
    <w:rsid w:val="00595A28"/>
    <w:rsid w:val="005A4233"/>
    <w:rsid w:val="005C216E"/>
    <w:rsid w:val="005D78CD"/>
    <w:rsid w:val="00600791"/>
    <w:rsid w:val="0060731C"/>
    <w:rsid w:val="006365ED"/>
    <w:rsid w:val="006623AF"/>
    <w:rsid w:val="0067244A"/>
    <w:rsid w:val="006870CC"/>
    <w:rsid w:val="006B2BAC"/>
    <w:rsid w:val="006C0763"/>
    <w:rsid w:val="006C22BD"/>
    <w:rsid w:val="006D3859"/>
    <w:rsid w:val="006F5C33"/>
    <w:rsid w:val="00710074"/>
    <w:rsid w:val="00750598"/>
    <w:rsid w:val="00757FEC"/>
    <w:rsid w:val="007C24AB"/>
    <w:rsid w:val="007C712C"/>
    <w:rsid w:val="007D2A6E"/>
    <w:rsid w:val="007D6F2B"/>
    <w:rsid w:val="007F40FD"/>
    <w:rsid w:val="00811E8D"/>
    <w:rsid w:val="00837095"/>
    <w:rsid w:val="00850508"/>
    <w:rsid w:val="008540F6"/>
    <w:rsid w:val="0085540D"/>
    <w:rsid w:val="0088431E"/>
    <w:rsid w:val="008A53B8"/>
    <w:rsid w:val="008B46FF"/>
    <w:rsid w:val="008B5291"/>
    <w:rsid w:val="00922F80"/>
    <w:rsid w:val="00951CEC"/>
    <w:rsid w:val="00963AAE"/>
    <w:rsid w:val="0097491D"/>
    <w:rsid w:val="00981691"/>
    <w:rsid w:val="009A46D2"/>
    <w:rsid w:val="009B125F"/>
    <w:rsid w:val="009B423C"/>
    <w:rsid w:val="009D08C7"/>
    <w:rsid w:val="009E732A"/>
    <w:rsid w:val="009F5B84"/>
    <w:rsid w:val="00A53765"/>
    <w:rsid w:val="00A76AA9"/>
    <w:rsid w:val="00A92105"/>
    <w:rsid w:val="00AA1784"/>
    <w:rsid w:val="00AB1F8B"/>
    <w:rsid w:val="00AB549B"/>
    <w:rsid w:val="00AC3EF7"/>
    <w:rsid w:val="00B15015"/>
    <w:rsid w:val="00B213B8"/>
    <w:rsid w:val="00B256ED"/>
    <w:rsid w:val="00B3035F"/>
    <w:rsid w:val="00B4199A"/>
    <w:rsid w:val="00B424B0"/>
    <w:rsid w:val="00B57389"/>
    <w:rsid w:val="00B62DD6"/>
    <w:rsid w:val="00BA66B0"/>
    <w:rsid w:val="00BD0E0F"/>
    <w:rsid w:val="00BD5067"/>
    <w:rsid w:val="00C015BF"/>
    <w:rsid w:val="00C212CD"/>
    <w:rsid w:val="00C26160"/>
    <w:rsid w:val="00C47E44"/>
    <w:rsid w:val="00C52245"/>
    <w:rsid w:val="00C6007C"/>
    <w:rsid w:val="00C73700"/>
    <w:rsid w:val="00C8038D"/>
    <w:rsid w:val="00C91155"/>
    <w:rsid w:val="00C974B1"/>
    <w:rsid w:val="00CD547A"/>
    <w:rsid w:val="00D15122"/>
    <w:rsid w:val="00D20E3E"/>
    <w:rsid w:val="00D31BA0"/>
    <w:rsid w:val="00D37FF2"/>
    <w:rsid w:val="00D44F9C"/>
    <w:rsid w:val="00D50E8C"/>
    <w:rsid w:val="00D678D2"/>
    <w:rsid w:val="00DB5DB1"/>
    <w:rsid w:val="00DC280B"/>
    <w:rsid w:val="00DE3271"/>
    <w:rsid w:val="00E305A8"/>
    <w:rsid w:val="00E53AC2"/>
    <w:rsid w:val="00E5583F"/>
    <w:rsid w:val="00E94674"/>
    <w:rsid w:val="00EA0FAA"/>
    <w:rsid w:val="00EC0CA7"/>
    <w:rsid w:val="00FD03EC"/>
    <w:rsid w:val="00FD682E"/>
    <w:rsid w:val="00FE776A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  <w15:chartTrackingRefBased/>
  <w15:docId w15:val="{4B220529-AD79-4AA0-B5B1-082BC777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character" w:styleId="Verwijzingopmerking">
    <w:name w:val="annotation reference"/>
    <w:rsid w:val="00FD03EC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FD03EC"/>
    <w:rPr>
      <w:sz w:val="20"/>
    </w:rPr>
  </w:style>
  <w:style w:type="character" w:customStyle="1" w:styleId="TekstopmerkingChar">
    <w:name w:val="Tekst opmerking Char"/>
    <w:link w:val="Tekstopmerking"/>
    <w:rsid w:val="00FD03EC"/>
    <w:rPr>
      <w:rFonts w:ascii="Arial" w:hAnsi="Arial"/>
      <w:snapToGrid w:val="0"/>
      <w:kern w:val="28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FD03EC"/>
    <w:rPr>
      <w:b/>
      <w:bCs/>
    </w:rPr>
  </w:style>
  <w:style w:type="character" w:customStyle="1" w:styleId="OnderwerpvanopmerkingChar">
    <w:name w:val="Onderwerp van opmerking Char"/>
    <w:link w:val="Onderwerpvanopmerking"/>
    <w:rsid w:val="00FD03EC"/>
    <w:rPr>
      <w:rFonts w:ascii="Arial" w:hAnsi="Arial"/>
      <w:b/>
      <w:bCs/>
      <w:snapToGrid w:val="0"/>
      <w:kern w:val="28"/>
      <w:lang w:eastAsia="en-US"/>
    </w:rPr>
  </w:style>
  <w:style w:type="paragraph" w:styleId="Ballontekst">
    <w:name w:val="Balloon Text"/>
    <w:basedOn w:val="Standaard"/>
    <w:link w:val="BallontekstChar"/>
    <w:rsid w:val="00FD03E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link w:val="Ballontekst"/>
    <w:rsid w:val="00FD03EC"/>
    <w:rPr>
      <w:rFonts w:ascii="Segoe UI" w:hAnsi="Segoe UI" w:cs="Segoe UI"/>
      <w:snapToGrid w:val="0"/>
      <w:kern w:val="28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16</TotalTime>
  <Pages>2</Pages>
  <Words>204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7</cp:revision>
  <cp:lastPrinted>1899-12-31T23:00:00Z</cp:lastPrinted>
  <dcterms:created xsi:type="dcterms:W3CDTF">2016-11-30T13:02:00Z</dcterms:created>
  <dcterms:modified xsi:type="dcterms:W3CDTF">2016-12-01T10:14:00Z</dcterms:modified>
</cp:coreProperties>
</file>