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59141A">
            <w:pPr>
              <w:spacing w:before="90"/>
              <w:rPr>
                <w:szCs w:val="18"/>
              </w:rPr>
            </w:pPr>
            <w:r w:rsidRPr="0059141A">
              <w:rPr>
                <w:szCs w:val="18"/>
              </w:rPr>
              <w:t>20161201000013</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C4009C">
              <w:rPr>
                <w:noProof/>
              </w:rPr>
              <w:t>2.1.0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846876">
        <w:tc>
          <w:tcPr>
            <w:tcW w:w="637" w:type="dxa"/>
          </w:tcPr>
          <w:p w:rsidR="009B1BC9" w:rsidRDefault="005B4764" w:rsidP="00846876">
            <w:pPr>
              <w:rPr>
                <w:rStyle w:val="Versie0"/>
                <w:bCs/>
                <w:sz w:val="16"/>
                <w:szCs w:val="16"/>
              </w:rPr>
            </w:pPr>
            <w:bookmarkStart w:id="6" w:name="bmVersie"/>
            <w:bookmarkEnd w:id="6"/>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846876">
        <w:tc>
          <w:tcPr>
            <w:tcW w:w="637" w:type="dxa"/>
          </w:tcPr>
          <w:p w:rsidR="00DA2CE4" w:rsidRDefault="00DA2CE4" w:rsidP="00846876">
            <w:pP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846876">
        <w:tc>
          <w:tcPr>
            <w:tcW w:w="637" w:type="dxa"/>
          </w:tcPr>
          <w:p w:rsidR="00632029" w:rsidRDefault="00632029" w:rsidP="00846876">
            <w:pP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r w:rsidR="00E5017E" w:rsidRPr="00DA2CE4" w:rsidTr="00846876">
        <w:tc>
          <w:tcPr>
            <w:tcW w:w="637" w:type="dxa"/>
          </w:tcPr>
          <w:p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rsidR="00E5017E" w:rsidRDefault="00E5017E" w:rsidP="00846876">
            <w:pPr>
              <w:rPr>
                <w:rStyle w:val="Datumopmaakprofiel"/>
                <w:sz w:val="16"/>
                <w:szCs w:val="16"/>
              </w:rPr>
            </w:pPr>
            <w:r>
              <w:rPr>
                <w:rStyle w:val="Datumopmaakprofiel"/>
                <w:sz w:val="16"/>
                <w:szCs w:val="16"/>
              </w:rPr>
              <w:t>30 November</w:t>
            </w:r>
          </w:p>
        </w:tc>
        <w:tc>
          <w:tcPr>
            <w:tcW w:w="1984" w:type="dxa"/>
          </w:tcPr>
          <w:p w:rsidR="00E5017E" w:rsidRDefault="00E5017E"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 xml:space="preserve">Fusie Volksbank | Aanpassing BLG, SNS en </w:t>
            </w:r>
            <w:proofErr w:type="spellStart"/>
            <w:r>
              <w:rPr>
                <w:sz w:val="16"/>
                <w:szCs w:val="16"/>
              </w:rPr>
              <w:t>RegioBank</w:t>
            </w:r>
            <w:proofErr w:type="spellEnd"/>
            <w:r>
              <w:rPr>
                <w:sz w:val="16"/>
                <w:szCs w:val="16"/>
              </w:rPr>
              <w:t>. Nieuw modeldocument.</w:t>
            </w:r>
          </w:p>
        </w:tc>
      </w:tr>
      <w:tr w:rsidR="007D165A" w:rsidRPr="00DA2CE4" w:rsidTr="00846876">
        <w:tc>
          <w:tcPr>
            <w:tcW w:w="637" w:type="dxa"/>
          </w:tcPr>
          <w:p w:rsidR="007D165A" w:rsidRDefault="007D165A" w:rsidP="00846876">
            <w:pPr>
              <w:rPr>
                <w:rStyle w:val="Versie0"/>
                <w:bCs/>
                <w:sz w:val="16"/>
                <w:szCs w:val="16"/>
              </w:rPr>
            </w:pPr>
            <w:r>
              <w:rPr>
                <w:rStyle w:val="Versie0"/>
                <w:bCs/>
                <w:sz w:val="16"/>
                <w:szCs w:val="16"/>
              </w:rPr>
              <w:t>2.1.0</w:t>
            </w:r>
          </w:p>
        </w:tc>
        <w:tc>
          <w:tcPr>
            <w:tcW w:w="1560" w:type="dxa"/>
          </w:tcPr>
          <w:p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rsidR="007D165A" w:rsidRDefault="007D165A" w:rsidP="007D165A">
            <w:pPr>
              <w:rPr>
                <w:sz w:val="16"/>
                <w:szCs w:val="16"/>
                <w:lang w:val="en-US"/>
              </w:rPr>
            </w:pPr>
            <w:r w:rsidRPr="007D165A">
              <w:rPr>
                <w:sz w:val="16"/>
                <w:szCs w:val="16"/>
                <w:lang w:val="en-US"/>
              </w:rPr>
              <w:t>IT/LG/AA</w:t>
            </w:r>
          </w:p>
        </w:tc>
        <w:tc>
          <w:tcPr>
            <w:tcW w:w="4678" w:type="dxa"/>
          </w:tcPr>
          <w:p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w:t>
            </w:r>
            <w:bookmarkStart w:id="7" w:name="_GoBack"/>
            <w:bookmarkEnd w:id="7"/>
            <w:r w:rsidRPr="007D165A">
              <w:rPr>
                <w:sz w:val="16"/>
                <w:szCs w:val="16"/>
              </w:rPr>
              <w:t>everklaring.</w:t>
            </w:r>
          </w:p>
        </w:tc>
      </w:tr>
    </w:tbl>
    <w:p w:rsidR="00010AA1" w:rsidRPr="00DA2CE4" w:rsidRDefault="00010AA1"/>
    <w:p w:rsidR="003228A3" w:rsidRPr="00DA2CE4" w:rsidRDefault="003228A3">
      <w:pPr>
        <w:sectPr w:rsidR="003228A3" w:rsidRPr="00DA2CE4">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5B4764"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11513792" w:history="1">
        <w:r w:rsidR="005B4764" w:rsidRPr="00C875E1">
          <w:rPr>
            <w:rStyle w:val="Hyperlink"/>
          </w:rPr>
          <w:t>1</w:t>
        </w:r>
        <w:r w:rsidR="005B4764">
          <w:rPr>
            <w:rFonts w:ascii="Times New Roman" w:hAnsi="Times New Roman"/>
            <w:b w:val="0"/>
            <w:bCs w:val="0"/>
            <w:snapToGrid/>
            <w:kern w:val="0"/>
            <w:sz w:val="24"/>
            <w:szCs w:val="24"/>
            <w:lang w:eastAsia="nl-NL"/>
          </w:rPr>
          <w:tab/>
        </w:r>
        <w:r w:rsidR="005B4764" w:rsidRPr="00C875E1">
          <w:rPr>
            <w:rStyle w:val="Hyperlink"/>
          </w:rPr>
          <w:t>Inleiding</w:t>
        </w:r>
        <w:r w:rsidR="005B4764">
          <w:rPr>
            <w:webHidden/>
          </w:rPr>
          <w:tab/>
        </w:r>
        <w:r w:rsidR="005B4764">
          <w:rPr>
            <w:webHidden/>
          </w:rPr>
          <w:fldChar w:fldCharType="begin"/>
        </w:r>
        <w:r w:rsidR="005B4764">
          <w:rPr>
            <w:webHidden/>
          </w:rPr>
          <w:instrText xml:space="preserve"> PAGEREF _Toc411513792 \h </w:instrText>
        </w:r>
        <w:r w:rsidR="005B4764">
          <w:rPr>
            <w:webHidden/>
          </w:rPr>
        </w:r>
        <w:r w:rsidR="005B4764">
          <w:rPr>
            <w:webHidden/>
          </w:rPr>
          <w:fldChar w:fldCharType="separate"/>
        </w:r>
        <w:r w:rsidR="00C4009C">
          <w:rPr>
            <w:webHidden/>
          </w:rPr>
          <w:t>6</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3" w:history="1">
        <w:r w:rsidR="005B4764" w:rsidRPr="00C875E1">
          <w:rPr>
            <w:rStyle w:val="Hyperlink"/>
          </w:rPr>
          <w:t>1.1</w:t>
        </w:r>
        <w:r w:rsidR="005B4764">
          <w:rPr>
            <w:rFonts w:ascii="Times New Roman" w:hAnsi="Times New Roman"/>
            <w:snapToGrid/>
            <w:kern w:val="0"/>
            <w:sz w:val="24"/>
            <w:szCs w:val="24"/>
            <w:lang w:eastAsia="nl-NL"/>
          </w:rPr>
          <w:tab/>
        </w:r>
        <w:r w:rsidR="005B4764" w:rsidRPr="00C875E1">
          <w:rPr>
            <w:rStyle w:val="Hyperlink"/>
          </w:rPr>
          <w:t>Doel</w:t>
        </w:r>
        <w:r w:rsidR="005B4764">
          <w:rPr>
            <w:webHidden/>
          </w:rPr>
          <w:tab/>
        </w:r>
        <w:r w:rsidR="005B4764">
          <w:rPr>
            <w:webHidden/>
          </w:rPr>
          <w:fldChar w:fldCharType="begin"/>
        </w:r>
        <w:r w:rsidR="005B4764">
          <w:rPr>
            <w:webHidden/>
          </w:rPr>
          <w:instrText xml:space="preserve"> PAGEREF _Toc411513793 \h </w:instrText>
        </w:r>
        <w:r w:rsidR="005B4764">
          <w:rPr>
            <w:webHidden/>
          </w:rPr>
        </w:r>
        <w:r w:rsidR="005B4764">
          <w:rPr>
            <w:webHidden/>
          </w:rPr>
          <w:fldChar w:fldCharType="separate"/>
        </w:r>
        <w:r w:rsidR="00C4009C">
          <w:rPr>
            <w:webHidden/>
          </w:rPr>
          <w:t>6</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4" w:history="1">
        <w:r w:rsidR="005B4764" w:rsidRPr="00C875E1">
          <w:rPr>
            <w:rStyle w:val="Hyperlink"/>
          </w:rPr>
          <w:t>1.2</w:t>
        </w:r>
        <w:r w:rsidR="005B4764">
          <w:rPr>
            <w:rFonts w:ascii="Times New Roman" w:hAnsi="Times New Roman"/>
            <w:snapToGrid/>
            <w:kern w:val="0"/>
            <w:sz w:val="24"/>
            <w:szCs w:val="24"/>
            <w:lang w:eastAsia="nl-NL"/>
          </w:rPr>
          <w:tab/>
        </w:r>
        <w:r w:rsidR="005B4764" w:rsidRPr="00C875E1">
          <w:rPr>
            <w:rStyle w:val="Hyperlink"/>
          </w:rPr>
          <w:t>Algemeen</w:t>
        </w:r>
        <w:r w:rsidR="005B4764">
          <w:rPr>
            <w:webHidden/>
          </w:rPr>
          <w:tab/>
        </w:r>
        <w:r w:rsidR="005B4764">
          <w:rPr>
            <w:webHidden/>
          </w:rPr>
          <w:fldChar w:fldCharType="begin"/>
        </w:r>
        <w:r w:rsidR="005B4764">
          <w:rPr>
            <w:webHidden/>
          </w:rPr>
          <w:instrText xml:space="preserve"> PAGEREF _Toc411513794 \h </w:instrText>
        </w:r>
        <w:r w:rsidR="005B4764">
          <w:rPr>
            <w:webHidden/>
          </w:rPr>
        </w:r>
        <w:r w:rsidR="005B4764">
          <w:rPr>
            <w:webHidden/>
          </w:rPr>
          <w:fldChar w:fldCharType="separate"/>
        </w:r>
        <w:r w:rsidR="00C4009C">
          <w:rPr>
            <w:webHidden/>
          </w:rPr>
          <w:t>6</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5" w:history="1">
        <w:r w:rsidR="005B4764" w:rsidRPr="00C875E1">
          <w:rPr>
            <w:rStyle w:val="Hyperlink"/>
          </w:rPr>
          <w:t>1.3</w:t>
        </w:r>
        <w:r w:rsidR="005B4764">
          <w:rPr>
            <w:rFonts w:ascii="Times New Roman" w:hAnsi="Times New Roman"/>
            <w:snapToGrid/>
            <w:kern w:val="0"/>
            <w:sz w:val="24"/>
            <w:szCs w:val="24"/>
            <w:lang w:eastAsia="nl-NL"/>
          </w:rPr>
          <w:tab/>
        </w:r>
        <w:r w:rsidR="005B4764" w:rsidRPr="00C875E1">
          <w:rPr>
            <w:rStyle w:val="Hyperlink"/>
          </w:rPr>
          <w:t>Referenties</w:t>
        </w:r>
        <w:r w:rsidR="005B4764">
          <w:rPr>
            <w:webHidden/>
          </w:rPr>
          <w:tab/>
        </w:r>
        <w:r w:rsidR="005B4764">
          <w:rPr>
            <w:webHidden/>
          </w:rPr>
          <w:fldChar w:fldCharType="begin"/>
        </w:r>
        <w:r w:rsidR="005B4764">
          <w:rPr>
            <w:webHidden/>
          </w:rPr>
          <w:instrText xml:space="preserve"> PAGEREF _Toc411513795 \h </w:instrText>
        </w:r>
        <w:r w:rsidR="005B4764">
          <w:rPr>
            <w:webHidden/>
          </w:rPr>
        </w:r>
        <w:r w:rsidR="005B4764">
          <w:rPr>
            <w:webHidden/>
          </w:rPr>
          <w:fldChar w:fldCharType="separate"/>
        </w:r>
        <w:r w:rsidR="00C4009C">
          <w:rPr>
            <w:webHidden/>
          </w:rPr>
          <w:t>7</w:t>
        </w:r>
        <w:r w:rsidR="005B4764">
          <w:rPr>
            <w:webHidden/>
          </w:rPr>
          <w:fldChar w:fldCharType="end"/>
        </w:r>
      </w:hyperlink>
    </w:p>
    <w:p w:rsidR="005B4764" w:rsidRDefault="000C24EB">
      <w:pPr>
        <w:pStyle w:val="Inhopg1"/>
        <w:rPr>
          <w:rFonts w:ascii="Times New Roman" w:hAnsi="Times New Roman"/>
          <w:b w:val="0"/>
          <w:bCs w:val="0"/>
          <w:snapToGrid/>
          <w:kern w:val="0"/>
          <w:sz w:val="24"/>
          <w:szCs w:val="24"/>
          <w:lang w:eastAsia="nl-NL"/>
        </w:rPr>
      </w:pPr>
      <w:hyperlink w:anchor="_Toc411513796" w:history="1">
        <w:r w:rsidR="005B4764" w:rsidRPr="00C875E1">
          <w:rPr>
            <w:rStyle w:val="Hyperlink"/>
          </w:rPr>
          <w:t>2</w:t>
        </w:r>
        <w:r w:rsidR="005B4764">
          <w:rPr>
            <w:rFonts w:ascii="Times New Roman" w:hAnsi="Times New Roman"/>
            <w:b w:val="0"/>
            <w:bCs w:val="0"/>
            <w:snapToGrid/>
            <w:kern w:val="0"/>
            <w:sz w:val="24"/>
            <w:szCs w:val="24"/>
            <w:lang w:eastAsia="nl-NL"/>
          </w:rPr>
          <w:tab/>
        </w:r>
        <w:r w:rsidR="005B4764" w:rsidRPr="00C875E1">
          <w:rPr>
            <w:rStyle w:val="Hyperlink"/>
          </w:rPr>
          <w:t>SNS Hypotheekakte</w:t>
        </w:r>
        <w:r w:rsidR="005B4764">
          <w:rPr>
            <w:webHidden/>
          </w:rPr>
          <w:tab/>
        </w:r>
        <w:r w:rsidR="005B4764">
          <w:rPr>
            <w:webHidden/>
          </w:rPr>
          <w:fldChar w:fldCharType="begin"/>
        </w:r>
        <w:r w:rsidR="005B4764">
          <w:rPr>
            <w:webHidden/>
          </w:rPr>
          <w:instrText xml:space="preserve"> PAGEREF _Toc411513796 \h </w:instrText>
        </w:r>
        <w:r w:rsidR="005B4764">
          <w:rPr>
            <w:webHidden/>
          </w:rPr>
        </w:r>
        <w:r w:rsidR="005B4764">
          <w:rPr>
            <w:webHidden/>
          </w:rPr>
          <w:fldChar w:fldCharType="separate"/>
        </w:r>
        <w:r w:rsidR="00C4009C">
          <w:rPr>
            <w:webHidden/>
          </w:rPr>
          <w:t>8</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7" w:history="1">
        <w:r w:rsidR="005B4764" w:rsidRPr="00C875E1">
          <w:rPr>
            <w:rStyle w:val="Hyperlink"/>
          </w:rPr>
          <w:t>2.1</w:t>
        </w:r>
        <w:r w:rsidR="005B4764">
          <w:rPr>
            <w:rFonts w:ascii="Times New Roman" w:hAnsi="Times New Roman"/>
            <w:snapToGrid/>
            <w:kern w:val="0"/>
            <w:sz w:val="24"/>
            <w:szCs w:val="24"/>
            <w:lang w:eastAsia="nl-NL"/>
          </w:rPr>
          <w:tab/>
        </w:r>
        <w:r w:rsidR="005B4764" w:rsidRPr="00C875E1">
          <w:rPr>
            <w:rStyle w:val="Hyperlink"/>
          </w:rPr>
          <w:t>Equivalentieverklaring</w:t>
        </w:r>
        <w:r w:rsidR="005B4764">
          <w:rPr>
            <w:webHidden/>
          </w:rPr>
          <w:tab/>
        </w:r>
        <w:r w:rsidR="005B4764">
          <w:rPr>
            <w:webHidden/>
          </w:rPr>
          <w:fldChar w:fldCharType="begin"/>
        </w:r>
        <w:r w:rsidR="005B4764">
          <w:rPr>
            <w:webHidden/>
          </w:rPr>
          <w:instrText xml:space="preserve"> PAGEREF _Toc411513797 \h </w:instrText>
        </w:r>
        <w:r w:rsidR="005B4764">
          <w:rPr>
            <w:webHidden/>
          </w:rPr>
        </w:r>
        <w:r w:rsidR="005B4764">
          <w:rPr>
            <w:webHidden/>
          </w:rPr>
          <w:fldChar w:fldCharType="separate"/>
        </w:r>
        <w:r w:rsidR="00C4009C">
          <w:rPr>
            <w:webHidden/>
          </w:rPr>
          <w:t>8</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8" w:history="1">
        <w:r w:rsidR="005B4764" w:rsidRPr="00C875E1">
          <w:rPr>
            <w:rStyle w:val="Hyperlink"/>
          </w:rPr>
          <w:t>2.2</w:t>
        </w:r>
        <w:r w:rsidR="005B4764">
          <w:rPr>
            <w:rFonts w:ascii="Times New Roman" w:hAnsi="Times New Roman"/>
            <w:snapToGrid/>
            <w:kern w:val="0"/>
            <w:sz w:val="24"/>
            <w:szCs w:val="24"/>
            <w:lang w:eastAsia="nl-NL"/>
          </w:rPr>
          <w:tab/>
        </w:r>
        <w:r w:rsidR="005B4764" w:rsidRPr="00C875E1">
          <w:rPr>
            <w:rStyle w:val="Hyperlink"/>
          </w:rPr>
          <w:t>Titel</w:t>
        </w:r>
        <w:r w:rsidR="005B4764">
          <w:rPr>
            <w:webHidden/>
          </w:rPr>
          <w:tab/>
        </w:r>
        <w:r w:rsidR="005B4764">
          <w:rPr>
            <w:webHidden/>
          </w:rPr>
          <w:fldChar w:fldCharType="begin"/>
        </w:r>
        <w:r w:rsidR="005B4764">
          <w:rPr>
            <w:webHidden/>
          </w:rPr>
          <w:instrText xml:space="preserve"> PAGEREF _Toc411513798 \h </w:instrText>
        </w:r>
        <w:r w:rsidR="005B4764">
          <w:rPr>
            <w:webHidden/>
          </w:rPr>
        </w:r>
        <w:r w:rsidR="005B4764">
          <w:rPr>
            <w:webHidden/>
          </w:rPr>
          <w:fldChar w:fldCharType="separate"/>
        </w:r>
        <w:r w:rsidR="00C4009C">
          <w:rPr>
            <w:webHidden/>
          </w:rPr>
          <w:t>8</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799" w:history="1">
        <w:r w:rsidR="005B4764" w:rsidRPr="00C875E1">
          <w:rPr>
            <w:rStyle w:val="Hyperlink"/>
          </w:rPr>
          <w:t>2.3</w:t>
        </w:r>
        <w:r w:rsidR="005B4764">
          <w:rPr>
            <w:rFonts w:ascii="Times New Roman" w:hAnsi="Times New Roman"/>
            <w:snapToGrid/>
            <w:kern w:val="0"/>
            <w:sz w:val="24"/>
            <w:szCs w:val="24"/>
            <w:lang w:eastAsia="nl-NL"/>
          </w:rPr>
          <w:tab/>
        </w:r>
        <w:r w:rsidR="005B4764" w:rsidRPr="00C875E1">
          <w:rPr>
            <w:rStyle w:val="Hyperlink"/>
          </w:rPr>
          <w:t>Aanhef</w:t>
        </w:r>
        <w:r w:rsidR="005B4764">
          <w:rPr>
            <w:webHidden/>
          </w:rPr>
          <w:tab/>
        </w:r>
        <w:r w:rsidR="005B4764">
          <w:rPr>
            <w:webHidden/>
          </w:rPr>
          <w:fldChar w:fldCharType="begin"/>
        </w:r>
        <w:r w:rsidR="005B4764">
          <w:rPr>
            <w:webHidden/>
          </w:rPr>
          <w:instrText xml:space="preserve"> PAGEREF _Toc411513799 \h </w:instrText>
        </w:r>
        <w:r w:rsidR="005B4764">
          <w:rPr>
            <w:webHidden/>
          </w:rPr>
        </w:r>
        <w:r w:rsidR="005B4764">
          <w:rPr>
            <w:webHidden/>
          </w:rPr>
          <w:fldChar w:fldCharType="separate"/>
        </w:r>
        <w:r w:rsidR="00C4009C">
          <w:rPr>
            <w:webHidden/>
          </w:rPr>
          <w:t>9</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0" w:history="1">
        <w:r w:rsidR="005B4764" w:rsidRPr="00C875E1">
          <w:rPr>
            <w:rStyle w:val="Hyperlink"/>
          </w:rPr>
          <w:t>2.4</w:t>
        </w:r>
        <w:r w:rsidR="005B4764">
          <w:rPr>
            <w:rFonts w:ascii="Times New Roman" w:hAnsi="Times New Roman"/>
            <w:snapToGrid/>
            <w:kern w:val="0"/>
            <w:sz w:val="24"/>
            <w:szCs w:val="24"/>
            <w:lang w:eastAsia="nl-NL"/>
          </w:rPr>
          <w:tab/>
        </w:r>
        <w:r w:rsidR="005B4764" w:rsidRPr="00C875E1">
          <w:rPr>
            <w:rStyle w:val="Hyperlink"/>
          </w:rPr>
          <w:t>Partijen</w:t>
        </w:r>
        <w:r w:rsidR="005B4764">
          <w:rPr>
            <w:webHidden/>
          </w:rPr>
          <w:tab/>
        </w:r>
        <w:r w:rsidR="005B4764">
          <w:rPr>
            <w:webHidden/>
          </w:rPr>
          <w:fldChar w:fldCharType="begin"/>
        </w:r>
        <w:r w:rsidR="005B4764">
          <w:rPr>
            <w:webHidden/>
          </w:rPr>
          <w:instrText xml:space="preserve"> PAGEREF _Toc411513800 \h </w:instrText>
        </w:r>
        <w:r w:rsidR="005B4764">
          <w:rPr>
            <w:webHidden/>
          </w:rPr>
        </w:r>
        <w:r w:rsidR="005B4764">
          <w:rPr>
            <w:webHidden/>
          </w:rPr>
          <w:fldChar w:fldCharType="separate"/>
        </w:r>
        <w:r w:rsidR="00C4009C">
          <w:rPr>
            <w:webHidden/>
          </w:rPr>
          <w:t>9</w:t>
        </w:r>
        <w:r w:rsidR="005B4764">
          <w:rPr>
            <w:webHidden/>
          </w:rPr>
          <w:fldChar w:fldCharType="end"/>
        </w:r>
      </w:hyperlink>
    </w:p>
    <w:p w:rsidR="005B4764" w:rsidRDefault="000C24EB">
      <w:pPr>
        <w:pStyle w:val="Inhopg3"/>
        <w:rPr>
          <w:rFonts w:ascii="Times New Roman" w:hAnsi="Times New Roman"/>
          <w:snapToGrid/>
          <w:kern w:val="0"/>
          <w:sz w:val="24"/>
          <w:szCs w:val="24"/>
          <w:lang w:eastAsia="nl-NL"/>
        </w:rPr>
      </w:pPr>
      <w:hyperlink w:anchor="_Toc411513801" w:history="1">
        <w:r w:rsidR="005B4764" w:rsidRPr="00C875E1">
          <w:rPr>
            <w:rStyle w:val="Hyperlink"/>
          </w:rPr>
          <w:t>2.4.1</w:t>
        </w:r>
        <w:r w:rsidR="005B4764">
          <w:rPr>
            <w:rFonts w:ascii="Times New Roman" w:hAnsi="Times New Roman"/>
            <w:snapToGrid/>
            <w:kern w:val="0"/>
            <w:sz w:val="24"/>
            <w:szCs w:val="24"/>
            <w:lang w:eastAsia="nl-NL"/>
          </w:rPr>
          <w:tab/>
        </w:r>
        <w:r w:rsidR="005B4764" w:rsidRPr="00C875E1">
          <w:rPr>
            <w:rStyle w:val="Hyperlink"/>
          </w:rPr>
          <w:t>Hypotheekgever</w:t>
        </w:r>
        <w:r w:rsidR="005B4764">
          <w:rPr>
            <w:webHidden/>
          </w:rPr>
          <w:tab/>
        </w:r>
        <w:r w:rsidR="005B4764">
          <w:rPr>
            <w:webHidden/>
          </w:rPr>
          <w:fldChar w:fldCharType="begin"/>
        </w:r>
        <w:r w:rsidR="005B4764">
          <w:rPr>
            <w:webHidden/>
          </w:rPr>
          <w:instrText xml:space="preserve"> PAGEREF _Toc411513801 \h </w:instrText>
        </w:r>
        <w:r w:rsidR="005B4764">
          <w:rPr>
            <w:webHidden/>
          </w:rPr>
        </w:r>
        <w:r w:rsidR="005B4764">
          <w:rPr>
            <w:webHidden/>
          </w:rPr>
          <w:fldChar w:fldCharType="separate"/>
        </w:r>
        <w:r w:rsidR="00C4009C">
          <w:rPr>
            <w:webHidden/>
          </w:rPr>
          <w:t>9</w:t>
        </w:r>
        <w:r w:rsidR="005B4764">
          <w:rPr>
            <w:webHidden/>
          </w:rPr>
          <w:fldChar w:fldCharType="end"/>
        </w:r>
      </w:hyperlink>
    </w:p>
    <w:p w:rsidR="005B4764" w:rsidRDefault="000C24EB">
      <w:pPr>
        <w:pStyle w:val="Inhopg3"/>
        <w:rPr>
          <w:rFonts w:ascii="Times New Roman" w:hAnsi="Times New Roman"/>
          <w:snapToGrid/>
          <w:kern w:val="0"/>
          <w:sz w:val="24"/>
          <w:szCs w:val="24"/>
          <w:lang w:eastAsia="nl-NL"/>
        </w:rPr>
      </w:pPr>
      <w:hyperlink w:anchor="_Toc411513802" w:history="1">
        <w:r w:rsidR="005B4764" w:rsidRPr="00C875E1">
          <w:rPr>
            <w:rStyle w:val="Hyperlink"/>
          </w:rPr>
          <w:t>2.4.2</w:t>
        </w:r>
        <w:r w:rsidR="005B4764">
          <w:rPr>
            <w:rFonts w:ascii="Times New Roman" w:hAnsi="Times New Roman"/>
            <w:snapToGrid/>
            <w:kern w:val="0"/>
            <w:sz w:val="24"/>
            <w:szCs w:val="24"/>
            <w:lang w:eastAsia="nl-NL"/>
          </w:rPr>
          <w:tab/>
        </w:r>
        <w:r w:rsidR="005B4764" w:rsidRPr="00C875E1">
          <w:rPr>
            <w:rStyle w:val="Hyperlink"/>
          </w:rPr>
          <w:t>Bank</w:t>
        </w:r>
        <w:r w:rsidR="005B4764">
          <w:rPr>
            <w:webHidden/>
          </w:rPr>
          <w:tab/>
        </w:r>
        <w:r w:rsidR="005B4764">
          <w:rPr>
            <w:webHidden/>
          </w:rPr>
          <w:fldChar w:fldCharType="begin"/>
        </w:r>
        <w:r w:rsidR="005B4764">
          <w:rPr>
            <w:webHidden/>
          </w:rPr>
          <w:instrText xml:space="preserve"> PAGEREF _Toc411513802 \h </w:instrText>
        </w:r>
        <w:r w:rsidR="005B4764">
          <w:rPr>
            <w:webHidden/>
          </w:rPr>
        </w:r>
        <w:r w:rsidR="005B4764">
          <w:rPr>
            <w:webHidden/>
          </w:rPr>
          <w:fldChar w:fldCharType="separate"/>
        </w:r>
        <w:r w:rsidR="00C4009C">
          <w:rPr>
            <w:webHidden/>
          </w:rPr>
          <w:t>10</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3" w:history="1">
        <w:r w:rsidR="005B4764" w:rsidRPr="00C875E1">
          <w:rPr>
            <w:rStyle w:val="Hyperlink"/>
          </w:rPr>
          <w:t>2.5</w:t>
        </w:r>
        <w:r w:rsidR="005B4764">
          <w:rPr>
            <w:rFonts w:ascii="Times New Roman" w:hAnsi="Times New Roman"/>
            <w:snapToGrid/>
            <w:kern w:val="0"/>
            <w:sz w:val="24"/>
            <w:szCs w:val="24"/>
            <w:lang w:eastAsia="nl-NL"/>
          </w:rPr>
          <w:tab/>
        </w:r>
        <w:r w:rsidR="005B4764" w:rsidRPr="00C875E1">
          <w:rPr>
            <w:rStyle w:val="Hyperlink"/>
          </w:rPr>
          <w:t>Verklaring</w:t>
        </w:r>
        <w:r w:rsidR="005B4764">
          <w:rPr>
            <w:webHidden/>
          </w:rPr>
          <w:tab/>
        </w:r>
        <w:r w:rsidR="005B4764">
          <w:rPr>
            <w:webHidden/>
          </w:rPr>
          <w:fldChar w:fldCharType="begin"/>
        </w:r>
        <w:r w:rsidR="005B4764">
          <w:rPr>
            <w:webHidden/>
          </w:rPr>
          <w:instrText xml:space="preserve"> PAGEREF _Toc411513803 \h </w:instrText>
        </w:r>
        <w:r w:rsidR="005B4764">
          <w:rPr>
            <w:webHidden/>
          </w:rPr>
        </w:r>
        <w:r w:rsidR="005B4764">
          <w:rPr>
            <w:webHidden/>
          </w:rPr>
          <w:fldChar w:fldCharType="separate"/>
        </w:r>
        <w:r w:rsidR="00C4009C">
          <w:rPr>
            <w:webHidden/>
          </w:rPr>
          <w:t>12</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4" w:history="1">
        <w:r w:rsidR="005B4764" w:rsidRPr="00C875E1">
          <w:rPr>
            <w:rStyle w:val="Hyperlink"/>
          </w:rPr>
          <w:t>2.6</w:t>
        </w:r>
        <w:r w:rsidR="005B4764">
          <w:rPr>
            <w:rFonts w:ascii="Times New Roman" w:hAnsi="Times New Roman"/>
            <w:snapToGrid/>
            <w:kern w:val="0"/>
            <w:sz w:val="24"/>
            <w:szCs w:val="24"/>
            <w:lang w:eastAsia="nl-NL"/>
          </w:rPr>
          <w:tab/>
        </w:r>
        <w:r w:rsidR="005B4764" w:rsidRPr="00C875E1">
          <w:rPr>
            <w:rStyle w:val="Hyperlink"/>
          </w:rPr>
          <w:t>Vestiging hypotheekrecht</w:t>
        </w:r>
        <w:r w:rsidR="005B4764">
          <w:rPr>
            <w:webHidden/>
          </w:rPr>
          <w:tab/>
        </w:r>
        <w:r w:rsidR="005B4764">
          <w:rPr>
            <w:webHidden/>
          </w:rPr>
          <w:fldChar w:fldCharType="begin"/>
        </w:r>
        <w:r w:rsidR="005B4764">
          <w:rPr>
            <w:webHidden/>
          </w:rPr>
          <w:instrText xml:space="preserve"> PAGEREF _Toc411513804 \h </w:instrText>
        </w:r>
        <w:r w:rsidR="005B4764">
          <w:rPr>
            <w:webHidden/>
          </w:rPr>
        </w:r>
        <w:r w:rsidR="005B4764">
          <w:rPr>
            <w:webHidden/>
          </w:rPr>
          <w:fldChar w:fldCharType="separate"/>
        </w:r>
        <w:r w:rsidR="00C4009C">
          <w:rPr>
            <w:webHidden/>
          </w:rPr>
          <w:t>13</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5" w:history="1">
        <w:r w:rsidR="005B4764" w:rsidRPr="00C875E1">
          <w:rPr>
            <w:rStyle w:val="Hyperlink"/>
          </w:rPr>
          <w:t>2.7</w:t>
        </w:r>
        <w:r w:rsidR="005B4764">
          <w:rPr>
            <w:rFonts w:ascii="Times New Roman" w:hAnsi="Times New Roman"/>
            <w:snapToGrid/>
            <w:kern w:val="0"/>
            <w:sz w:val="24"/>
            <w:szCs w:val="24"/>
            <w:lang w:eastAsia="nl-NL"/>
          </w:rPr>
          <w:tab/>
        </w:r>
        <w:r w:rsidR="005B4764" w:rsidRPr="00C875E1">
          <w:rPr>
            <w:rStyle w:val="Hyperlink"/>
          </w:rPr>
          <w:t>Onderpand</w:t>
        </w:r>
        <w:r w:rsidR="005B4764">
          <w:rPr>
            <w:webHidden/>
          </w:rPr>
          <w:tab/>
        </w:r>
        <w:r w:rsidR="005B4764">
          <w:rPr>
            <w:webHidden/>
          </w:rPr>
          <w:fldChar w:fldCharType="begin"/>
        </w:r>
        <w:r w:rsidR="005B4764">
          <w:rPr>
            <w:webHidden/>
          </w:rPr>
          <w:instrText xml:space="preserve"> PAGEREF _Toc411513805 \h </w:instrText>
        </w:r>
        <w:r w:rsidR="005B4764">
          <w:rPr>
            <w:webHidden/>
          </w:rPr>
        </w:r>
        <w:r w:rsidR="005B4764">
          <w:rPr>
            <w:webHidden/>
          </w:rPr>
          <w:fldChar w:fldCharType="separate"/>
        </w:r>
        <w:r w:rsidR="00C4009C">
          <w:rPr>
            <w:webHidden/>
          </w:rPr>
          <w:t>15</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6" w:history="1">
        <w:r w:rsidR="005B4764" w:rsidRPr="00C875E1">
          <w:rPr>
            <w:rStyle w:val="Hyperlink"/>
          </w:rPr>
          <w:t>2.8</w:t>
        </w:r>
        <w:r w:rsidR="005B4764">
          <w:rPr>
            <w:rFonts w:ascii="Times New Roman" w:hAnsi="Times New Roman"/>
            <w:snapToGrid/>
            <w:kern w:val="0"/>
            <w:sz w:val="24"/>
            <w:szCs w:val="24"/>
            <w:lang w:eastAsia="nl-NL"/>
          </w:rPr>
          <w:tab/>
        </w:r>
        <w:r w:rsidR="005B4764" w:rsidRPr="00C875E1">
          <w:rPr>
            <w:rStyle w:val="Hyperlink"/>
          </w:rPr>
          <w:t>Overbruggingshypotheek</w:t>
        </w:r>
        <w:r w:rsidR="005B4764">
          <w:rPr>
            <w:webHidden/>
          </w:rPr>
          <w:tab/>
        </w:r>
        <w:r w:rsidR="005B4764">
          <w:rPr>
            <w:webHidden/>
          </w:rPr>
          <w:fldChar w:fldCharType="begin"/>
        </w:r>
        <w:r w:rsidR="005B4764">
          <w:rPr>
            <w:webHidden/>
          </w:rPr>
          <w:instrText xml:space="preserve"> PAGEREF _Toc411513806 \h </w:instrText>
        </w:r>
        <w:r w:rsidR="005B4764">
          <w:rPr>
            <w:webHidden/>
          </w:rPr>
        </w:r>
        <w:r w:rsidR="005B4764">
          <w:rPr>
            <w:webHidden/>
          </w:rPr>
          <w:fldChar w:fldCharType="separate"/>
        </w:r>
        <w:r w:rsidR="00C4009C">
          <w:rPr>
            <w:webHidden/>
          </w:rPr>
          <w:t>16</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7" w:history="1">
        <w:r w:rsidR="005B4764" w:rsidRPr="00C875E1">
          <w:rPr>
            <w:rStyle w:val="Hyperlink"/>
          </w:rPr>
          <w:t>2.9</w:t>
        </w:r>
        <w:r w:rsidR="005B4764">
          <w:rPr>
            <w:rFonts w:ascii="Times New Roman" w:hAnsi="Times New Roman"/>
            <w:snapToGrid/>
            <w:kern w:val="0"/>
            <w:sz w:val="24"/>
            <w:szCs w:val="24"/>
            <w:lang w:eastAsia="nl-NL"/>
          </w:rPr>
          <w:tab/>
        </w:r>
        <w:r w:rsidR="005B4764" w:rsidRPr="00C875E1">
          <w:rPr>
            <w:rStyle w:val="Hyperlink"/>
          </w:rPr>
          <w:t>Afsluiting</w:t>
        </w:r>
        <w:r w:rsidR="005B4764">
          <w:rPr>
            <w:webHidden/>
          </w:rPr>
          <w:tab/>
        </w:r>
        <w:r w:rsidR="005B4764">
          <w:rPr>
            <w:webHidden/>
          </w:rPr>
          <w:fldChar w:fldCharType="begin"/>
        </w:r>
        <w:r w:rsidR="005B4764">
          <w:rPr>
            <w:webHidden/>
          </w:rPr>
          <w:instrText xml:space="preserve"> PAGEREF _Toc411513807 \h </w:instrText>
        </w:r>
        <w:r w:rsidR="005B4764">
          <w:rPr>
            <w:webHidden/>
          </w:rPr>
        </w:r>
        <w:r w:rsidR="005B4764">
          <w:rPr>
            <w:webHidden/>
          </w:rPr>
          <w:fldChar w:fldCharType="separate"/>
        </w:r>
        <w:r w:rsidR="00C4009C">
          <w:rPr>
            <w:webHidden/>
          </w:rPr>
          <w:t>17</w:t>
        </w:r>
        <w:r w:rsidR="005B4764">
          <w:rPr>
            <w:webHidden/>
          </w:rPr>
          <w:fldChar w:fldCharType="end"/>
        </w:r>
      </w:hyperlink>
    </w:p>
    <w:p w:rsidR="005B4764" w:rsidRDefault="000C24EB">
      <w:pPr>
        <w:pStyle w:val="Inhopg2"/>
        <w:rPr>
          <w:rFonts w:ascii="Times New Roman" w:hAnsi="Times New Roman"/>
          <w:snapToGrid/>
          <w:kern w:val="0"/>
          <w:sz w:val="24"/>
          <w:szCs w:val="24"/>
          <w:lang w:eastAsia="nl-NL"/>
        </w:rPr>
      </w:pPr>
      <w:hyperlink w:anchor="_Toc411513808" w:history="1">
        <w:r w:rsidR="005B4764" w:rsidRPr="00C875E1">
          <w:rPr>
            <w:rStyle w:val="Hyperlink"/>
            <w:lang w:val="en-US"/>
          </w:rPr>
          <w:t>2.10</w:t>
        </w:r>
        <w:r w:rsidR="005B4764">
          <w:rPr>
            <w:rFonts w:ascii="Times New Roman" w:hAnsi="Times New Roman"/>
            <w:snapToGrid/>
            <w:kern w:val="0"/>
            <w:sz w:val="24"/>
            <w:szCs w:val="24"/>
            <w:lang w:eastAsia="nl-NL"/>
          </w:rPr>
          <w:tab/>
        </w:r>
        <w:r w:rsidR="005B4764" w:rsidRPr="00C875E1">
          <w:rPr>
            <w:rStyle w:val="Hyperlink"/>
            <w:lang w:val="en-US"/>
          </w:rPr>
          <w:t>Vrije gedeelte</w:t>
        </w:r>
        <w:r w:rsidR="005B4764">
          <w:rPr>
            <w:webHidden/>
          </w:rPr>
          <w:tab/>
        </w:r>
        <w:r w:rsidR="005B4764">
          <w:rPr>
            <w:webHidden/>
          </w:rPr>
          <w:fldChar w:fldCharType="begin"/>
        </w:r>
        <w:r w:rsidR="005B4764">
          <w:rPr>
            <w:webHidden/>
          </w:rPr>
          <w:instrText xml:space="preserve"> PAGEREF _Toc411513808 \h </w:instrText>
        </w:r>
        <w:r w:rsidR="005B4764">
          <w:rPr>
            <w:webHidden/>
          </w:rPr>
        </w:r>
        <w:r w:rsidR="005B4764">
          <w:rPr>
            <w:webHidden/>
          </w:rPr>
          <w:fldChar w:fldCharType="separate"/>
        </w:r>
        <w:r w:rsidR="00C4009C">
          <w:rPr>
            <w:webHidden/>
          </w:rPr>
          <w:t>18</w:t>
        </w:r>
        <w:r w:rsidR="005B4764">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11513792"/>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11513793"/>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11513794"/>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60450381" wp14:editId="52A452BD">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11513795"/>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E5017E" w:rsidP="00706AC0">
            <w:pPr>
              <w:rPr>
                <w:lang w:val="nl"/>
              </w:rPr>
            </w:pPr>
            <w:r>
              <w:rPr>
                <w:lang w:val="nl"/>
              </w:rPr>
              <w:t>2.0.0</w:t>
            </w:r>
          </w:p>
        </w:tc>
        <w:tc>
          <w:tcPr>
            <w:tcW w:w="1590" w:type="dxa"/>
            <w:shd w:val="clear" w:color="auto" w:fill="auto"/>
          </w:tcPr>
          <w:p w:rsidR="003743B2" w:rsidRPr="00885D54" w:rsidRDefault="00E5017E" w:rsidP="00706AC0">
            <w:pPr>
              <w:rPr>
                <w:lang w:val="nl"/>
              </w:rPr>
            </w:pPr>
            <w:r>
              <w:rPr>
                <w:rFonts w:cs="Arial"/>
                <w:color w:val="000000"/>
                <w:szCs w:val="18"/>
              </w:rPr>
              <w:t>29-11-2016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706AC0" w:rsidP="00BF18B4">
            <w:r>
              <w:t>6.1.0</w:t>
            </w:r>
          </w:p>
        </w:tc>
        <w:tc>
          <w:tcPr>
            <w:tcW w:w="1590" w:type="dxa"/>
            <w:shd w:val="clear" w:color="auto" w:fill="auto"/>
          </w:tcPr>
          <w:p w:rsidR="0054259B" w:rsidRPr="00885D54" w:rsidRDefault="00B52B03" w:rsidP="00706AC0">
            <w:pPr>
              <w:rPr>
                <w:lang w:val="nl"/>
              </w:rPr>
            </w:pPr>
            <w:r>
              <w:t>1</w:t>
            </w:r>
            <w:r w:rsidR="00706AC0">
              <w:t>6</w:t>
            </w:r>
            <w:r w:rsidR="006B11C9">
              <w:t>-0</w:t>
            </w:r>
            <w:r w:rsidR="00706AC0">
              <w:t>3</w:t>
            </w:r>
            <w:r w:rsidR="006B11C9">
              <w:t>-201</w:t>
            </w:r>
            <w:r w:rsidR="00706AC0">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8" w:name="_Toc411513796"/>
      <w:bookmarkEnd w:id="13"/>
      <w:r>
        <w:rPr>
          <w:lang w:val="nl-NL"/>
        </w:rPr>
        <w:lastRenderedPageBreak/>
        <w:t>SNS</w:t>
      </w:r>
      <w:r w:rsidR="00286F0E">
        <w:rPr>
          <w:lang w:val="nl-NL"/>
        </w:rPr>
        <w:t xml:space="preserve"> </w:t>
      </w:r>
      <w:r w:rsidR="008D0862">
        <w:rPr>
          <w:lang w:val="nl-NL"/>
        </w:rPr>
        <w:t>Hypotheekakte</w:t>
      </w:r>
      <w:bookmarkEnd w:id="28"/>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11513797"/>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411513798"/>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2" w:name="_Toc411513799"/>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4" w:name="_Toc411513800"/>
      <w:bookmarkStart w:id="35" w:name="_Ref182807022"/>
      <w:r>
        <w:t>Partijen</w:t>
      </w:r>
      <w:bookmarkEnd w:id="34"/>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C4009C">
        <w:t>[TC]</w:t>
      </w:r>
      <w:r>
        <w:fldChar w:fldCharType="end"/>
      </w:r>
      <w:r>
        <w:t>.</w:t>
      </w:r>
    </w:p>
    <w:p w:rsidR="00915E27" w:rsidRDefault="00915E27" w:rsidP="0054259B"/>
    <w:p w:rsidR="00915E27" w:rsidRDefault="00915E27" w:rsidP="00915E27">
      <w:pPr>
        <w:pStyle w:val="Kop3"/>
      </w:pPr>
      <w:bookmarkStart w:id="36" w:name="_Ref410742880"/>
      <w:bookmarkStart w:id="37" w:name="_Toc411513801"/>
      <w:r>
        <w:t>Hypotheekgever</w:t>
      </w:r>
      <w:bookmarkEnd w:id="36"/>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 waarbij ./</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p>
          <w:p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C4009C">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Pr="00885D54">
              <w:rPr>
                <w:rFonts w:cs="Arial"/>
                <w:snapToGrid/>
                <w:kern w:val="0"/>
                <w:sz w:val="16"/>
                <w:szCs w:val="16"/>
                <w:lang w:eastAsia="nl-NL"/>
              </w:rPr>
              <w:t>xlink:href</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 xml:space="preserve">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411513802"/>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w:t>
            </w:r>
            <w:proofErr w:type="spellStart"/>
            <w:r w:rsidRPr="00885D54">
              <w:rPr>
                <w:snapToGrid/>
                <w:kern w:val="0"/>
                <w:lang w:eastAsia="nl-NL"/>
              </w:rPr>
              <w:t>IMKAD_</w:t>
            </w:r>
            <w:r w:rsidRPr="00885D54">
              <w:rPr>
                <w:snapToGrid/>
                <w:kern w:val="0"/>
                <w:sz w:val="16"/>
                <w:szCs w:val="16"/>
                <w:lang w:eastAsia="nl-NL"/>
              </w:rPr>
              <w:t>AangebodenStuk</w:t>
            </w:r>
            <w:proofErr w:type="spellEnd"/>
            <w:r w:rsidRPr="00885D54">
              <w:rPr>
                <w:snapToGrid/>
                <w:kern w:val="0"/>
                <w:lang w:eastAsia="nl-NL"/>
              </w:rPr>
              <w:t>/Partij/Gevolmachtigde, waarbij ./</w:t>
            </w:r>
            <w:proofErr w:type="spellStart"/>
            <w:r w:rsidRPr="00885D54">
              <w:rPr>
                <w:snapToGrid/>
                <w:kern w:val="0"/>
                <w:lang w:eastAsia="nl-NL"/>
              </w:rPr>
              <w:t>aanduidingP</w:t>
            </w:r>
            <w:r w:rsidR="005F76D4" w:rsidRPr="00885D54">
              <w:rPr>
                <w:snapToGrid/>
                <w:kern w:val="0"/>
                <w:lang w:eastAsia="nl-NL"/>
              </w:rPr>
              <w:t>artij</w:t>
            </w:r>
            <w:proofErr w:type="spellEnd"/>
            <w:r w:rsidR="005F76D4" w:rsidRPr="00885D54">
              <w:rPr>
                <w:snapToGrid/>
                <w:kern w:val="0"/>
                <w:lang w:eastAsia="nl-NL"/>
              </w:rPr>
              <w:t>(‘</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C4009C">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proofErr w:type="spellStart"/>
            <w:r w:rsidRPr="00885D54">
              <w:rPr>
                <w:szCs w:val="18"/>
                <w:u w:val="single"/>
              </w:rPr>
              <w:t>Mapping</w:t>
            </w:r>
            <w:proofErr w:type="spellEnd"/>
            <w:r w:rsidRPr="00885D54">
              <w:rPr>
                <w:szCs w:val="18"/>
                <w:u w:val="single"/>
              </w:rPr>
              <w:t xml:space="preserve">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proofErr w:type="spellStart"/>
            <w:r w:rsidRPr="00885D54">
              <w:rPr>
                <w:u w:val="single"/>
              </w:rPr>
              <w:t>Mapping</w:t>
            </w:r>
            <w:proofErr w:type="spellEnd"/>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w:t>
            </w:r>
            <w:proofErr w:type="spellStart"/>
            <w:r w:rsidRPr="00885D54">
              <w:rPr>
                <w:rFonts w:cs="Arial"/>
                <w:sz w:val="16"/>
                <w:szCs w:val="16"/>
              </w:rPr>
              <w:t>StukdeelHypotheek</w:t>
            </w:r>
            <w:proofErr w:type="spellEnd"/>
            <w:r w:rsidRPr="00885D54">
              <w:rPr>
                <w:rFonts w:cs="Arial"/>
                <w:sz w:val="16"/>
                <w:szCs w:val="16"/>
              </w:rPr>
              <w:t>:</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007723BF" w:rsidRPr="00885D54">
              <w:rPr>
                <w:rFonts w:cs="Arial"/>
                <w:sz w:val="16"/>
                <w:szCs w:val="16"/>
              </w:rPr>
              <w:t xml:space="preserve"> [</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w:t>
            </w:r>
            <w:proofErr w:type="spellStart"/>
            <w:r w:rsidRPr="00885D54">
              <w:rPr>
                <w:rFonts w:cs="Arial"/>
                <w:sz w:val="16"/>
                <w:szCs w:val="16"/>
              </w:rPr>
              <w:t>ver</w:t>
            </w:r>
            <w:r w:rsidR="00084C0A" w:rsidRPr="00885D54">
              <w:rPr>
                <w:rFonts w:cs="Arial"/>
                <w:sz w:val="16"/>
                <w:szCs w:val="16"/>
              </w:rPr>
              <w:t>krijger</w:t>
            </w:r>
            <w:r w:rsidRPr="00885D54">
              <w:rPr>
                <w:rFonts w:cs="Arial"/>
                <w:sz w:val="16"/>
                <w:szCs w:val="16"/>
              </w:rPr>
              <w:t>RechtRef</w:t>
            </w:r>
            <w:proofErr w:type="spellEnd"/>
            <w:r w:rsidRPr="00885D54">
              <w:rPr>
                <w:rFonts w:cs="Arial"/>
                <w:sz w:val="16"/>
                <w:szCs w:val="16"/>
              </w:rPr>
              <w:t xml:space="preserve"> </w:t>
            </w:r>
            <w:r w:rsidR="006F4504" w:rsidRPr="00885D54">
              <w:rPr>
                <w:rFonts w:cs="Arial"/>
                <w:sz w:val="16"/>
                <w:szCs w:val="16"/>
              </w:rPr>
              <w:t>[</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Default="00B61F35" w:rsidP="00B61F35">
            <w:r w:rsidRPr="00B61F35">
              <w:t>Verplichte tekst</w:t>
            </w:r>
          </w:p>
          <w:p w:rsidR="00E5017E" w:rsidRDefault="00E5017E" w:rsidP="00B61F35"/>
          <w:p w:rsidR="00E5017E" w:rsidRDefault="00E5017E" w:rsidP="00E5017E">
            <w:pPr>
              <w:rPr>
                <w:snapToGrid/>
              </w:rPr>
            </w:pPr>
          </w:p>
          <w:p w:rsidR="00E5017E" w:rsidRDefault="00E5017E" w:rsidP="00E5017E">
            <w:pPr>
              <w:rPr>
                <w:u w:val="single"/>
              </w:rPr>
            </w:pPr>
            <w:proofErr w:type="spellStart"/>
            <w:r>
              <w:rPr>
                <w:u w:val="single"/>
              </w:rPr>
              <w:t>Mapping</w:t>
            </w:r>
            <w:proofErr w:type="spellEnd"/>
            <w:r>
              <w:rPr>
                <w:u w:val="single"/>
              </w:rPr>
              <w:t xml:space="preserve"> naam:</w:t>
            </w:r>
          </w:p>
          <w:p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E5017E" w:rsidRDefault="00E5017E" w:rsidP="00E5017E">
            <w:pPr>
              <w:spacing w:line="240" w:lineRule="auto"/>
              <w:ind w:left="227"/>
              <w:rPr>
                <w:sz w:val="16"/>
                <w:szCs w:val="16"/>
              </w:rPr>
            </w:pPr>
            <w:r>
              <w:rPr>
                <w:sz w:val="16"/>
                <w:szCs w:val="16"/>
              </w:rPr>
              <w:t>./</w:t>
            </w:r>
            <w:proofErr w:type="spellStart"/>
            <w:r>
              <w:rPr>
                <w:sz w:val="16"/>
                <w:szCs w:val="16"/>
              </w:rPr>
              <w:t>statutaireNaam</w:t>
            </w:r>
            <w:proofErr w:type="spellEnd"/>
          </w:p>
          <w:p w:rsidR="00E5017E" w:rsidRDefault="00E5017E" w:rsidP="00E5017E">
            <w:pPr>
              <w:autoSpaceDE w:val="0"/>
              <w:autoSpaceDN w:val="0"/>
              <w:adjustRightInd w:val="0"/>
              <w:spacing w:line="240" w:lineRule="auto"/>
              <w:rPr>
                <w:rFonts w:cs="Arial"/>
                <w:kern w:val="0"/>
                <w:szCs w:val="18"/>
                <w:lang w:eastAsia="nl-NL"/>
              </w:rPr>
            </w:pPr>
          </w:p>
          <w:p w:rsidR="00E5017E" w:rsidRDefault="00E5017E" w:rsidP="00E5017E">
            <w:pPr>
              <w:rPr>
                <w:u w:val="single"/>
              </w:rPr>
            </w:pPr>
            <w:proofErr w:type="spellStart"/>
            <w:r>
              <w:rPr>
                <w:u w:val="single"/>
              </w:rPr>
              <w:t>Mapping</w:t>
            </w:r>
            <w:proofErr w:type="spellEnd"/>
            <w:r>
              <w:rPr>
                <w:u w:val="single"/>
              </w:rPr>
              <w:t xml:space="preserve"> aanduiding hypotheekbank partij:</w:t>
            </w:r>
          </w:p>
          <w:p w:rsidR="00E5017E" w:rsidRPr="00B61F35" w:rsidRDefault="00E5017E" w:rsidP="00E5017E">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507DAF" w:rsidP="00507DAF">
      <w:pPr>
        <w:pStyle w:val="Kop2"/>
      </w:pPr>
      <w:bookmarkStart w:id="40" w:name="_Ref410743612"/>
      <w:bookmarkStart w:id="41" w:name="_Toc411513803"/>
      <w:r>
        <w:t>Verklaring</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C4009C">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411513804"/>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C4009C">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C4009C">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proofErr w:type="spellStart"/>
            <w:r w:rsidRPr="00885D54">
              <w:rPr>
                <w:rFonts w:cs="Arial"/>
                <w:color w:val="000000"/>
                <w:sz w:val="20"/>
              </w:rPr>
              <w:t>leningbedrag</w:t>
            </w:r>
            <w:proofErr w:type="spellEnd"/>
            <w:r w:rsidRPr="00885D54">
              <w:rPr>
                <w:rFonts w:cs="Arial"/>
                <w:color w:val="000000"/>
                <w:sz w:val="20"/>
              </w:rPr>
              <w:t xml:space="preserve"> voluit in letters (</w:t>
            </w:r>
            <w:proofErr w:type="spellStart"/>
            <w:r w:rsidRPr="00885D54">
              <w:rPr>
                <w:rFonts w:cs="Arial"/>
                <w:color w:val="000000"/>
                <w:sz w:val="20"/>
              </w:rPr>
              <w:t>leningbedrag</w:t>
            </w:r>
            <w:proofErr w:type="spellEnd"/>
            <w:r w:rsidRPr="00885D54">
              <w:rPr>
                <w:rFonts w:cs="Arial"/>
                <w:color w:val="000000"/>
                <w:sz w:val="20"/>
              </w:rPr>
              <w:t xml:space="preserve">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van </w:t>
            </w:r>
            <w:r w:rsidRPr="00885D54">
              <w:rPr>
                <w:rFonts w:cs="Arial"/>
                <w:sz w:val="20"/>
              </w:rPr>
              <w:t>§datum§</w:t>
            </w:r>
            <w:r w:rsidRPr="00885D54">
              <w:rPr>
                <w:rFonts w:cs="Arial"/>
                <w:color w:val="FF0000"/>
                <w:sz w:val="20"/>
              </w:rPr>
              <w:t xml:space="preserve"> en zoals deze is of zal worden vastgelegd in een door de bank en de schuldenaar gesloten respectievelijk te sluiten overeenkomst van geldlening SNS Bank (particulier)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hypotheekbedrag:</w:t>
            </w:r>
          </w:p>
          <w:p w:rsidR="00B46A96" w:rsidRPr="00885D54" w:rsidRDefault="00864FC2" w:rsidP="00885D54">
            <w:pPr>
              <w:spacing w:before="72"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proofErr w:type="spellStart"/>
            <w:r w:rsidRPr="00885D54">
              <w:rPr>
                <w:sz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proofErr w:type="spellStart"/>
            <w:r w:rsidRPr="00885D54">
              <w:rPr>
                <w:u w:val="single"/>
              </w:rPr>
              <w:t>Mapping</w:t>
            </w:r>
            <w:proofErr w:type="spellEnd"/>
            <w:r w:rsidRPr="00885D54">
              <w:rPr>
                <w:u w:val="single"/>
              </w:rPr>
              <w:t xml:space="preserve"> datum offerte:</w:t>
            </w:r>
          </w:p>
          <w:p w:rsidR="00B52B03" w:rsidRPr="00885D54" w:rsidRDefault="00B52B03" w:rsidP="00885D54">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B52B03" w:rsidRPr="00885D54" w:rsidRDefault="00B52B03" w:rsidP="00885D54">
            <w:pPr>
              <w:spacing w:line="240" w:lineRule="auto"/>
              <w:rPr>
                <w:sz w:val="16"/>
              </w:rPr>
            </w:pPr>
            <w:r w:rsidRPr="00885D54">
              <w:rPr>
                <w:sz w:val="16"/>
              </w:rPr>
              <w:tab/>
              <w:t>./</w:t>
            </w:r>
            <w:proofErr w:type="spellStart"/>
            <w:r w:rsidRPr="00885D54">
              <w:rPr>
                <w:sz w:val="16"/>
              </w:rPr>
              <w:t>datumOfferte</w:t>
            </w:r>
            <w:proofErr w:type="spellEnd"/>
            <w:r w:rsidRPr="003B6EB8" w:rsidDel="00C46A8C">
              <w:t xml:space="preserve"> </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885D54">
              <w:rPr>
                <w:sz w:val="16"/>
                <w:szCs w:val="16"/>
              </w:rPr>
              <w:lastRenderedPageBreak/>
              <w:t>Mapping</w:t>
            </w:r>
            <w:proofErr w:type="spellEnd"/>
            <w:r w:rsidRPr="00885D54">
              <w:rPr>
                <w:sz w:val="16"/>
                <w:szCs w:val="16"/>
              </w:rPr>
              <w:t xml:space="preserve"> '50% van hypotheekbedrag'</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885D54">
            <w:pPr>
              <w:spacing w:line="240" w:lineRule="atLeast"/>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'150% van hypotheekbedrag'</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915E27">
            <w:r w:rsidRPr="00885D54">
              <w:rPr>
                <w:sz w:val="16"/>
                <w:szCs w:val="16"/>
              </w:rPr>
              <w:tab/>
              <w:t>./</w:t>
            </w:r>
            <w:proofErr w:type="spellStart"/>
            <w:r w:rsidRPr="00885D54">
              <w:rPr>
                <w:rFonts w:cs="Arial"/>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411513805"/>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411513806"/>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w:t>
            </w:r>
            <w:proofErr w:type="spellStart"/>
            <w:r w:rsidRPr="00885D54">
              <w:rPr>
                <w:sz w:val="16"/>
                <w:szCs w:val="16"/>
              </w:rPr>
              <w:t>tagNaam</w:t>
            </w:r>
            <w:proofErr w:type="spellEnd"/>
            <w:r w:rsidRPr="00885D54">
              <w:rPr>
                <w:sz w:val="16"/>
                <w:szCs w:val="16"/>
              </w:rPr>
              <w:t>(‘</w:t>
            </w:r>
            <w:proofErr w:type="spellStart"/>
            <w:r w:rsidRPr="00885D54">
              <w:rPr>
                <w:sz w:val="16"/>
                <w:szCs w:val="16"/>
              </w:rPr>
              <w:t>k_VerkrijgerOverbrugging</w:t>
            </w:r>
            <w:proofErr w:type="spellEnd"/>
            <w:r w:rsidRPr="00885D54">
              <w:rPr>
                <w:sz w:val="16"/>
                <w:szCs w:val="16"/>
              </w:rPr>
              <w:t>’)</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7" w:name="_Toc411513807"/>
      <w:r w:rsidR="00C80891">
        <w:lastRenderedPageBreak/>
        <w:t>Afsluiting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1B48BB" w:rsidP="00885D54">
            <w:pPr>
              <w:keepNext/>
              <w:spacing w:line="240" w:lineRule="auto"/>
              <w:ind w:left="227"/>
              <w:rPr>
                <w:sz w:val="16"/>
                <w:szCs w:val="16"/>
              </w:rPr>
            </w:pPr>
            <w:r w:rsidRPr="00885D54">
              <w:rPr>
                <w:sz w:val="16"/>
                <w:szCs w:val="16"/>
              </w:rPr>
              <w:t>./</w:t>
            </w:r>
            <w:proofErr w:type="spellStart"/>
            <w:r w:rsidRPr="00885D54">
              <w:rPr>
                <w:sz w:val="16"/>
                <w:szCs w:val="16"/>
              </w:rPr>
              <w:t>tagNaam</w:t>
            </w:r>
            <w:proofErr w:type="spellEnd"/>
            <w:r w:rsidRPr="00885D54">
              <w:rPr>
                <w:sz w:val="16"/>
                <w:szCs w:val="16"/>
              </w:rPr>
              <w:t>(‘</w:t>
            </w:r>
            <w:proofErr w:type="spellStart"/>
            <w:r w:rsidRPr="00885D54">
              <w:rPr>
                <w:sz w:val="16"/>
                <w:szCs w:val="16"/>
              </w:rPr>
              <w:t>k_Woonplaatskeuze</w:t>
            </w:r>
            <w:proofErr w:type="spellEnd"/>
            <w:r w:rsidRPr="00885D54">
              <w:rPr>
                <w:sz w:val="16"/>
                <w:szCs w:val="16"/>
              </w:rPr>
              <w:t>’)</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 xml:space="preserve">’wordt niet in de keuzetekst opgenomen, maar dient getoond te worden als de ‘tekst’ bij de betreffende </w:t>
            </w:r>
            <w:proofErr w:type="spellStart"/>
            <w:r w:rsidR="001B48BB" w:rsidRPr="00885D54">
              <w:rPr>
                <w:i/>
                <w:sz w:val="16"/>
                <w:szCs w:val="16"/>
              </w:rPr>
              <w:t>tagnaam</w:t>
            </w:r>
            <w:proofErr w:type="spellEnd"/>
            <w:r w:rsidR="001B48BB" w:rsidRPr="00885D54">
              <w:rPr>
                <w:i/>
                <w:sz w:val="16"/>
                <w:szCs w:val="16"/>
              </w:rPr>
              <w:t xml:space="preserve">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8" w:name="_Toc248216324"/>
      <w:r w:rsidRPr="00865E4C">
        <w:rPr>
          <w:lang w:val="nl-NL"/>
        </w:rPr>
        <w:br w:type="page"/>
      </w:r>
      <w:bookmarkStart w:id="49" w:name="_Toc411513808"/>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48"/>
      <w:bookmarkEnd w:id="49"/>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4EB" w:rsidRDefault="000C24EB">
      <w:r>
        <w:separator/>
      </w:r>
    </w:p>
  </w:endnote>
  <w:endnote w:type="continuationSeparator" w:id="0">
    <w:p w:rsidR="000C24EB" w:rsidRDefault="000C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4EB" w:rsidRDefault="000C24EB">
      <w:r>
        <w:separator/>
      </w:r>
    </w:p>
  </w:footnote>
  <w:footnote w:type="continuationSeparator" w:id="0">
    <w:p w:rsidR="000C24EB" w:rsidRDefault="000C2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0C24EB">
          <w:pPr>
            <w:spacing w:line="240" w:lineRule="atLeast"/>
          </w:pPr>
          <w:r>
            <w:fldChar w:fldCharType="begin"/>
          </w:r>
          <w:r>
            <w:instrText xml:space="preserve"> STYLEREF Datumopmaakprofiel\l  \* MERGEFORMAT </w:instrText>
          </w:r>
          <w:r w:rsidR="007D165A">
            <w:fldChar w:fldCharType="separate"/>
          </w:r>
          <w:r w:rsidR="00C4009C">
            <w:rPr>
              <w:noProof/>
            </w:rPr>
            <w:t>7 december 2017</w:t>
          </w:r>
          <w:r>
            <w:rPr>
              <w:noProof/>
            </w:rPr>
            <w:fldChar w:fldCharType="end"/>
          </w:r>
        </w:p>
      </w:tc>
    </w:tr>
    <w:tr w:rsidR="00CA5888">
      <w:tc>
        <w:tcPr>
          <w:tcW w:w="4181" w:type="dxa"/>
        </w:tcPr>
        <w:p w:rsidR="00CA5888" w:rsidRDefault="00CA5888">
          <w:pPr>
            <w:pStyle w:val="tussenkopje"/>
          </w:pPr>
          <w:r>
            <w:t>Titel</w:t>
          </w:r>
        </w:p>
      </w:tc>
    </w:tr>
    <w:tr w:rsidR="00CA5888">
      <w:tc>
        <w:tcPr>
          <w:tcW w:w="4181" w:type="dxa"/>
        </w:tcPr>
        <w:p w:rsidR="00CA5888" w:rsidRDefault="000C24EB">
          <w:pPr>
            <w:spacing w:line="240" w:lineRule="atLeast"/>
          </w:pPr>
          <w:r>
            <w:fldChar w:fldCharType="begin"/>
          </w:r>
          <w:r>
            <w:instrText xml:space="preserve"> STYLEREF Titel \* MERGEFORMAT </w:instrText>
          </w:r>
          <w:r>
            <w:fldChar w:fldCharType="separate"/>
          </w:r>
          <w:r w:rsidR="00C4009C">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tr w:rsidR="00CA5888">
      <w:tc>
        <w:tcPr>
          <w:tcW w:w="4181" w:type="dxa"/>
        </w:tcPr>
        <w:p w:rsidR="00CA5888" w:rsidRDefault="000C24EB">
          <w:pPr>
            <w:spacing w:line="240" w:lineRule="atLeast"/>
          </w:pPr>
          <w:r>
            <w:fldChar w:fldCharType="begin"/>
          </w:r>
          <w:r>
            <w:instrText xml:space="preserve"> STYLEREF Versie\l  \* MERGEFORMAT </w:instrText>
          </w:r>
          <w:r w:rsidR="007D165A">
            <w:fldChar w:fldCharType="separate"/>
          </w:r>
          <w:r w:rsidR="00C4009C">
            <w:rPr>
              <w:noProof/>
            </w:rPr>
            <w:t>2.1.0</w:t>
          </w:r>
          <w:r>
            <w:rPr>
              <w:noProof/>
            </w:rPr>
            <w:fldChar w:fldCharType="end"/>
          </w:r>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C4009C">
            <w:rPr>
              <w:noProof/>
            </w:rPr>
            <w:t>3</w:t>
          </w:r>
          <w:r>
            <w:fldChar w:fldCharType="end"/>
          </w:r>
          <w:r>
            <w:t xml:space="preserve"> van </w:t>
          </w:r>
          <w:r>
            <w:fldChar w:fldCharType="begin"/>
          </w:r>
          <w:r>
            <w:instrText xml:space="preserve"> = 1+</w:instrText>
          </w:r>
          <w:r w:rsidR="000C24EB">
            <w:fldChar w:fldCharType="begin"/>
          </w:r>
          <w:r w:rsidR="000C24EB">
            <w:instrText xml:space="preserve"> NUMPAGES   \* MERGEFORMAT </w:instrText>
          </w:r>
          <w:r w:rsidR="000C24EB">
            <w:fldChar w:fldCharType="separate"/>
          </w:r>
          <w:r w:rsidR="00C4009C">
            <w:rPr>
              <w:noProof/>
            </w:rPr>
            <w:instrText>17</w:instrText>
          </w:r>
          <w:r w:rsidR="000C24EB">
            <w:rPr>
              <w:noProof/>
            </w:rPr>
            <w:fldChar w:fldCharType="end"/>
          </w:r>
          <w:r>
            <w:instrText xml:space="preserve"> </w:instrText>
          </w:r>
          <w:r>
            <w:fldChar w:fldCharType="separate"/>
          </w:r>
          <w:r w:rsidR="00C4009C">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7216" behindDoc="1" locked="0" layoutInCell="1" allowOverlap="1" wp14:anchorId="7A7D6B37" wp14:editId="3887139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rsidR="007D165A">
            <w:fldChar w:fldCharType="separate"/>
          </w:r>
          <w:r w:rsidR="00C4009C">
            <w:rPr>
              <w:noProof/>
            </w:rPr>
            <w:t>7 december 2017</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0C24EB">
          <w:pPr>
            <w:spacing w:line="240" w:lineRule="atLeast"/>
          </w:pPr>
          <w:r>
            <w:fldChar w:fldCharType="begin"/>
          </w:r>
          <w:r>
            <w:instrText xml:space="preserve"> STYLEREF Titel \* MERGEFORMAT </w:instrText>
          </w:r>
          <w:r>
            <w:fldChar w:fldCharType="separate"/>
          </w:r>
          <w:r w:rsidR="00C4009C">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rsidR="007D165A">
            <w:fldChar w:fldCharType="separate"/>
          </w:r>
          <w:r w:rsidR="00C4009C">
            <w:rPr>
              <w:noProof/>
            </w:rPr>
            <w:t>2.1.0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C4009C">
            <w:rPr>
              <w:noProof/>
            </w:rPr>
            <w:t>5</w:t>
          </w:r>
          <w:r>
            <w:fldChar w:fldCharType="end"/>
          </w:r>
          <w:r>
            <w:t xml:space="preserve"> van </w:t>
          </w:r>
          <w:r>
            <w:fldChar w:fldCharType="begin"/>
          </w:r>
          <w:r>
            <w:instrText xml:space="preserve"> = 1+</w:instrText>
          </w:r>
          <w:r w:rsidR="000C24EB">
            <w:fldChar w:fldCharType="begin"/>
          </w:r>
          <w:r w:rsidR="000C24EB">
            <w:instrText xml:space="preserve"> NUMPAGES   \* MERGEFORMAT </w:instrText>
          </w:r>
          <w:r w:rsidR="000C24EB">
            <w:fldChar w:fldCharType="separate"/>
          </w:r>
          <w:r w:rsidR="00C4009C">
            <w:rPr>
              <w:noProof/>
            </w:rPr>
            <w:instrText>17</w:instrText>
          </w:r>
          <w:r w:rsidR="000C24EB">
            <w:rPr>
              <w:noProof/>
            </w:rPr>
            <w:fldChar w:fldCharType="end"/>
          </w:r>
          <w:r>
            <w:instrText xml:space="preserve"> </w:instrText>
          </w:r>
          <w:r>
            <w:fldChar w:fldCharType="separate"/>
          </w:r>
          <w:r w:rsidR="00C4009C">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8240" behindDoc="1" locked="0" layoutInCell="1" allowOverlap="1" wp14:anchorId="31077660" wp14:editId="065517A5">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3</TotalTime>
  <Pages>17</Pages>
  <Words>2328</Words>
  <Characters>12808</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15106</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7</cp:revision>
  <cp:lastPrinted>2014-08-22T13:00:00Z</cp:lastPrinted>
  <dcterms:created xsi:type="dcterms:W3CDTF">2016-11-30T12:24:00Z</dcterms:created>
  <dcterms:modified xsi:type="dcterms:W3CDTF">2017-12-08T09:40:00Z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