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</w:t>
            </w:r>
            <w:bookmarkStart w:id="1" w:name="_GoBack"/>
            <w:bookmarkEnd w:id="1"/>
            <w:r w:rsidRPr="00343045">
              <w:t>ernstaf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B6EA0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BA6B41">
              <w:rPr>
                <w:lang w:val="nl-NL"/>
              </w:rPr>
              <w:t>- Overbruggingshypotheek</w:t>
            </w:r>
            <w:r>
              <w:rPr>
                <w:lang w:val="nl-NL"/>
              </w:rPr>
              <w:t xml:space="preserve"> v</w:t>
            </w:r>
            <w:r w:rsidR="00BA6B41">
              <w:rPr>
                <w:lang w:val="nl-NL"/>
              </w:rPr>
              <w:t>1.</w:t>
            </w:r>
            <w:r w:rsidR="004441BE">
              <w:rPr>
                <w:lang w:val="nl-NL"/>
              </w:rPr>
              <w:t>4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36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5A5814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5A5814" w:rsidRPr="00343045" w:rsidRDefault="005A5814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5A5814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5A5814" w:rsidRPr="00343045" w:rsidRDefault="005A5814" w:rsidP="005A5814">
            <w:r>
              <w:fldChar w:fldCharType="begin"/>
            </w:r>
            <w:r>
              <w:instrText xml:space="preserve"> REF Versie \h </w:instrText>
            </w:r>
            <w:r>
              <w:instrText xml:space="preserve"> \* MERGEFORMAT </w:instrText>
            </w:r>
            <w:r>
              <w:fldChar w:fldCharType="separate"/>
            </w:r>
            <w:r w:rsidR="000E0705">
              <w:t>1.3</w:t>
            </w:r>
            <w:r>
              <w:fldChar w:fldCharType="end"/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120A66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0E0705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0E0705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B6EA0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5F53AD" w:rsidRPr="009B6EA0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0E0705">
              <w:t>Toelichting Tekstblok - Overbruggingshypotheek v1.4NL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0E0705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3228A3">
            <w:bookmarkStart w:id="7" w:name="bmOpdrachtgever"/>
            <w:bookmarkEnd w:id="7"/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Verspreiding</w:t>
            </w:r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0E0705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C1C0D" w:rsidRPr="00FD2BD3" w:rsidRDefault="00BA6B4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FD2BD3">
              <w:rPr>
                <w:rStyle w:val="Versie0"/>
                <w:sz w:val="16"/>
                <w:szCs w:val="16"/>
              </w:rPr>
              <w:t>0.1</w:t>
            </w:r>
          </w:p>
        </w:tc>
        <w:tc>
          <w:tcPr>
            <w:tcW w:w="1701" w:type="dxa"/>
          </w:tcPr>
          <w:p w:rsidR="00AC1C0D" w:rsidRPr="00FD2BD3" w:rsidRDefault="004D0135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22-08-</w:t>
            </w:r>
            <w:r w:rsidR="00BA6B41" w:rsidRPr="00FD2BD3">
              <w:rPr>
                <w:rStyle w:val="Datumopmaakprofiel"/>
                <w:sz w:val="16"/>
                <w:szCs w:val="16"/>
              </w:rPr>
              <w:t>2011</w:t>
            </w:r>
          </w:p>
        </w:tc>
        <w:tc>
          <w:tcPr>
            <w:tcW w:w="1985" w:type="dxa"/>
          </w:tcPr>
          <w:p w:rsidR="00AC1C0D" w:rsidRPr="00FD2BD3" w:rsidRDefault="00120A66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FD2BD3" w:rsidRDefault="00CF234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Initi</w:t>
            </w:r>
            <w:r w:rsidRPr="00FD2BD3">
              <w:rPr>
                <w:rFonts w:cs="Arial"/>
                <w:sz w:val="16"/>
                <w:szCs w:val="16"/>
              </w:rPr>
              <w:t>ë</w:t>
            </w:r>
            <w:r w:rsidR="00BA6B41" w:rsidRPr="00FD2BD3">
              <w:rPr>
                <w:sz w:val="16"/>
                <w:szCs w:val="16"/>
              </w:rPr>
              <w:t>le versie</w:t>
            </w:r>
          </w:p>
        </w:tc>
      </w:tr>
      <w:tr w:rsidR="00F41779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F41779" w:rsidRPr="00FD2BD3" w:rsidRDefault="00F4177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0.2</w:t>
            </w:r>
          </w:p>
        </w:tc>
        <w:tc>
          <w:tcPr>
            <w:tcW w:w="1701" w:type="dxa"/>
          </w:tcPr>
          <w:p w:rsidR="00F41779" w:rsidRPr="00FD2BD3" w:rsidRDefault="00F41779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29-08-2011</w:t>
            </w:r>
          </w:p>
        </w:tc>
        <w:tc>
          <w:tcPr>
            <w:tcW w:w="1985" w:type="dxa"/>
          </w:tcPr>
          <w:p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1.2 Tekstblok Overbruggingshypotheek</w:t>
            </w:r>
          </w:p>
        </w:tc>
      </w:tr>
      <w:tr w:rsidR="001423DF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423DF" w:rsidRPr="00FD2BD3" w:rsidRDefault="001423D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1.0</w:t>
            </w:r>
          </w:p>
        </w:tc>
        <w:tc>
          <w:tcPr>
            <w:tcW w:w="1701" w:type="dxa"/>
          </w:tcPr>
          <w:p w:rsidR="001423DF" w:rsidRPr="00FD2BD3" w:rsidRDefault="001423DF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31-08-2011</w:t>
            </w:r>
          </w:p>
        </w:tc>
        <w:tc>
          <w:tcPr>
            <w:tcW w:w="1985" w:type="dxa"/>
          </w:tcPr>
          <w:p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Definitief</w:t>
            </w:r>
          </w:p>
        </w:tc>
      </w:tr>
      <w:tr w:rsidR="001663FD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663FD" w:rsidRPr="00FD2BD3" w:rsidRDefault="001663F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1.1</w:t>
            </w:r>
          </w:p>
        </w:tc>
        <w:tc>
          <w:tcPr>
            <w:tcW w:w="1701" w:type="dxa"/>
          </w:tcPr>
          <w:p w:rsidR="001663FD" w:rsidRPr="00FD2BD3" w:rsidRDefault="001663FD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30-09-2011</w:t>
            </w:r>
          </w:p>
        </w:tc>
        <w:tc>
          <w:tcPr>
            <w:tcW w:w="1985" w:type="dxa"/>
          </w:tcPr>
          <w:p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CQ-1025: tekstKeuze -&gt; tekstkeuze</w:t>
            </w:r>
          </w:p>
        </w:tc>
      </w:tr>
      <w:tr w:rsidR="00860F74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60F74" w:rsidRPr="00FD2BD3" w:rsidRDefault="00860F7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1.2</w:t>
            </w:r>
          </w:p>
        </w:tc>
        <w:tc>
          <w:tcPr>
            <w:tcW w:w="1701" w:type="dxa"/>
          </w:tcPr>
          <w:p w:rsidR="00860F74" w:rsidRPr="00FD2BD3" w:rsidRDefault="005A5814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03</w:t>
            </w:r>
            <w:r w:rsidR="00860F74" w:rsidRPr="00FD2BD3">
              <w:rPr>
                <w:rStyle w:val="Datumopmaakprofiel"/>
                <w:sz w:val="16"/>
                <w:szCs w:val="16"/>
              </w:rPr>
              <w:t>-0</w:t>
            </w:r>
            <w:r w:rsidRPr="00FD2BD3">
              <w:rPr>
                <w:rStyle w:val="Datumopmaakprofiel"/>
                <w:sz w:val="16"/>
                <w:szCs w:val="16"/>
              </w:rPr>
              <w:t>7</w:t>
            </w:r>
            <w:r w:rsidR="00860F74" w:rsidRPr="00FD2BD3">
              <w:rPr>
                <w:rStyle w:val="Datumopmaakprofie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1.3 Tekstblok Overbruggingshypotheek</w:t>
            </w:r>
            <w:r w:rsidR="005A6DBA" w:rsidRPr="00FD2BD3">
              <w:rPr>
                <w:sz w:val="16"/>
                <w:szCs w:val="16"/>
              </w:rPr>
              <w:t xml:space="preserve">, </w:t>
            </w:r>
            <w:r w:rsidR="00C27186" w:rsidRPr="00FD2BD3">
              <w:rPr>
                <w:sz w:val="16"/>
                <w:szCs w:val="16"/>
              </w:rPr>
              <w:t xml:space="preserve">k_VervreemderOverbrugging </w:t>
            </w:r>
            <w:r w:rsidR="005A6DBA" w:rsidRPr="00FD2BD3">
              <w:rPr>
                <w:sz w:val="16"/>
                <w:szCs w:val="16"/>
              </w:rPr>
              <w:t>aangepast naar gebruikerskeuze.</w:t>
            </w:r>
          </w:p>
        </w:tc>
      </w:tr>
      <w:tr w:rsidR="005A6DBA" w:rsidRPr="00FD2BD3" w:rsidTr="000E070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5A6DBA" w:rsidRPr="00FD2BD3" w:rsidRDefault="005A6DB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1.3</w:t>
            </w:r>
          </w:p>
        </w:tc>
        <w:tc>
          <w:tcPr>
            <w:tcW w:w="1701" w:type="dxa"/>
          </w:tcPr>
          <w:p w:rsidR="005A6DBA" w:rsidRPr="00FD2BD3" w:rsidRDefault="004441BE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17 april</w:t>
            </w:r>
            <w:r w:rsidR="005A6DBA" w:rsidRPr="00FD2BD3">
              <w:rPr>
                <w:rStyle w:val="Datumopmaakprofiel"/>
                <w:sz w:val="16"/>
                <w:szCs w:val="16"/>
              </w:rPr>
              <w:t xml:space="preserve"> 2014</w:t>
            </w:r>
          </w:p>
        </w:tc>
        <w:tc>
          <w:tcPr>
            <w:tcW w:w="1985" w:type="dxa"/>
          </w:tcPr>
          <w:p w:rsidR="005A6DBA" w:rsidRPr="00FD2BD3" w:rsidRDefault="005A6DB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5A6DBA" w:rsidRPr="00FD2BD3" w:rsidRDefault="00FD2BD3" w:rsidP="00FD2BD3">
            <w:pPr>
              <w:rPr>
                <w:sz w:val="16"/>
                <w:szCs w:val="16"/>
              </w:rPr>
            </w:pPr>
            <w:r w:rsidRPr="00362DEE">
              <w:rPr>
                <w:sz w:val="16"/>
                <w:szCs w:val="16"/>
              </w:rPr>
              <w:t>RFC-55274</w:t>
            </w:r>
            <w:r w:rsidR="004441BE">
              <w:rPr>
                <w:sz w:val="16"/>
                <w:szCs w:val="16"/>
              </w:rPr>
              <w:t xml:space="preserve"> tekstblok v1.4</w:t>
            </w:r>
            <w:r>
              <w:rPr>
                <w:sz w:val="16"/>
                <w:szCs w:val="16"/>
              </w:rPr>
              <w:t>, tekstuele aanpassingen</w:t>
            </w:r>
            <w:r w:rsidR="004441BE">
              <w:rPr>
                <w:sz w:val="16"/>
                <w:szCs w:val="16"/>
              </w:rPr>
              <w:t>, bij tweede aanduiding vervreemderpartij mapping toegevoegd</w:t>
            </w:r>
          </w:p>
        </w:tc>
      </w:tr>
    </w:tbl>
    <w:p w:rsidR="005F7CEA" w:rsidRPr="005A5814" w:rsidRDefault="005F7CEA" w:rsidP="005A5814">
      <w:pPr>
        <w:tabs>
          <w:tab w:val="left" w:pos="779"/>
          <w:tab w:val="left" w:pos="2480"/>
          <w:tab w:val="left" w:pos="4465"/>
        </w:tabs>
      </w:pPr>
    </w:p>
    <w:p w:rsidR="005F7CEA" w:rsidRPr="00A04521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4441BE" w:rsidRDefault="003228A3" w:rsidP="004441BE">
      <w:pPr>
        <w:sectPr w:rsidR="003228A3" w:rsidRPr="004441BE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254262" w:rsidRDefault="00E64C5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81460047" w:history="1">
        <w:r w:rsidR="00254262" w:rsidRPr="009D1AE6">
          <w:rPr>
            <w:rStyle w:val="Hyperlink"/>
          </w:rPr>
          <w:t>1</w:t>
        </w:r>
        <w:r w:rsidR="0025426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</w:rPr>
          <w:t>Inleiding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_Toc381460047 \h </w:instrText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:rsidR="00254262" w:rsidRDefault="0025426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48" w:history="1">
        <w:r w:rsidRPr="009D1AE6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9D1AE6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_Toc381460048 \h </w:instrText>
        </w:r>
        <w:r>
          <w:rPr>
            <w:webHidden/>
          </w:rPr>
          <w:fldChar w:fldCharType="separate"/>
        </w:r>
        <w:r w:rsidR="004441B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4262" w:rsidRDefault="0025426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49" w:history="1">
        <w:r w:rsidRPr="009D1AE6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9D1AE6">
          <w:rPr>
            <w:rStyle w:val="Hyperlink"/>
          </w:rPr>
          <w:t>Overbruggingshypotheek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_Toc381460049 \h </w:instrText>
        </w:r>
        <w:r>
          <w:rPr>
            <w:webHidden/>
          </w:rPr>
          <w:fldChar w:fldCharType="separate"/>
        </w:r>
        <w:r w:rsidR="004441B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4262" w:rsidRDefault="0025426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50" w:history="1">
        <w:r w:rsidRPr="009D1AE6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9D1AE6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_Toc381460050 \h </w:instrText>
        </w:r>
        <w:r>
          <w:rPr>
            <w:webHidden/>
          </w:rPr>
          <w:fldChar w:fldCharType="separate"/>
        </w:r>
        <w:r w:rsidR="004441B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4262" w:rsidRDefault="0025426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51" w:history="1">
        <w:r w:rsidRPr="009D1AE6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9D1AE6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_Toc381460051 \h </w:instrText>
        </w:r>
        <w:r>
          <w:rPr>
            <w:webHidden/>
          </w:rPr>
          <w:fldChar w:fldCharType="separate"/>
        </w:r>
        <w:r w:rsidR="004441B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E64C5F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381460047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</w:p>
    <w:p w:rsidR="00E535E0" w:rsidRDefault="00E535E0" w:rsidP="00E535E0">
      <w:pPr>
        <w:pStyle w:val="Kop2"/>
        <w:rPr>
          <w:bCs/>
          <w:sz w:val="20"/>
          <w:lang w:val="en-US"/>
        </w:rPr>
      </w:pPr>
      <w:bookmarkStart w:id="17" w:name="_Toc249427719"/>
      <w:bookmarkStart w:id="18" w:name="_Toc249424855"/>
      <w:bookmarkStart w:id="19" w:name="_Toc381460048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E535E0" w:rsidRPr="00662092" w:rsidRDefault="00E535E0" w:rsidP="00662092">
      <w:r>
        <w:t>Dit document beschrijft een tekstblok zoals dit is ond</w:t>
      </w:r>
      <w:r w:rsidR="00BA6B41">
        <w:t>erkend binnen automatische akte</w:t>
      </w:r>
      <w:r>
        <w:t>verwerking, conform de richtlijnen zoals beschreven in document ‘Tekstblok – Algemene afspraken modeldocumenten en tekstblokken’. De verschillende kleuren die hieronder worden gebruikt</w:t>
      </w:r>
      <w:r w:rsidR="00C31844">
        <w:t>,</w:t>
      </w:r>
      <w:r>
        <w:t xml:space="preserve"> zijn in dat document toegelicht. </w:t>
      </w:r>
    </w:p>
    <w:bookmarkEnd w:id="15"/>
    <w:p w:rsidR="00662092" w:rsidRDefault="00662092" w:rsidP="00662092">
      <w:pPr>
        <w:spacing w:line="240" w:lineRule="auto"/>
      </w:pPr>
    </w:p>
    <w:p w:rsidR="00E64C5F" w:rsidRDefault="00BA6B41" w:rsidP="00E64C5F">
      <w:pPr>
        <w:pStyle w:val="Kop2"/>
      </w:pPr>
      <w:bookmarkStart w:id="20" w:name="_Toc381460049"/>
      <w:r>
        <w:t>Overbruggingshypotheek</w:t>
      </w:r>
      <w:bookmarkEnd w:id="20"/>
    </w:p>
    <w:p w:rsidR="008327AC" w:rsidRPr="008327AC" w:rsidRDefault="00BA6B41" w:rsidP="008327AC">
      <w:pPr>
        <w:rPr>
          <w:lang w:val="nl"/>
        </w:rPr>
      </w:pPr>
      <w:r>
        <w:rPr>
          <w:lang w:val="nl"/>
        </w:rPr>
        <w:t>Gegevens met betrekking tot de overbruggingshypotheek</w:t>
      </w:r>
      <w:r w:rsidR="008327AC">
        <w:rPr>
          <w:lang w:val="nl"/>
        </w:rPr>
        <w:t>.</w:t>
      </w:r>
    </w:p>
    <w:p w:rsidR="000F22B6" w:rsidRDefault="000F22B6" w:rsidP="000F22B6">
      <w:pPr>
        <w:pStyle w:val="Kop2"/>
      </w:pPr>
      <w:bookmarkStart w:id="21" w:name="_Toc381460050"/>
      <w:r w:rsidRPr="000F22B6">
        <w:t>Tekstfragment (volledig)</w:t>
      </w:r>
      <w:bookmarkEnd w:id="21"/>
    </w:p>
    <w:p w:rsidR="00E64C5F" w:rsidRDefault="00E64C5F" w:rsidP="00E64C5F">
      <w:pPr>
        <w:rPr>
          <w:lang w:val="nl"/>
        </w:rPr>
      </w:pPr>
    </w:p>
    <w:p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008000"/>
          <w:sz w:val="20"/>
          <w:u w:val="single"/>
        </w:rPr>
      </w:pPr>
      <w:r w:rsidRPr="00EE7AA9">
        <w:rPr>
          <w:rFonts w:cs="Arial"/>
          <w:color w:val="008000"/>
          <w:sz w:val="20"/>
          <w:u w:val="single"/>
        </w:rPr>
        <w:t>OVERBRUGGINGSHYPOTHEEK</w:t>
      </w:r>
      <w:r w:rsidRPr="00EE7AA9">
        <w:rPr>
          <w:rFonts w:cs="Arial"/>
          <w:color w:val="008000"/>
          <w:sz w:val="20"/>
        </w:rPr>
        <w:t>/</w:t>
      </w:r>
      <w:r w:rsidRPr="00EE7AA9">
        <w:rPr>
          <w:rFonts w:cs="Arial"/>
          <w:color w:val="008000"/>
          <w:sz w:val="20"/>
          <w:u w:val="single"/>
        </w:rPr>
        <w:t>Overbruggingslening</w:t>
      </w:r>
      <w:r w:rsidRPr="00EE7AA9">
        <w:rPr>
          <w:rFonts w:cs="Arial"/>
          <w:color w:val="008000"/>
          <w:sz w:val="20"/>
        </w:rPr>
        <w:t>/</w:t>
      </w:r>
      <w:r w:rsidRPr="00EE7AA9">
        <w:rPr>
          <w:rFonts w:cs="Arial"/>
          <w:color w:val="008000"/>
          <w:sz w:val="20"/>
          <w:u w:val="single"/>
        </w:rPr>
        <w:t>OVERBRUGGINGSLENING</w:t>
      </w:r>
    </w:p>
    <w:p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FF0000"/>
          <w:sz w:val="20"/>
        </w:rPr>
      </w:pPr>
      <w:r w:rsidRPr="00EE7AA9">
        <w:rPr>
          <w:rFonts w:cs="Arial"/>
          <w:color w:val="FF0000"/>
          <w:sz w:val="20"/>
        </w:rPr>
        <w:t>Voorts verleent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schuldenaar/Schuldenaar/Schuldenaar en/of de Hypotheekgever/ Hypotheekgever/hypotheekgever/geldnemer</w:t>
      </w:r>
      <w:r w:rsidRPr="00EE7AA9">
        <w:rPr>
          <w:rFonts w:cs="Arial"/>
          <w:color w:val="FF0000"/>
          <w:sz w:val="20"/>
        </w:rPr>
        <w:t>, tot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800080"/>
          <w:sz w:val="20"/>
        </w:rPr>
        <w:t>meerdere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zekerheid voor de betaling van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 xml:space="preserve">geldlening/lening/schuld </w:t>
      </w:r>
      <w:r w:rsidRPr="00EE7AA9">
        <w:rPr>
          <w:rFonts w:cs="Arial"/>
          <w:color w:val="FF0000"/>
          <w:sz w:val="20"/>
        </w:rPr>
        <w:t>als hierboven vermeld, bij deze aan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de hypotheekbank/de bank/de Bank/Florius/MoneYou/de Schuldeiser/de Hypotheeknemer</w:t>
      </w:r>
      <w:r w:rsidRPr="00EE7AA9">
        <w:rPr>
          <w:rFonts w:cs="Arial"/>
          <w:color w:val="FF0000"/>
          <w:sz w:val="20"/>
        </w:rPr>
        <w:t>, die van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schuldenaar /Schuldenaar/Schuldenaar en/of de Hypotheekgever/ Hypotheekgever/hypotheekgever/geldnemer</w:t>
      </w:r>
      <w:r w:rsidRPr="00EE7AA9">
        <w:rPr>
          <w:rFonts w:cs="Arial"/>
          <w:color w:val="FF0000"/>
          <w:sz w:val="20"/>
        </w:rPr>
        <w:t>, aanvaardt, het recht van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 w:rsidRPr="00EE7AA9">
        <w:rPr>
          <w:rFonts w:cs="Arial"/>
          <w:color w:val="800080"/>
          <w:sz w:val="20"/>
        </w:rPr>
        <w:t>telwoord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hypotheek op het hierna te omschrijven onderpand:</w:t>
      </w:r>
    </w:p>
    <w:p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FF0000"/>
          <w:sz w:val="24"/>
        </w:rPr>
      </w:pPr>
      <w:r w:rsidRPr="00EE7AA9">
        <w:rPr>
          <w:rFonts w:cs="Arial"/>
          <w:color w:val="FF0000"/>
          <w:highlight w:val="yellow"/>
        </w:rPr>
        <w:t>TEKSTBLOK RECHT</w:t>
      </w:r>
      <w:r w:rsidRPr="00EE7AA9">
        <w:rPr>
          <w:rFonts w:cs="Arial"/>
          <w:color w:val="FF0000"/>
        </w:rPr>
        <w:t xml:space="preserve"> </w:t>
      </w:r>
      <w:r w:rsidRPr="00EE7AA9">
        <w:rPr>
          <w:rFonts w:cs="Arial"/>
          <w:color w:val="FF0000"/>
          <w:highlight w:val="yellow"/>
        </w:rPr>
        <w:t>TEKSTBLOK REGISTERGOED: perceel/ appartementsrecht/ schip/netwerk</w:t>
      </w:r>
      <w:r w:rsidRPr="00EE7AA9">
        <w:rPr>
          <w:rFonts w:cs="Arial"/>
          <w:color w:val="FF0000"/>
        </w:rPr>
        <w:t xml:space="preserve">; </w:t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381460051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2"/>
    </w:p>
    <w:p w:rsidR="000F22B6" w:rsidRPr="001B2C77" w:rsidRDefault="000F22B6" w:rsidP="000F22B6"/>
    <w:tbl>
      <w:tblPr>
        <w:tblStyle w:val="Professioneletabel"/>
        <w:tblW w:w="5106" w:type="pct"/>
        <w:tblLayout w:type="fixed"/>
        <w:tblLook w:val="01C0" w:firstRow="0" w:lastRow="1" w:firstColumn="1" w:lastColumn="1" w:noHBand="0" w:noVBand="0"/>
      </w:tblPr>
      <w:tblGrid>
        <w:gridCol w:w="4426"/>
        <w:gridCol w:w="5226"/>
      </w:tblGrid>
      <w:tr w:rsidR="00E64C5F" w:rsidRPr="00405834" w:rsidTr="00E64C5F">
        <w:tc>
          <w:tcPr>
            <w:tcW w:w="2293" w:type="pct"/>
          </w:tcPr>
          <w:p w:rsidR="00E64C5F" w:rsidRPr="008327AC" w:rsidRDefault="00CF234A" w:rsidP="00655ECD">
            <w:pPr>
              <w:rPr>
                <w:color w:val="FF0000"/>
                <w:szCs w:val="18"/>
              </w:rPr>
            </w:pPr>
            <w:r w:rsidRPr="00EE7AA9">
              <w:rPr>
                <w:rFonts w:cs="Arial"/>
                <w:color w:val="008000"/>
                <w:sz w:val="20"/>
                <w:u w:val="single"/>
              </w:rPr>
              <w:t>OVERBRUGGINGSHYPOTHEEK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</w:p>
        </w:tc>
        <w:tc>
          <w:tcPr>
            <w:tcW w:w="2707" w:type="pct"/>
          </w:tcPr>
          <w:p w:rsidR="00E736B2" w:rsidRPr="00E736B2" w:rsidRDefault="00E736B2" w:rsidP="004A6B13">
            <w:r>
              <w:t>Verplichte keuzetekst, 3</w:t>
            </w:r>
            <w:r w:rsidRPr="001C66AC">
              <w:t xml:space="preserve"> keuzeteksten w</w:t>
            </w:r>
            <w:r w:rsidR="0042076F">
              <w:t>aaruit</w:t>
            </w:r>
            <w:r>
              <w:t xml:space="preserve"> 1 gekozen moet worden.</w:t>
            </w:r>
          </w:p>
          <w:p w:rsidR="00E736B2" w:rsidRDefault="00E736B2" w:rsidP="004A6B13">
            <w:pPr>
              <w:rPr>
                <w:u w:val="single"/>
              </w:rPr>
            </w:pPr>
          </w:p>
          <w:p w:rsidR="004A6B13" w:rsidRPr="005C0C20" w:rsidRDefault="004A6B13" w:rsidP="004A6B1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4A6B13" w:rsidRPr="001C66AC" w:rsidRDefault="000C3F16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 w:rsidR="004A6B13">
              <w:rPr>
                <w:sz w:val="16"/>
                <w:szCs w:val="16"/>
              </w:rPr>
              <w:t>/</w:t>
            </w:r>
            <w:r w:rsidR="004A6B13"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="004A6B13" w:rsidRPr="001C66AC">
              <w:rPr>
                <w:sz w:val="16"/>
                <w:szCs w:val="16"/>
              </w:rPr>
              <w:t>euze</w:t>
            </w:r>
          </w:p>
          <w:p w:rsidR="004A6B13" w:rsidRPr="001C66AC" w:rsidRDefault="004A6B13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TitelOverbrugging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E64C5F" w:rsidRPr="00F91823" w:rsidRDefault="004A6B1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</w:t>
            </w:r>
            <w:r w:rsidR="00EC535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met 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C31844" w:rsidRPr="00405834" w:rsidTr="00E64C5F">
        <w:tc>
          <w:tcPr>
            <w:tcW w:w="2293" w:type="pct"/>
          </w:tcPr>
          <w:p w:rsidR="00C31844" w:rsidRPr="00CF234A" w:rsidRDefault="003168EF" w:rsidP="00655ECD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sz w:val="20"/>
              </w:rPr>
              <w:t>Voorts verleent de</w:t>
            </w:r>
          </w:p>
        </w:tc>
        <w:tc>
          <w:tcPr>
            <w:tcW w:w="2707" w:type="pct"/>
          </w:tcPr>
          <w:p w:rsidR="00BD5658" w:rsidRPr="00343045" w:rsidRDefault="00546E19" w:rsidP="00BD5658">
            <w:pPr>
              <w:spacing w:line="240" w:lineRule="auto"/>
            </w:pPr>
            <w:r>
              <w:t>Deze tekst wordt altijd vermeld.</w:t>
            </w:r>
          </w:p>
        </w:tc>
      </w:tr>
      <w:tr w:rsidR="00E64C5F" w:rsidRPr="00405834" w:rsidTr="00E64C5F">
        <w:tc>
          <w:tcPr>
            <w:tcW w:w="2293" w:type="pct"/>
          </w:tcPr>
          <w:p w:rsidR="00E64C5F" w:rsidRPr="00CF234A" w:rsidRDefault="003168EF" w:rsidP="00655ECD">
            <w:pPr>
              <w:rPr>
                <w:color w:val="008000"/>
                <w:szCs w:val="18"/>
              </w:rPr>
            </w:pPr>
            <w:r w:rsidRPr="00CF234A">
              <w:rPr>
                <w:rFonts w:cs="Arial"/>
                <w:color w:val="008000"/>
                <w:sz w:val="20"/>
              </w:rPr>
              <w:t>schuldenaar/Schuldenaar/Schuldenaar en/of de Hypotheekgever/ Hypotheekgever/hypotheekgever/geldnemer</w:t>
            </w:r>
          </w:p>
        </w:tc>
        <w:tc>
          <w:tcPr>
            <w:tcW w:w="2707" w:type="pct"/>
          </w:tcPr>
          <w:p w:rsidR="00E64C5F" w:rsidRDefault="00A30779" w:rsidP="00A30779">
            <w:r>
              <w:t xml:space="preserve">Verplichte </w:t>
            </w:r>
            <w:r w:rsidR="005A6DBA">
              <w:t>gebruikers</w:t>
            </w:r>
            <w:r>
              <w:t xml:space="preserve">keuze voor de aanduiding voor de vervreemdende partij. </w:t>
            </w:r>
          </w:p>
          <w:p w:rsidR="000C3F16" w:rsidRDefault="000C3F16" w:rsidP="00A30779"/>
          <w:p w:rsidR="000C3F16" w:rsidRPr="005C0C20" w:rsidRDefault="000C3F16" w:rsidP="000C3F16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0C3F16" w:rsidRPr="00F91823" w:rsidRDefault="000C3F16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91823">
              <w:rPr>
                <w:sz w:val="16"/>
                <w:szCs w:val="16"/>
              </w:rPr>
              <w:t>./</w:t>
            </w:r>
            <w:r w:rsidR="00F91823" w:rsidRPr="001C66AC">
              <w:rPr>
                <w:sz w:val="16"/>
                <w:szCs w:val="16"/>
              </w:rPr>
              <w:t>tekst</w:t>
            </w:r>
            <w:r w:rsidR="00EC5357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332D19" w:rsidRDefault="00CF234A" w:rsidP="00655ECD">
            <w:pPr>
              <w:rPr>
                <w:rFonts w:cs="Arial"/>
                <w:color w:val="0000FF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tot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800080"/>
                <w:sz w:val="20"/>
              </w:rPr>
              <w:t>meerdere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zekerheid voor de betaling van de</w:t>
            </w:r>
          </w:p>
        </w:tc>
        <w:tc>
          <w:tcPr>
            <w:tcW w:w="2707" w:type="pct"/>
          </w:tcPr>
          <w:p w:rsidR="00546E19" w:rsidRDefault="00DF6652" w:rsidP="00546E19">
            <w:r>
              <w:t>Vaste tekst</w:t>
            </w:r>
            <w:r w:rsidR="000C3F16">
              <w:t xml:space="preserve"> met optionele paarse</w:t>
            </w:r>
            <w:r w:rsidR="00546E19">
              <w:t xml:space="preserve"> tekst</w:t>
            </w:r>
            <w:r w:rsidR="000C3F16">
              <w:t>.</w:t>
            </w:r>
          </w:p>
          <w:p w:rsidR="00DF6652" w:rsidRPr="00546E19" w:rsidRDefault="00DF6652" w:rsidP="00546E19"/>
          <w:p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  <w:t>./tagNaam(‘k_</w:t>
            </w:r>
            <w:r w:rsidR="00DF6652" w:rsidRPr="00DF6652">
              <w:rPr>
                <w:sz w:val="16"/>
                <w:szCs w:val="16"/>
              </w:rPr>
              <w:t>Zekerheid</w:t>
            </w:r>
            <w:r w:rsidR="00546E19" w:rsidRPr="00DF6652">
              <w:rPr>
                <w:sz w:val="16"/>
                <w:szCs w:val="16"/>
              </w:rPr>
              <w:t>Overbrugging’)</w:t>
            </w:r>
          </w:p>
          <w:p w:rsidR="003168EF" w:rsidRPr="00DF6652" w:rsidRDefault="00546E19" w:rsidP="00DF6652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DF6652" w:rsidRPr="00DF6652">
              <w:rPr>
                <w:sz w:val="16"/>
                <w:szCs w:val="16"/>
              </w:rPr>
              <w:t xml:space="preserve"> (</w:t>
            </w:r>
            <w:r w:rsidR="00EC5357">
              <w:rPr>
                <w:sz w:val="16"/>
                <w:szCs w:val="16"/>
              </w:rPr>
              <w:t>‘meerdere’</w:t>
            </w:r>
            <w:r w:rsidR="00DF6652" w:rsidRPr="00DF6652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lastRenderedPageBreak/>
              <w:t>geldlening/lening/schuld</w:t>
            </w:r>
          </w:p>
        </w:tc>
        <w:tc>
          <w:tcPr>
            <w:tcW w:w="2707" w:type="pct"/>
          </w:tcPr>
          <w:p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</w:r>
            <w:r w:rsidR="001663FD">
              <w:rPr>
                <w:sz w:val="16"/>
                <w:szCs w:val="16"/>
              </w:rPr>
              <w:br/>
            </w:r>
            <w:r w:rsidR="001663FD">
              <w:rPr>
                <w:sz w:val="16"/>
                <w:szCs w:val="16"/>
              </w:rPr>
              <w:tab/>
            </w:r>
            <w:r w:rsidR="00546E19" w:rsidRPr="00DF6652">
              <w:rPr>
                <w:sz w:val="16"/>
                <w:szCs w:val="16"/>
              </w:rPr>
              <w:t>./tagNaam(‘k_AardOverbrugging’)</w:t>
            </w:r>
          </w:p>
          <w:p w:rsidR="000C3F16" w:rsidRPr="00F91823" w:rsidRDefault="00546E19" w:rsidP="00F91823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5A6DBA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als hierboven vermeld, bij deze aan</w:t>
            </w:r>
          </w:p>
        </w:tc>
        <w:tc>
          <w:tcPr>
            <w:tcW w:w="2707" w:type="pct"/>
          </w:tcPr>
          <w:p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t>de hypotheekbank/de bank/de Bank/Florius/MoneYou/de Schuldeiser/de Hypotheeknemer</w:t>
            </w:r>
          </w:p>
        </w:tc>
        <w:tc>
          <w:tcPr>
            <w:tcW w:w="2707" w:type="pct"/>
          </w:tcPr>
          <w:p w:rsidR="008F0BA6" w:rsidRDefault="00A30779" w:rsidP="008F0BA6">
            <w:r w:rsidRPr="00A30779">
              <w:t>V</w:t>
            </w:r>
            <w:r>
              <w:t>erplichte keuze voor de aanduiding voor de verkrijgende partij</w:t>
            </w:r>
            <w:r w:rsidRPr="00A30779">
              <w:t xml:space="preserve">. </w:t>
            </w:r>
            <w:r w:rsidR="008F0BA6">
              <w:t xml:space="preserve">De keuze </w:t>
            </w:r>
            <w:r w:rsidR="00E27605">
              <w:t xml:space="preserve">voor de tekst die getoond </w:t>
            </w:r>
            <w:r w:rsidR="008F0BA6">
              <w:t xml:space="preserve">wordt </w:t>
            </w:r>
            <w:r w:rsidR="00E27605">
              <w:t xml:space="preserve">is toegelicht </w:t>
            </w:r>
            <w:r w:rsidR="008F0BA6">
              <w:t xml:space="preserve">in het </w:t>
            </w:r>
            <w:r w:rsidR="00E27605">
              <w:t>m</w:t>
            </w:r>
            <w:r w:rsidR="008F0BA6">
              <w:t>odeldocument waarin dit tekstblok wordt ge</w:t>
            </w:r>
            <w:r w:rsidR="00E27605">
              <w:t>toond omdat dit voor elk modeldocument verschillend is</w:t>
            </w:r>
            <w:r w:rsidR="008F0BA6">
              <w:t>.</w:t>
            </w:r>
          </w:p>
          <w:p w:rsidR="005A6DBA" w:rsidRDefault="005A6DBA" w:rsidP="008F0BA6"/>
          <w:p w:rsidR="005A6DBA" w:rsidRDefault="005A6DBA" w:rsidP="008F0BA6"/>
          <w:p w:rsidR="00F91823" w:rsidRPr="005C0C20" w:rsidRDefault="00F91823" w:rsidP="00F9182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A6DBA">
              <w:rPr>
                <w:sz w:val="16"/>
                <w:szCs w:val="16"/>
              </w:rPr>
              <w:t>/</w:t>
            </w:r>
          </w:p>
          <w:p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VerkrijgerOverbrugging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3168EF" w:rsidRPr="00A30779" w:rsidRDefault="00F91823" w:rsidP="00F91823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 w:rsidR="005A6DB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de waarde</w:t>
            </w:r>
            <w:r w:rsidR="00654168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, die van de</w:t>
            </w:r>
          </w:p>
        </w:tc>
        <w:tc>
          <w:tcPr>
            <w:tcW w:w="2707" w:type="pct"/>
          </w:tcPr>
          <w:p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t>schuldenaar /Schuldenaar/Schuldenaar en/of de Hypotheekgever/ Hypotheekgever/hypotheekgever/geldnemer</w:t>
            </w:r>
          </w:p>
        </w:tc>
        <w:tc>
          <w:tcPr>
            <w:tcW w:w="2707" w:type="pct"/>
          </w:tcPr>
          <w:p w:rsidR="00711E99" w:rsidRDefault="00A30779" w:rsidP="00E27605">
            <w:r>
              <w:t>Verplichte keuze voor de aanduiding voor de ver</w:t>
            </w:r>
            <w:r w:rsidR="00F91823">
              <w:t>vreemdende partij, identiek aan de eerder gekozen waarde.</w:t>
            </w:r>
          </w:p>
          <w:p w:rsidR="00E27605" w:rsidRDefault="00E27605" w:rsidP="00711E99">
            <w:pPr>
              <w:pStyle w:val="streepje"/>
              <w:numPr>
                <w:ilvl w:val="0"/>
                <w:numId w:val="0"/>
              </w:numPr>
              <w:spacing w:line="240" w:lineRule="auto"/>
            </w:pPr>
          </w:p>
          <w:p w:rsidR="00E27605" w:rsidRPr="005C0C20" w:rsidRDefault="00E27605" w:rsidP="00E27605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E27605" w:rsidRPr="00405834" w:rsidRDefault="00E27605" w:rsidP="00E2760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(de waarde die getoond moet worden)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3168EF" w:rsidRDefault="00CF234A" w:rsidP="003168EF">
            <w:pPr>
              <w:autoSpaceDE w:val="0"/>
              <w:autoSpaceDN w:val="0"/>
              <w:adjustRightInd w:val="0"/>
              <w:rPr>
                <w:rFonts w:cs="Arial"/>
                <w:color w:val="800080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aanvaardt, het recht 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MacroButton Nomacro </w:instrText>
            </w:r>
            <w:r>
              <w:rPr>
                <w:rFonts w:cs="Arial"/>
                <w:color w:val="000000"/>
                <w:effect w:val="none"/>
              </w:rPr>
              <w:instrText>§</w:instrText>
            </w:r>
            <w:r>
              <w:rPr>
                <w:rFonts w:cs="Arial"/>
                <w:color w:val="000000"/>
              </w:rPr>
              <w:fldChar w:fldCharType="end"/>
            </w:r>
            <w:r w:rsidRPr="00EE7AA9">
              <w:rPr>
                <w:rFonts w:cs="Arial"/>
                <w:color w:val="800080"/>
                <w:sz w:val="20"/>
              </w:rPr>
              <w:t>telwoord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MacroButton Nomacro </w:instrText>
            </w:r>
            <w:r>
              <w:rPr>
                <w:rFonts w:cs="Arial"/>
                <w:color w:val="000000"/>
                <w:effect w:val="none"/>
              </w:rPr>
              <w:instrText>§</w:instrText>
            </w:r>
            <w:r>
              <w:rPr>
                <w:rFonts w:cs="Arial"/>
                <w:color w:val="000000"/>
              </w:rPr>
              <w:fldChar w:fldCharType="end"/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hypotheek op het hierna te omschrijven onderpand:</w:t>
            </w:r>
          </w:p>
        </w:tc>
        <w:tc>
          <w:tcPr>
            <w:tcW w:w="2707" w:type="pct"/>
          </w:tcPr>
          <w:p w:rsidR="000C3F16" w:rsidRDefault="000C3F16" w:rsidP="000C3F16">
            <w:r>
              <w:t>Vaste tekst met optionele tekst.</w:t>
            </w:r>
          </w:p>
          <w:p w:rsidR="00711E99" w:rsidRDefault="00711E9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  <w:p w:rsidR="00381C0B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711E99">
              <w:rPr>
                <w:u w:val="single"/>
                <w:lang w:val="nl-NL"/>
              </w:rPr>
              <w:t>Mapping telwoord</w:t>
            </w:r>
            <w:r>
              <w:rPr>
                <w:lang w:val="nl-NL"/>
              </w:rPr>
              <w:t>:</w:t>
            </w:r>
          </w:p>
          <w:p w:rsid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>‘overbruggingshypotheek’]</w:t>
            </w:r>
          </w:p>
          <w:p w:rsidR="00381C0B" w:rsidRPr="00405834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D47537">
              <w:rPr>
                <w:sz w:val="16"/>
                <w:szCs w:val="16"/>
              </w:rPr>
              <w:tab/>
              <w:t>./rangorde</w:t>
            </w:r>
            <w:r w:rsidR="000C3F16">
              <w:rPr>
                <w:sz w:val="16"/>
                <w:szCs w:val="16"/>
              </w:rPr>
              <w:t>H</w:t>
            </w:r>
            <w:r w:rsidRPr="00D47537">
              <w:rPr>
                <w:sz w:val="16"/>
                <w:szCs w:val="16"/>
              </w:rPr>
              <w:t>ypotheek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3168EF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highlight w:val="yellow"/>
              </w:rPr>
              <w:t>TEKSTBLOK RECHT</w:t>
            </w:r>
            <w:r w:rsidRPr="00CF234A">
              <w:rPr>
                <w:rFonts w:cs="Arial"/>
                <w:color w:val="FF0000"/>
              </w:rPr>
              <w:t xml:space="preserve"> </w:t>
            </w:r>
            <w:r w:rsidRPr="00CF234A">
              <w:rPr>
                <w:rFonts w:cs="Arial"/>
                <w:color w:val="FF0000"/>
                <w:highlight w:val="yellow"/>
              </w:rPr>
              <w:t>TEKSTBLOK REGISTERGOED: perceel/ appartementsrecht/ schip/netwerk</w:t>
            </w:r>
          </w:p>
        </w:tc>
        <w:tc>
          <w:tcPr>
            <w:tcW w:w="2707" w:type="pct"/>
          </w:tcPr>
          <w:p w:rsidR="00381C0B" w:rsidRPr="00124E96" w:rsidRDefault="00381C0B" w:rsidP="00381C0B">
            <w:r>
              <w:t xml:space="preserve">Combinatie van één TEKSTBLOK RECHT </w:t>
            </w:r>
            <w:r w:rsidRPr="00124E96">
              <w:t xml:space="preserve">met één TEKSTBLOK REGISTERGOED </w:t>
            </w:r>
          </w:p>
          <w:p w:rsidR="00381C0B" w:rsidRDefault="00381C0B" w:rsidP="00381C0B"/>
          <w:p w:rsidR="00381C0B" w:rsidRDefault="00381C0B" w:rsidP="00381C0B">
            <w:r>
              <w:t>Van TEKSTBLOK REGISTERGOED zijn alleen de objecten perceel, appartementsrecht, netwerk en schip van toepassing.</w:t>
            </w:r>
          </w:p>
          <w:p w:rsidR="00381C0B" w:rsidRDefault="00381C0B" w:rsidP="00381C0B">
            <w:pPr>
              <w:rPr>
                <w:lang w:val="nl"/>
              </w:rPr>
            </w:pPr>
            <w:r w:rsidRPr="006C772B">
              <w:rPr>
                <w:lang w:val="nl"/>
              </w:rPr>
              <w:t xml:space="preserve">Er </w:t>
            </w:r>
            <w:r>
              <w:rPr>
                <w:lang w:val="nl"/>
              </w:rPr>
              <w:t>moet</w:t>
            </w:r>
            <w:r w:rsidRPr="006C772B">
              <w:rPr>
                <w:lang w:val="nl"/>
              </w:rPr>
              <w:t xml:space="preserve"> minimaal </w:t>
            </w:r>
            <w:r>
              <w:rPr>
                <w:lang w:val="nl"/>
              </w:rPr>
              <w:t>één</w:t>
            </w:r>
            <w:r w:rsidRPr="006C772B">
              <w:rPr>
                <w:lang w:val="nl"/>
              </w:rPr>
              <w:t xml:space="preserve"> </w:t>
            </w:r>
            <w:r>
              <w:rPr>
                <w:lang w:val="nl"/>
              </w:rPr>
              <w:t>combinatie recht/registergoed zijn</w:t>
            </w:r>
            <w:r w:rsidRPr="006C772B">
              <w:rPr>
                <w:lang w:val="nl"/>
              </w:rPr>
              <w:t>, er kunnen er meerdere zijn.</w:t>
            </w:r>
          </w:p>
          <w:p w:rsidR="00381C0B" w:rsidRDefault="00381C0B" w:rsidP="00381C0B">
            <w:pPr>
              <w:rPr>
                <w:lang w:val="nl"/>
              </w:rPr>
            </w:pPr>
          </w:p>
          <w:p w:rsidR="00381C0B" w:rsidRPr="00D47537" w:rsidRDefault="00381C0B" w:rsidP="00381C0B">
            <w:pPr>
              <w:rPr>
                <w:sz w:val="20"/>
                <w:u w:val="single"/>
                <w:lang w:val="nl"/>
              </w:rPr>
            </w:pPr>
            <w:r w:rsidRPr="00D47537">
              <w:rPr>
                <w:sz w:val="20"/>
                <w:u w:val="single"/>
                <w:lang w:val="nl"/>
              </w:rPr>
              <w:t>Mapping:</w:t>
            </w:r>
          </w:p>
          <w:p w:rsidR="00381C0B" w:rsidRPr="00822843" w:rsidRDefault="00381C0B" w:rsidP="00381C0B">
            <w:pPr>
              <w:rPr>
                <w:sz w:val="16"/>
                <w:szCs w:val="16"/>
                <w:lang w:val="nl"/>
              </w:rPr>
            </w:pPr>
            <w:r w:rsidRPr="00822843">
              <w:rPr>
                <w:sz w:val="16"/>
                <w:szCs w:val="16"/>
                <w:lang w:val="nl"/>
              </w:rPr>
              <w:t>Voor het registergoed geldt het volgende pad:</w:t>
            </w:r>
          </w:p>
          <w:p w:rsidR="003168EF" w:rsidRP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 w:rsidRPr="000C3F16">
              <w:rPr>
                <w:sz w:val="16"/>
                <w:szCs w:val="16"/>
              </w:rPr>
              <w:t>//IMKAD_AangebodenStuk/StukdeelHypotheek</w:t>
            </w:r>
            <w:r w:rsidRPr="000C3F16">
              <w:rPr>
                <w:rFonts w:cs="Arial"/>
                <w:sz w:val="16"/>
                <w:szCs w:val="16"/>
              </w:rPr>
              <w:t>[aanduidingHypotheek = ‘overbruggingshypotheek’]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81C0B" w:rsidRPr="000C3F16">
              <w:rPr>
                <w:sz w:val="16"/>
                <w:szCs w:val="16"/>
              </w:rPr>
              <w:t>/IMKAD_ZakelijkRecht…</w:t>
            </w:r>
          </w:p>
        </w:tc>
      </w:tr>
    </w:tbl>
    <w:p w:rsidR="00987D5A" w:rsidRPr="00343045" w:rsidRDefault="00987D5A" w:rsidP="00E535E0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F44" w:rsidRDefault="00A46F44">
      <w:r>
        <w:separator/>
      </w:r>
    </w:p>
  </w:endnote>
  <w:endnote w:type="continuationSeparator" w:id="0">
    <w:p w:rsidR="00A46F44" w:rsidRDefault="00A4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F44" w:rsidRDefault="00A46F44">
      <w:r>
        <w:separator/>
      </w:r>
    </w:p>
  </w:footnote>
  <w:footnote w:type="continuationSeparator" w:id="0">
    <w:p w:rsidR="00A46F44" w:rsidRDefault="00A46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0E0705">
            <w:rPr>
              <w:noProof/>
            </w:rPr>
            <w:t>17 april 2014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402F4">
          <w:pPr>
            <w:spacing w:line="240" w:lineRule="atLeast"/>
          </w:pPr>
          <w:fldSimple w:instr=" STYLEREF Titel \* MERGEFORMAT ">
            <w:r w:rsidR="000E0705" w:rsidRPr="000E0705">
              <w:rPr>
                <w:bCs/>
                <w:noProof/>
                <w:lang w:val="en-US"/>
              </w:rPr>
              <w:t>Toelichting</w:t>
            </w:r>
            <w:r w:rsidR="000E0705">
              <w:rPr>
                <w:noProof/>
              </w:rPr>
              <w:t xml:space="preserve"> Tekstblok - Overbruggingshypotheek v1.4NL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0E0705">
            <w:rPr>
              <w:noProof/>
            </w:rPr>
            <w:t>1.3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0705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">
            <w:r w:rsidR="000E0705">
              <w:rPr>
                <w:noProof/>
              </w:rPr>
              <w:t>5</w:t>
            </w:r>
          </w:fldSimple>
        </w:p>
      </w:tc>
    </w:tr>
  </w:tbl>
  <w:p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3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0E0705">
            <w:rPr>
              <w:noProof/>
            </w:rPr>
            <w:t>17 april 2014</w:t>
          </w:r>
          <w:r>
            <w:fldChar w:fldCharType="end"/>
          </w:r>
          <w:bookmarkEnd w:id="23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9B6EA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5F53AD" w:rsidRPr="009B6EA0">
            <w:rPr>
              <w:b/>
            </w:rPr>
          </w:r>
          <w:r>
            <w:rPr>
              <w:b/>
            </w:rPr>
            <w:fldChar w:fldCharType="separate"/>
          </w:r>
          <w:r w:rsidR="000E0705">
            <w:t>Toelichting Tekstblok - Overbruggingshypotheek v1.4NL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4" w:name="Versie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0E0705">
            <w:rPr>
              <w:noProof/>
            </w:rPr>
            <w:t>1.3</w:t>
          </w:r>
          <w:r>
            <w:fldChar w:fldCharType="end"/>
          </w:r>
          <w:bookmarkEnd w:id="24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0705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fldSimple w:instr=" NUMPAGES ">
            <w:r w:rsidR="000E0705">
              <w:rPr>
                <w:noProof/>
              </w:rPr>
              <w:t>5</w:t>
            </w:r>
          </w:fldSimple>
          <w:r w:rsidR="005402F4">
            <w:t xml:space="preserve"> </w:t>
          </w:r>
        </w:p>
      </w:tc>
    </w:tr>
  </w:tbl>
  <w:p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747F4EB1" wp14:editId="52FACEDE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2C19B0"/>
    <w:multiLevelType w:val="hybridMultilevel"/>
    <w:tmpl w:val="FC04E4E2"/>
    <w:lvl w:ilvl="0" w:tplc="F57E9E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9B8E25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12"/>
  </w:num>
  <w:num w:numId="15">
    <w:abstractNumId w:val="5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CF3"/>
    <w:rsid w:val="000317DE"/>
    <w:rsid w:val="000400E1"/>
    <w:rsid w:val="00040FA9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1FC0"/>
    <w:rsid w:val="00083121"/>
    <w:rsid w:val="000865A5"/>
    <w:rsid w:val="0008708F"/>
    <w:rsid w:val="00090725"/>
    <w:rsid w:val="00093CFA"/>
    <w:rsid w:val="000A0E63"/>
    <w:rsid w:val="000A0EA1"/>
    <w:rsid w:val="000A70AC"/>
    <w:rsid w:val="000A77B3"/>
    <w:rsid w:val="000A787C"/>
    <w:rsid w:val="000B1694"/>
    <w:rsid w:val="000B18F0"/>
    <w:rsid w:val="000B4CD1"/>
    <w:rsid w:val="000B530F"/>
    <w:rsid w:val="000B74F1"/>
    <w:rsid w:val="000C126D"/>
    <w:rsid w:val="000C3F16"/>
    <w:rsid w:val="000C4C66"/>
    <w:rsid w:val="000D1FE3"/>
    <w:rsid w:val="000D3BDA"/>
    <w:rsid w:val="000D3C60"/>
    <w:rsid w:val="000D42E6"/>
    <w:rsid w:val="000D5E8B"/>
    <w:rsid w:val="000D6CAC"/>
    <w:rsid w:val="000D78E6"/>
    <w:rsid w:val="000E0705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0A66"/>
    <w:rsid w:val="0012509E"/>
    <w:rsid w:val="0012742A"/>
    <w:rsid w:val="00135DA4"/>
    <w:rsid w:val="00136E60"/>
    <w:rsid w:val="00137BBF"/>
    <w:rsid w:val="001423D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63FD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2C77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005C"/>
    <w:rsid w:val="00201492"/>
    <w:rsid w:val="00203E69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262"/>
    <w:rsid w:val="002544F0"/>
    <w:rsid w:val="00254B68"/>
    <w:rsid w:val="002557BA"/>
    <w:rsid w:val="00255DE0"/>
    <w:rsid w:val="00257A14"/>
    <w:rsid w:val="00264552"/>
    <w:rsid w:val="0026511B"/>
    <w:rsid w:val="00265199"/>
    <w:rsid w:val="0026576D"/>
    <w:rsid w:val="00267BD0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6D8"/>
    <w:rsid w:val="002A7BBF"/>
    <w:rsid w:val="002A7EF0"/>
    <w:rsid w:val="002B2EFF"/>
    <w:rsid w:val="002B5054"/>
    <w:rsid w:val="002C0368"/>
    <w:rsid w:val="002C177B"/>
    <w:rsid w:val="002C354C"/>
    <w:rsid w:val="002C68F9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37E5"/>
    <w:rsid w:val="00314C5B"/>
    <w:rsid w:val="00314D86"/>
    <w:rsid w:val="003168EF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31C3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61C5"/>
    <w:rsid w:val="0035789A"/>
    <w:rsid w:val="003605D2"/>
    <w:rsid w:val="00360E1D"/>
    <w:rsid w:val="00364DC3"/>
    <w:rsid w:val="003657ED"/>
    <w:rsid w:val="00367AE9"/>
    <w:rsid w:val="00367E8B"/>
    <w:rsid w:val="003704C1"/>
    <w:rsid w:val="00375206"/>
    <w:rsid w:val="00381059"/>
    <w:rsid w:val="00381C0B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101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F3C"/>
    <w:rsid w:val="00414114"/>
    <w:rsid w:val="00414CB1"/>
    <w:rsid w:val="0041690C"/>
    <w:rsid w:val="0042076F"/>
    <w:rsid w:val="004247E2"/>
    <w:rsid w:val="00424E15"/>
    <w:rsid w:val="004250DC"/>
    <w:rsid w:val="00432145"/>
    <w:rsid w:val="00433741"/>
    <w:rsid w:val="00433D41"/>
    <w:rsid w:val="00440164"/>
    <w:rsid w:val="00441820"/>
    <w:rsid w:val="00442132"/>
    <w:rsid w:val="00442725"/>
    <w:rsid w:val="004441BE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1989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6B13"/>
    <w:rsid w:val="004A72B5"/>
    <w:rsid w:val="004B1F47"/>
    <w:rsid w:val="004B23A7"/>
    <w:rsid w:val="004B6BCA"/>
    <w:rsid w:val="004B6E45"/>
    <w:rsid w:val="004C0C11"/>
    <w:rsid w:val="004C132C"/>
    <w:rsid w:val="004C431D"/>
    <w:rsid w:val="004C6A45"/>
    <w:rsid w:val="004C78A6"/>
    <w:rsid w:val="004D0135"/>
    <w:rsid w:val="004D01ED"/>
    <w:rsid w:val="004D2C41"/>
    <w:rsid w:val="004D4029"/>
    <w:rsid w:val="004D4A64"/>
    <w:rsid w:val="004D4DA1"/>
    <w:rsid w:val="004D7113"/>
    <w:rsid w:val="004D736C"/>
    <w:rsid w:val="004D7494"/>
    <w:rsid w:val="004D7774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3DF5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6E19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3A06"/>
    <w:rsid w:val="005A3E17"/>
    <w:rsid w:val="005A56B6"/>
    <w:rsid w:val="005A5814"/>
    <w:rsid w:val="005A6DBA"/>
    <w:rsid w:val="005A6E00"/>
    <w:rsid w:val="005A7B1B"/>
    <w:rsid w:val="005A7FE9"/>
    <w:rsid w:val="005B0440"/>
    <w:rsid w:val="005B1532"/>
    <w:rsid w:val="005B48B3"/>
    <w:rsid w:val="005C030F"/>
    <w:rsid w:val="005C59D8"/>
    <w:rsid w:val="005C63A5"/>
    <w:rsid w:val="005D5CAA"/>
    <w:rsid w:val="005D5EB8"/>
    <w:rsid w:val="005D6866"/>
    <w:rsid w:val="005D718D"/>
    <w:rsid w:val="005E12E7"/>
    <w:rsid w:val="005E60ED"/>
    <w:rsid w:val="005E62AD"/>
    <w:rsid w:val="005F07D4"/>
    <w:rsid w:val="005F0AD1"/>
    <w:rsid w:val="005F3260"/>
    <w:rsid w:val="005F47C4"/>
    <w:rsid w:val="005F53AD"/>
    <w:rsid w:val="005F63FF"/>
    <w:rsid w:val="005F7CEA"/>
    <w:rsid w:val="006008B0"/>
    <w:rsid w:val="00602DFD"/>
    <w:rsid w:val="00612115"/>
    <w:rsid w:val="00613681"/>
    <w:rsid w:val="006149A9"/>
    <w:rsid w:val="00614C3A"/>
    <w:rsid w:val="006174A3"/>
    <w:rsid w:val="006241C2"/>
    <w:rsid w:val="006252B9"/>
    <w:rsid w:val="0062641F"/>
    <w:rsid w:val="00626EA6"/>
    <w:rsid w:val="00627198"/>
    <w:rsid w:val="00630963"/>
    <w:rsid w:val="006315E7"/>
    <w:rsid w:val="00632F8C"/>
    <w:rsid w:val="00635924"/>
    <w:rsid w:val="00636E87"/>
    <w:rsid w:val="00640670"/>
    <w:rsid w:val="00641C13"/>
    <w:rsid w:val="006434A2"/>
    <w:rsid w:val="00645042"/>
    <w:rsid w:val="00645D15"/>
    <w:rsid w:val="00645F51"/>
    <w:rsid w:val="00654168"/>
    <w:rsid w:val="00654D50"/>
    <w:rsid w:val="00655ECD"/>
    <w:rsid w:val="00662092"/>
    <w:rsid w:val="006706C0"/>
    <w:rsid w:val="00672BE2"/>
    <w:rsid w:val="00672CA7"/>
    <w:rsid w:val="00674638"/>
    <w:rsid w:val="00680BA3"/>
    <w:rsid w:val="00680FDB"/>
    <w:rsid w:val="0068128C"/>
    <w:rsid w:val="00681649"/>
    <w:rsid w:val="0068609A"/>
    <w:rsid w:val="006866AE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731"/>
    <w:rsid w:val="006B1B9A"/>
    <w:rsid w:val="006B4509"/>
    <w:rsid w:val="006C1E89"/>
    <w:rsid w:val="006C34AB"/>
    <w:rsid w:val="006C616D"/>
    <w:rsid w:val="006D1058"/>
    <w:rsid w:val="006D11BD"/>
    <w:rsid w:val="006D2205"/>
    <w:rsid w:val="006D663A"/>
    <w:rsid w:val="006E26A8"/>
    <w:rsid w:val="006E78AB"/>
    <w:rsid w:val="006F3164"/>
    <w:rsid w:val="006F41C7"/>
    <w:rsid w:val="006F4259"/>
    <w:rsid w:val="006F523F"/>
    <w:rsid w:val="006F572E"/>
    <w:rsid w:val="006F67B2"/>
    <w:rsid w:val="00701B83"/>
    <w:rsid w:val="00702E1F"/>
    <w:rsid w:val="00704672"/>
    <w:rsid w:val="0070517C"/>
    <w:rsid w:val="00705A8A"/>
    <w:rsid w:val="00711E99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3303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23B9"/>
    <w:rsid w:val="0078374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52E8"/>
    <w:rsid w:val="007B15F8"/>
    <w:rsid w:val="007B3630"/>
    <w:rsid w:val="007B4DB6"/>
    <w:rsid w:val="007B7475"/>
    <w:rsid w:val="007B78E2"/>
    <w:rsid w:val="007C0E64"/>
    <w:rsid w:val="007C24B7"/>
    <w:rsid w:val="007C4D06"/>
    <w:rsid w:val="007C6C1D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6D87"/>
    <w:rsid w:val="0081780B"/>
    <w:rsid w:val="008215D2"/>
    <w:rsid w:val="00826D2A"/>
    <w:rsid w:val="008315FB"/>
    <w:rsid w:val="008327AC"/>
    <w:rsid w:val="00834366"/>
    <w:rsid w:val="00834A2B"/>
    <w:rsid w:val="0084312D"/>
    <w:rsid w:val="008444C3"/>
    <w:rsid w:val="008525D3"/>
    <w:rsid w:val="00857117"/>
    <w:rsid w:val="00860295"/>
    <w:rsid w:val="00860F74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4E"/>
    <w:rsid w:val="00892AA3"/>
    <w:rsid w:val="0089323E"/>
    <w:rsid w:val="00893251"/>
    <w:rsid w:val="0089567D"/>
    <w:rsid w:val="00896F5F"/>
    <w:rsid w:val="00897F39"/>
    <w:rsid w:val="008A2365"/>
    <w:rsid w:val="008A2FB0"/>
    <w:rsid w:val="008A3169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0BA6"/>
    <w:rsid w:val="008F1FDF"/>
    <w:rsid w:val="008F5BF0"/>
    <w:rsid w:val="00902EDD"/>
    <w:rsid w:val="0090307D"/>
    <w:rsid w:val="00903928"/>
    <w:rsid w:val="00904BB1"/>
    <w:rsid w:val="00905F2E"/>
    <w:rsid w:val="00906365"/>
    <w:rsid w:val="00907AA1"/>
    <w:rsid w:val="009103E1"/>
    <w:rsid w:val="00910DA2"/>
    <w:rsid w:val="00912E18"/>
    <w:rsid w:val="009153C9"/>
    <w:rsid w:val="009267CE"/>
    <w:rsid w:val="00926859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2F3E"/>
    <w:rsid w:val="009B474C"/>
    <w:rsid w:val="009B6EA0"/>
    <w:rsid w:val="009C2330"/>
    <w:rsid w:val="009C6E48"/>
    <w:rsid w:val="009D0ED2"/>
    <w:rsid w:val="009D1298"/>
    <w:rsid w:val="009D19DE"/>
    <w:rsid w:val="009E015D"/>
    <w:rsid w:val="009E18A9"/>
    <w:rsid w:val="009E1DC6"/>
    <w:rsid w:val="009E4CC3"/>
    <w:rsid w:val="009E4EDB"/>
    <w:rsid w:val="009E7D32"/>
    <w:rsid w:val="009F0AF9"/>
    <w:rsid w:val="009F11B0"/>
    <w:rsid w:val="009F183E"/>
    <w:rsid w:val="009F1A2A"/>
    <w:rsid w:val="009F2798"/>
    <w:rsid w:val="00A03E3E"/>
    <w:rsid w:val="00A04521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4EA6"/>
    <w:rsid w:val="00A254B6"/>
    <w:rsid w:val="00A260D9"/>
    <w:rsid w:val="00A30779"/>
    <w:rsid w:val="00A31CF6"/>
    <w:rsid w:val="00A425A7"/>
    <w:rsid w:val="00A46F44"/>
    <w:rsid w:val="00A5100F"/>
    <w:rsid w:val="00A520FB"/>
    <w:rsid w:val="00A542F5"/>
    <w:rsid w:val="00A60133"/>
    <w:rsid w:val="00A60F54"/>
    <w:rsid w:val="00A65BE0"/>
    <w:rsid w:val="00A7366B"/>
    <w:rsid w:val="00A747B2"/>
    <w:rsid w:val="00A77031"/>
    <w:rsid w:val="00A84C5E"/>
    <w:rsid w:val="00A87911"/>
    <w:rsid w:val="00A9324F"/>
    <w:rsid w:val="00A93B33"/>
    <w:rsid w:val="00A94258"/>
    <w:rsid w:val="00A9447B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211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94B"/>
    <w:rsid w:val="00B57AD5"/>
    <w:rsid w:val="00B66CB0"/>
    <w:rsid w:val="00B674BD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B41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12C"/>
    <w:rsid w:val="00BC0C76"/>
    <w:rsid w:val="00BC1341"/>
    <w:rsid w:val="00BC1796"/>
    <w:rsid w:val="00BC1E9A"/>
    <w:rsid w:val="00BC739A"/>
    <w:rsid w:val="00BC7AB3"/>
    <w:rsid w:val="00BD103F"/>
    <w:rsid w:val="00BD2EC4"/>
    <w:rsid w:val="00BD5658"/>
    <w:rsid w:val="00BE0AD2"/>
    <w:rsid w:val="00BE122F"/>
    <w:rsid w:val="00BE53D9"/>
    <w:rsid w:val="00BE726A"/>
    <w:rsid w:val="00BF18B4"/>
    <w:rsid w:val="00BF6098"/>
    <w:rsid w:val="00BF6551"/>
    <w:rsid w:val="00C0203F"/>
    <w:rsid w:val="00C0659F"/>
    <w:rsid w:val="00C07528"/>
    <w:rsid w:val="00C07899"/>
    <w:rsid w:val="00C10BF2"/>
    <w:rsid w:val="00C12174"/>
    <w:rsid w:val="00C13BE9"/>
    <w:rsid w:val="00C15569"/>
    <w:rsid w:val="00C22C88"/>
    <w:rsid w:val="00C243EC"/>
    <w:rsid w:val="00C26BE6"/>
    <w:rsid w:val="00C27186"/>
    <w:rsid w:val="00C30F68"/>
    <w:rsid w:val="00C31844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76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121B"/>
    <w:rsid w:val="00CE1CE4"/>
    <w:rsid w:val="00CE4A43"/>
    <w:rsid w:val="00CE52B1"/>
    <w:rsid w:val="00CF14F8"/>
    <w:rsid w:val="00CF2147"/>
    <w:rsid w:val="00CF234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0B2D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D104A"/>
    <w:rsid w:val="00DD3945"/>
    <w:rsid w:val="00DD3A48"/>
    <w:rsid w:val="00DD6C4D"/>
    <w:rsid w:val="00DD7E3A"/>
    <w:rsid w:val="00DE5238"/>
    <w:rsid w:val="00DE6F98"/>
    <w:rsid w:val="00DF6652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27605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35E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36B2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5357"/>
    <w:rsid w:val="00ED1632"/>
    <w:rsid w:val="00ED49FD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1663B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1779"/>
    <w:rsid w:val="00F436F8"/>
    <w:rsid w:val="00F44219"/>
    <w:rsid w:val="00F44907"/>
    <w:rsid w:val="00F452C6"/>
    <w:rsid w:val="00F50E83"/>
    <w:rsid w:val="00F53159"/>
    <w:rsid w:val="00F53B19"/>
    <w:rsid w:val="00F608BA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1823"/>
    <w:rsid w:val="00F92038"/>
    <w:rsid w:val="00F95D3A"/>
    <w:rsid w:val="00F97455"/>
    <w:rsid w:val="00FA1A99"/>
    <w:rsid w:val="00FA2DAE"/>
    <w:rsid w:val="00FA60E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2BD3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89CA5E96-2E1B-4828-A036-26C46A4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2760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5</Pages>
  <Words>502</Words>
  <Characters>5305</Characters>
  <Application>Microsoft Office Word</Application>
  <DocSecurity>0</DocSecurity>
  <Lines>44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5796</CharactersWithSpaces>
  <SharedDoc>false</SharedDoc>
  <HLinks>
    <vt:vector size="30" baseType="variant">
      <vt:variant>
        <vt:i4>1966132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_Toc381460051</vt:lpwstr>
      </vt:variant>
      <vt:variant>
        <vt:i4>1966132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_Toc381460050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_Toc381460049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_Toc381460048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_Toc381460047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2010-02-04T08:45:00Z</cp:lastPrinted>
  <dcterms:created xsi:type="dcterms:W3CDTF">2016-09-30T12:08:00Z</dcterms:created>
  <dcterms:modified xsi:type="dcterms:W3CDTF">2016-09-30T12:08:00Z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1.2</vt:lpwstr>
  </property>
  <property fmtid="{D5CDD505-2E9C-101B-9397-08002B2CF9AE}" pid="4" name="Datum">
    <vt:filetime>2013-04-16T22:00:00Z</vt:filetime>
  </property>
</Properties>
</file>