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967C81"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8508035" w:history="1">
        <w:r w:rsidR="00967C81" w:rsidRPr="002F610F">
          <w:rPr>
            <w:rStyle w:val="Hyperlink"/>
            <w:noProof/>
          </w:rPr>
          <w:t>Wstęp</w:t>
        </w:r>
        <w:r w:rsidR="00967C81">
          <w:rPr>
            <w:noProof/>
            <w:webHidden/>
          </w:rPr>
          <w:tab/>
        </w:r>
        <w:r w:rsidR="00967C81">
          <w:rPr>
            <w:noProof/>
            <w:webHidden/>
          </w:rPr>
          <w:fldChar w:fldCharType="begin"/>
        </w:r>
        <w:r w:rsidR="00967C81">
          <w:rPr>
            <w:noProof/>
            <w:webHidden/>
          </w:rPr>
          <w:instrText xml:space="preserve"> PAGEREF _Toc518508035 \h </w:instrText>
        </w:r>
        <w:r w:rsidR="00967C81">
          <w:rPr>
            <w:noProof/>
            <w:webHidden/>
          </w:rPr>
        </w:r>
        <w:r w:rsidR="00967C81">
          <w:rPr>
            <w:noProof/>
            <w:webHidden/>
          </w:rPr>
          <w:fldChar w:fldCharType="separate"/>
        </w:r>
        <w:r w:rsidR="00967C81">
          <w:rPr>
            <w:noProof/>
            <w:webHidden/>
          </w:rPr>
          <w:t>4</w:t>
        </w:r>
        <w:r w:rsidR="00967C81">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36" w:history="1">
        <w:r w:rsidRPr="002F610F">
          <w:rPr>
            <w:rStyle w:val="Hyperlink"/>
            <w:noProof/>
          </w:rPr>
          <w:t>1.</w:t>
        </w:r>
        <w:r>
          <w:rPr>
            <w:rFonts w:asciiTheme="minorHAnsi" w:eastAsiaTheme="minorEastAsia" w:hAnsiTheme="minorHAnsi" w:cstheme="minorBidi"/>
            <w:noProof/>
            <w:sz w:val="22"/>
            <w:szCs w:val="22"/>
            <w:lang w:eastAsia="pl-PL"/>
          </w:rPr>
          <w:tab/>
        </w:r>
        <w:r w:rsidRPr="002F610F">
          <w:rPr>
            <w:rStyle w:val="Hyperlink"/>
            <w:noProof/>
          </w:rPr>
          <w:t>Podatki</w:t>
        </w:r>
        <w:r>
          <w:rPr>
            <w:noProof/>
            <w:webHidden/>
          </w:rPr>
          <w:tab/>
        </w:r>
        <w:r>
          <w:rPr>
            <w:noProof/>
            <w:webHidden/>
          </w:rPr>
          <w:fldChar w:fldCharType="begin"/>
        </w:r>
        <w:r>
          <w:rPr>
            <w:noProof/>
            <w:webHidden/>
          </w:rPr>
          <w:instrText xml:space="preserve"> PAGEREF _Toc518508036 \h </w:instrText>
        </w:r>
        <w:r>
          <w:rPr>
            <w:noProof/>
            <w:webHidden/>
          </w:rPr>
        </w:r>
        <w:r>
          <w:rPr>
            <w:noProof/>
            <w:webHidden/>
          </w:rPr>
          <w:fldChar w:fldCharType="separate"/>
        </w:r>
        <w:r>
          <w:rPr>
            <w:noProof/>
            <w:webHidden/>
          </w:rPr>
          <w:t>5</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37" w:history="1">
        <w:r w:rsidRPr="002F610F">
          <w:rPr>
            <w:rStyle w:val="Hyperlink"/>
            <w:noProof/>
          </w:rPr>
          <w:t>1.1.</w:t>
        </w:r>
        <w:r>
          <w:rPr>
            <w:rFonts w:asciiTheme="minorHAnsi" w:eastAsiaTheme="minorEastAsia" w:hAnsiTheme="minorHAnsi" w:cstheme="minorBidi"/>
            <w:noProof/>
            <w:sz w:val="22"/>
            <w:szCs w:val="22"/>
            <w:lang w:eastAsia="pl-PL"/>
          </w:rPr>
          <w:tab/>
        </w:r>
        <w:r w:rsidRPr="002F610F">
          <w:rPr>
            <w:rStyle w:val="Hyperlink"/>
            <w:noProof/>
          </w:rPr>
          <w:t>&lt;tytuł podrozdziału&gt;</w:t>
        </w:r>
        <w:r>
          <w:rPr>
            <w:noProof/>
            <w:webHidden/>
          </w:rPr>
          <w:tab/>
        </w:r>
        <w:r>
          <w:rPr>
            <w:noProof/>
            <w:webHidden/>
          </w:rPr>
          <w:fldChar w:fldCharType="begin"/>
        </w:r>
        <w:r>
          <w:rPr>
            <w:noProof/>
            <w:webHidden/>
          </w:rPr>
          <w:instrText xml:space="preserve"> PAGEREF _Toc518508037 \h </w:instrText>
        </w:r>
        <w:r>
          <w:rPr>
            <w:noProof/>
            <w:webHidden/>
          </w:rPr>
        </w:r>
        <w:r>
          <w:rPr>
            <w:noProof/>
            <w:webHidden/>
          </w:rPr>
          <w:fldChar w:fldCharType="separate"/>
        </w:r>
        <w:r>
          <w:rPr>
            <w:noProof/>
            <w:webHidden/>
          </w:rPr>
          <w:t>5</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38" w:history="1">
        <w:r w:rsidRPr="002F610F">
          <w:rPr>
            <w:rStyle w:val="Hyperlink"/>
            <w:noProof/>
          </w:rPr>
          <w:t>2.</w:t>
        </w:r>
        <w:r>
          <w:rPr>
            <w:rFonts w:asciiTheme="minorHAnsi" w:eastAsiaTheme="minorEastAsia" w:hAnsiTheme="minorHAnsi" w:cstheme="minorBidi"/>
            <w:noProof/>
            <w:sz w:val="22"/>
            <w:szCs w:val="22"/>
            <w:lang w:eastAsia="pl-PL"/>
          </w:rPr>
          <w:tab/>
        </w:r>
        <w:r w:rsidRPr="002F610F">
          <w:rPr>
            <w:rStyle w:val="Hyperlink"/>
            <w:noProof/>
          </w:rPr>
          <w:t>Teoria gier</w:t>
        </w:r>
        <w:r>
          <w:rPr>
            <w:noProof/>
            <w:webHidden/>
          </w:rPr>
          <w:tab/>
        </w:r>
        <w:r>
          <w:rPr>
            <w:noProof/>
            <w:webHidden/>
          </w:rPr>
          <w:fldChar w:fldCharType="begin"/>
        </w:r>
        <w:r>
          <w:rPr>
            <w:noProof/>
            <w:webHidden/>
          </w:rPr>
          <w:instrText xml:space="preserve"> PAGEREF _Toc518508038 \h </w:instrText>
        </w:r>
        <w:r>
          <w:rPr>
            <w:noProof/>
            <w:webHidden/>
          </w:rPr>
        </w:r>
        <w:r>
          <w:rPr>
            <w:noProof/>
            <w:webHidden/>
          </w:rPr>
          <w:fldChar w:fldCharType="separate"/>
        </w:r>
        <w:r>
          <w:rPr>
            <w:noProof/>
            <w:webHidden/>
          </w:rPr>
          <w:t>6</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39" w:history="1">
        <w:r w:rsidRPr="002F610F">
          <w:rPr>
            <w:rStyle w:val="Hyperlink"/>
            <w:noProof/>
          </w:rPr>
          <w:t>2.1.</w:t>
        </w:r>
        <w:r>
          <w:rPr>
            <w:rFonts w:asciiTheme="minorHAnsi" w:eastAsiaTheme="minorEastAsia" w:hAnsiTheme="minorHAnsi" w:cstheme="minorBidi"/>
            <w:noProof/>
            <w:sz w:val="22"/>
            <w:szCs w:val="22"/>
            <w:lang w:eastAsia="pl-PL"/>
          </w:rPr>
          <w:tab/>
        </w:r>
        <w:r w:rsidRPr="002F610F">
          <w:rPr>
            <w:rStyle w:val="Hyperlink"/>
            <w:noProof/>
          </w:rPr>
          <w:t>&lt;tytuł podrozdziału&gt;</w:t>
        </w:r>
        <w:r>
          <w:rPr>
            <w:noProof/>
            <w:webHidden/>
          </w:rPr>
          <w:tab/>
        </w:r>
        <w:r>
          <w:rPr>
            <w:noProof/>
            <w:webHidden/>
          </w:rPr>
          <w:fldChar w:fldCharType="begin"/>
        </w:r>
        <w:r>
          <w:rPr>
            <w:noProof/>
            <w:webHidden/>
          </w:rPr>
          <w:instrText xml:space="preserve"> PAGEREF _Toc518508039 \h </w:instrText>
        </w:r>
        <w:r>
          <w:rPr>
            <w:noProof/>
            <w:webHidden/>
          </w:rPr>
        </w:r>
        <w:r>
          <w:rPr>
            <w:noProof/>
            <w:webHidden/>
          </w:rPr>
          <w:fldChar w:fldCharType="separate"/>
        </w:r>
        <w:r>
          <w:rPr>
            <w:noProof/>
            <w:webHidden/>
          </w:rPr>
          <w:t>6</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40" w:history="1">
        <w:r w:rsidRPr="002F610F">
          <w:rPr>
            <w:rStyle w:val="Hyperlink"/>
            <w:noProof/>
          </w:rPr>
          <w:t>3.</w:t>
        </w:r>
        <w:r>
          <w:rPr>
            <w:rFonts w:asciiTheme="minorHAnsi" w:eastAsiaTheme="minorEastAsia" w:hAnsiTheme="minorHAnsi" w:cstheme="minorBidi"/>
            <w:noProof/>
            <w:sz w:val="22"/>
            <w:szCs w:val="22"/>
            <w:lang w:eastAsia="pl-PL"/>
          </w:rPr>
          <w:tab/>
        </w:r>
        <w:r w:rsidRPr="002F610F">
          <w:rPr>
            <w:rStyle w:val="Hyperlink"/>
            <w:noProof/>
          </w:rPr>
          <w:t>Zastosowanie teorii gier w podatkach</w:t>
        </w:r>
        <w:r>
          <w:rPr>
            <w:noProof/>
            <w:webHidden/>
          </w:rPr>
          <w:tab/>
        </w:r>
        <w:r>
          <w:rPr>
            <w:noProof/>
            <w:webHidden/>
          </w:rPr>
          <w:fldChar w:fldCharType="begin"/>
        </w:r>
        <w:r>
          <w:rPr>
            <w:noProof/>
            <w:webHidden/>
          </w:rPr>
          <w:instrText xml:space="preserve"> PAGEREF _Toc518508040 \h </w:instrText>
        </w:r>
        <w:r>
          <w:rPr>
            <w:noProof/>
            <w:webHidden/>
          </w:rPr>
        </w:r>
        <w:r>
          <w:rPr>
            <w:noProof/>
            <w:webHidden/>
          </w:rPr>
          <w:fldChar w:fldCharType="separate"/>
        </w:r>
        <w:r>
          <w:rPr>
            <w:noProof/>
            <w:webHidden/>
          </w:rPr>
          <w:t>7</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41" w:history="1">
        <w:r w:rsidRPr="002F610F">
          <w:rPr>
            <w:rStyle w:val="Hyperlink"/>
            <w:noProof/>
          </w:rPr>
          <w:t>3.1.</w:t>
        </w:r>
        <w:r>
          <w:rPr>
            <w:rFonts w:asciiTheme="minorHAnsi" w:eastAsiaTheme="minorEastAsia" w:hAnsiTheme="minorHAnsi" w:cstheme="minorBidi"/>
            <w:noProof/>
            <w:sz w:val="22"/>
            <w:szCs w:val="22"/>
            <w:lang w:eastAsia="pl-PL"/>
          </w:rPr>
          <w:tab/>
        </w:r>
        <w:r w:rsidRPr="002F610F">
          <w:rPr>
            <w:rStyle w:val="Hyperlink"/>
            <w:noProof/>
          </w:rPr>
          <w:t>Unikanie podatku dochodowego przez osoby fizyczne</w:t>
        </w:r>
        <w:r>
          <w:rPr>
            <w:noProof/>
            <w:webHidden/>
          </w:rPr>
          <w:tab/>
        </w:r>
        <w:r>
          <w:rPr>
            <w:noProof/>
            <w:webHidden/>
          </w:rPr>
          <w:fldChar w:fldCharType="begin"/>
        </w:r>
        <w:r>
          <w:rPr>
            <w:noProof/>
            <w:webHidden/>
          </w:rPr>
          <w:instrText xml:space="preserve"> PAGEREF _Toc518508041 \h </w:instrText>
        </w:r>
        <w:r>
          <w:rPr>
            <w:noProof/>
            <w:webHidden/>
          </w:rPr>
        </w:r>
        <w:r>
          <w:rPr>
            <w:noProof/>
            <w:webHidden/>
          </w:rPr>
          <w:fldChar w:fldCharType="separate"/>
        </w:r>
        <w:r>
          <w:rPr>
            <w:noProof/>
            <w:webHidden/>
          </w:rPr>
          <w:t>7</w:t>
        </w:r>
        <w:r>
          <w:rPr>
            <w:noProof/>
            <w:webHidden/>
          </w:rPr>
          <w:fldChar w:fldCharType="end"/>
        </w:r>
      </w:hyperlink>
    </w:p>
    <w:p w:rsidR="00967C81" w:rsidRDefault="00967C81">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508042" w:history="1">
        <w:r w:rsidRPr="002F610F">
          <w:rPr>
            <w:rStyle w:val="Hyperlink"/>
            <w:noProof/>
          </w:rPr>
          <w:t>3.2.</w:t>
        </w:r>
        <w:r>
          <w:rPr>
            <w:rFonts w:asciiTheme="minorHAnsi" w:eastAsiaTheme="minorEastAsia" w:hAnsiTheme="minorHAnsi" w:cstheme="minorBidi"/>
            <w:noProof/>
            <w:sz w:val="22"/>
            <w:szCs w:val="22"/>
            <w:lang w:eastAsia="pl-PL"/>
          </w:rPr>
          <w:tab/>
        </w:r>
        <w:r w:rsidRPr="002F610F">
          <w:rPr>
            <w:rStyle w:val="Hyperlink"/>
            <w:noProof/>
          </w:rPr>
          <w:t>Korupcja w fiskusie</w:t>
        </w:r>
        <w:r>
          <w:rPr>
            <w:noProof/>
            <w:webHidden/>
          </w:rPr>
          <w:tab/>
        </w:r>
        <w:r>
          <w:rPr>
            <w:noProof/>
            <w:webHidden/>
          </w:rPr>
          <w:fldChar w:fldCharType="begin"/>
        </w:r>
        <w:r>
          <w:rPr>
            <w:noProof/>
            <w:webHidden/>
          </w:rPr>
          <w:instrText xml:space="preserve"> PAGEREF _Toc518508042 \h </w:instrText>
        </w:r>
        <w:r>
          <w:rPr>
            <w:noProof/>
            <w:webHidden/>
          </w:rPr>
        </w:r>
        <w:r>
          <w:rPr>
            <w:noProof/>
            <w:webHidden/>
          </w:rPr>
          <w:fldChar w:fldCharType="separate"/>
        </w:r>
        <w:r>
          <w:rPr>
            <w:noProof/>
            <w:webHidden/>
          </w:rPr>
          <w:t>8</w:t>
        </w:r>
        <w:r>
          <w:rPr>
            <w:noProof/>
            <w:webHidden/>
          </w:rPr>
          <w:fldChar w:fldCharType="end"/>
        </w:r>
      </w:hyperlink>
    </w:p>
    <w:p w:rsidR="00967C81" w:rsidRDefault="00967C81">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508043" w:history="1">
        <w:r w:rsidRPr="002F610F">
          <w:rPr>
            <w:rStyle w:val="Hyperlink"/>
            <w:noProof/>
          </w:rPr>
          <w:t>3.3.</w:t>
        </w:r>
        <w:r>
          <w:rPr>
            <w:rFonts w:asciiTheme="minorHAnsi" w:eastAsiaTheme="minorEastAsia" w:hAnsiTheme="minorHAnsi" w:cstheme="minorBidi"/>
            <w:noProof/>
            <w:sz w:val="22"/>
            <w:szCs w:val="22"/>
            <w:lang w:eastAsia="pl-PL"/>
          </w:rPr>
          <w:tab/>
        </w:r>
        <w:r w:rsidRPr="002F610F">
          <w:rPr>
            <w:rStyle w:val="Hyperlink"/>
            <w:noProof/>
          </w:rPr>
          <w:t>Optymalna polityka podatkowa</w:t>
        </w:r>
        <w:r>
          <w:rPr>
            <w:noProof/>
            <w:webHidden/>
          </w:rPr>
          <w:tab/>
        </w:r>
        <w:r>
          <w:rPr>
            <w:noProof/>
            <w:webHidden/>
          </w:rPr>
          <w:fldChar w:fldCharType="begin"/>
        </w:r>
        <w:r>
          <w:rPr>
            <w:noProof/>
            <w:webHidden/>
          </w:rPr>
          <w:instrText xml:space="preserve"> PAGEREF _Toc518508043 \h </w:instrText>
        </w:r>
        <w:r>
          <w:rPr>
            <w:noProof/>
            <w:webHidden/>
          </w:rPr>
        </w:r>
        <w:r>
          <w:rPr>
            <w:noProof/>
            <w:webHidden/>
          </w:rPr>
          <w:fldChar w:fldCharType="separate"/>
        </w:r>
        <w:r>
          <w:rPr>
            <w:noProof/>
            <w:webHidden/>
          </w:rPr>
          <w:t>9</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44" w:history="1">
        <w:r w:rsidRPr="002F610F">
          <w:rPr>
            <w:rStyle w:val="Hyperlink"/>
            <w:noProof/>
          </w:rPr>
          <w:t>4.</w:t>
        </w:r>
        <w:r>
          <w:rPr>
            <w:rFonts w:asciiTheme="minorHAnsi" w:eastAsiaTheme="minorEastAsia" w:hAnsiTheme="minorHAnsi" w:cstheme="minorBidi"/>
            <w:noProof/>
            <w:sz w:val="22"/>
            <w:szCs w:val="22"/>
            <w:lang w:eastAsia="pl-PL"/>
          </w:rPr>
          <w:tab/>
        </w:r>
        <w:r w:rsidRPr="002F610F">
          <w:rPr>
            <w:rStyle w:val="Hyperlink"/>
            <w:noProof/>
          </w:rPr>
          <w:t>Analiza polskieg</w:t>
        </w:r>
        <w:r w:rsidRPr="002F610F">
          <w:rPr>
            <w:rStyle w:val="Hyperlink"/>
            <w:noProof/>
          </w:rPr>
          <w:t>o</w:t>
        </w:r>
        <w:r w:rsidRPr="002F610F">
          <w:rPr>
            <w:rStyle w:val="Hyperlink"/>
            <w:noProof/>
          </w:rPr>
          <w:t xml:space="preserve"> systemu podatkowego</w:t>
        </w:r>
        <w:r>
          <w:rPr>
            <w:noProof/>
            <w:webHidden/>
          </w:rPr>
          <w:tab/>
        </w:r>
        <w:r>
          <w:rPr>
            <w:noProof/>
            <w:webHidden/>
          </w:rPr>
          <w:fldChar w:fldCharType="begin"/>
        </w:r>
        <w:r>
          <w:rPr>
            <w:noProof/>
            <w:webHidden/>
          </w:rPr>
          <w:instrText xml:space="preserve"> PAGEREF _Toc518508044 \h </w:instrText>
        </w:r>
        <w:r>
          <w:rPr>
            <w:noProof/>
            <w:webHidden/>
          </w:rPr>
        </w:r>
        <w:r>
          <w:rPr>
            <w:noProof/>
            <w:webHidden/>
          </w:rPr>
          <w:fldChar w:fldCharType="separate"/>
        </w:r>
        <w:r>
          <w:rPr>
            <w:noProof/>
            <w:webHidden/>
          </w:rPr>
          <w:t>10</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45" w:history="1">
        <w:r w:rsidRPr="002F610F">
          <w:rPr>
            <w:rStyle w:val="Hyperlink"/>
            <w:noProof/>
          </w:rPr>
          <w:t>4.1.</w:t>
        </w:r>
        <w:r>
          <w:rPr>
            <w:rFonts w:asciiTheme="minorHAnsi" w:eastAsiaTheme="minorEastAsia" w:hAnsiTheme="minorHAnsi" w:cstheme="minorBidi"/>
            <w:noProof/>
            <w:sz w:val="22"/>
            <w:szCs w:val="22"/>
            <w:lang w:eastAsia="pl-PL"/>
          </w:rPr>
          <w:tab/>
        </w:r>
        <w:r w:rsidRPr="002F610F">
          <w:rPr>
            <w:rStyle w:val="Hyperlink"/>
            <w:noProof/>
          </w:rPr>
          <w:t>Strategie podatnika</w:t>
        </w:r>
        <w:r>
          <w:rPr>
            <w:noProof/>
            <w:webHidden/>
          </w:rPr>
          <w:tab/>
        </w:r>
        <w:r>
          <w:rPr>
            <w:noProof/>
            <w:webHidden/>
          </w:rPr>
          <w:fldChar w:fldCharType="begin"/>
        </w:r>
        <w:r>
          <w:rPr>
            <w:noProof/>
            <w:webHidden/>
          </w:rPr>
          <w:instrText xml:space="preserve"> PAGEREF _Toc518508045 \h </w:instrText>
        </w:r>
        <w:r>
          <w:rPr>
            <w:noProof/>
            <w:webHidden/>
          </w:rPr>
        </w:r>
        <w:r>
          <w:rPr>
            <w:noProof/>
            <w:webHidden/>
          </w:rPr>
          <w:fldChar w:fldCharType="separate"/>
        </w:r>
        <w:r>
          <w:rPr>
            <w:noProof/>
            <w:webHidden/>
          </w:rPr>
          <w:t>10</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46" w:history="1">
        <w:r w:rsidRPr="002F610F">
          <w:rPr>
            <w:rStyle w:val="Hyperlink"/>
            <w:noProof/>
            <w:lang w:eastAsia="pl-PL"/>
          </w:rPr>
          <w:t>4.2.</w:t>
        </w:r>
        <w:r>
          <w:rPr>
            <w:rFonts w:asciiTheme="minorHAnsi" w:eastAsiaTheme="minorEastAsia" w:hAnsiTheme="minorHAnsi" w:cstheme="minorBidi"/>
            <w:noProof/>
            <w:sz w:val="22"/>
            <w:szCs w:val="22"/>
            <w:lang w:eastAsia="pl-PL"/>
          </w:rPr>
          <w:tab/>
        </w:r>
        <w:r w:rsidRPr="002F610F">
          <w:rPr>
            <w:rStyle w:val="Hyperlink"/>
            <w:noProof/>
            <w:lang w:eastAsia="pl-PL"/>
          </w:rPr>
          <w:t>Strategie urzędu</w:t>
        </w:r>
        <w:r>
          <w:rPr>
            <w:noProof/>
            <w:webHidden/>
          </w:rPr>
          <w:tab/>
        </w:r>
        <w:r>
          <w:rPr>
            <w:noProof/>
            <w:webHidden/>
          </w:rPr>
          <w:fldChar w:fldCharType="begin"/>
        </w:r>
        <w:r>
          <w:rPr>
            <w:noProof/>
            <w:webHidden/>
          </w:rPr>
          <w:instrText xml:space="preserve"> PAGEREF _Toc518508046 \h </w:instrText>
        </w:r>
        <w:r>
          <w:rPr>
            <w:noProof/>
            <w:webHidden/>
          </w:rPr>
        </w:r>
        <w:r>
          <w:rPr>
            <w:noProof/>
            <w:webHidden/>
          </w:rPr>
          <w:fldChar w:fldCharType="separate"/>
        </w:r>
        <w:r>
          <w:rPr>
            <w:noProof/>
            <w:webHidden/>
          </w:rPr>
          <w:t>10</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47" w:history="1">
        <w:r w:rsidRPr="002F610F">
          <w:rPr>
            <w:rStyle w:val="Hyperlink"/>
            <w:noProof/>
            <w:lang w:eastAsia="pl-PL"/>
          </w:rPr>
          <w:t>4.3.</w:t>
        </w:r>
        <w:r>
          <w:rPr>
            <w:rFonts w:asciiTheme="minorHAnsi" w:eastAsiaTheme="minorEastAsia" w:hAnsiTheme="minorHAnsi" w:cstheme="minorBidi"/>
            <w:noProof/>
            <w:sz w:val="22"/>
            <w:szCs w:val="22"/>
            <w:lang w:eastAsia="pl-PL"/>
          </w:rPr>
          <w:tab/>
        </w:r>
        <w:r w:rsidRPr="002F610F">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_Toc518508047 \h </w:instrText>
        </w:r>
        <w:r>
          <w:rPr>
            <w:noProof/>
            <w:webHidden/>
          </w:rPr>
        </w:r>
        <w:r>
          <w:rPr>
            <w:noProof/>
            <w:webHidden/>
          </w:rPr>
          <w:fldChar w:fldCharType="separate"/>
        </w:r>
        <w:r>
          <w:rPr>
            <w:noProof/>
            <w:webHidden/>
          </w:rPr>
          <w:t>11</w:t>
        </w:r>
        <w:r>
          <w:rPr>
            <w:noProof/>
            <w:webHidden/>
          </w:rPr>
          <w:fldChar w:fldCharType="end"/>
        </w:r>
      </w:hyperlink>
    </w:p>
    <w:p w:rsidR="00967C81" w:rsidRDefault="00967C81">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508048" w:history="1">
        <w:r w:rsidRPr="002F610F">
          <w:rPr>
            <w:rStyle w:val="Hyperlink"/>
            <w:b/>
            <w:noProof/>
            <w:lang w:eastAsia="pl-PL"/>
          </w:rPr>
          <w:t>4.3.1.</w:t>
        </w:r>
        <w:r>
          <w:rPr>
            <w:rFonts w:asciiTheme="minorHAnsi" w:eastAsiaTheme="minorEastAsia" w:hAnsiTheme="minorHAnsi" w:cstheme="minorBidi"/>
            <w:noProof/>
            <w:sz w:val="22"/>
            <w:szCs w:val="22"/>
            <w:lang w:eastAsia="pl-PL"/>
          </w:rPr>
          <w:tab/>
        </w:r>
        <w:r w:rsidRPr="002F610F">
          <w:rPr>
            <w:rStyle w:val="Hyperlink"/>
            <w:b/>
            <w:noProof/>
          </w:rPr>
          <w:t>Przypadek niedoszacowania dochodów</w:t>
        </w:r>
        <w:r>
          <w:rPr>
            <w:noProof/>
            <w:webHidden/>
          </w:rPr>
          <w:tab/>
        </w:r>
        <w:r>
          <w:rPr>
            <w:noProof/>
            <w:webHidden/>
          </w:rPr>
          <w:fldChar w:fldCharType="begin"/>
        </w:r>
        <w:r>
          <w:rPr>
            <w:noProof/>
            <w:webHidden/>
          </w:rPr>
          <w:instrText xml:space="preserve"> PAGEREF _Toc518508048 \h </w:instrText>
        </w:r>
        <w:r>
          <w:rPr>
            <w:noProof/>
            <w:webHidden/>
          </w:rPr>
        </w:r>
        <w:r>
          <w:rPr>
            <w:noProof/>
            <w:webHidden/>
          </w:rPr>
          <w:fldChar w:fldCharType="separate"/>
        </w:r>
        <w:r>
          <w:rPr>
            <w:noProof/>
            <w:webHidden/>
          </w:rPr>
          <w:t>12</w:t>
        </w:r>
        <w:r>
          <w:rPr>
            <w:noProof/>
            <w:webHidden/>
          </w:rPr>
          <w:fldChar w:fldCharType="end"/>
        </w:r>
      </w:hyperlink>
    </w:p>
    <w:p w:rsidR="00967C81" w:rsidRDefault="00967C81">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508049" w:history="1">
        <w:r w:rsidRPr="002F610F">
          <w:rPr>
            <w:rStyle w:val="Hyperlink"/>
            <w:b/>
            <w:noProof/>
          </w:rPr>
          <w:t>4.3.2.</w:t>
        </w:r>
        <w:r>
          <w:rPr>
            <w:rFonts w:asciiTheme="minorHAnsi" w:eastAsiaTheme="minorEastAsia" w:hAnsiTheme="minorHAnsi" w:cstheme="minorBidi"/>
            <w:noProof/>
            <w:sz w:val="22"/>
            <w:szCs w:val="22"/>
            <w:lang w:eastAsia="pl-PL"/>
          </w:rPr>
          <w:tab/>
        </w:r>
        <w:r w:rsidRPr="002F610F">
          <w:rPr>
            <w:rStyle w:val="Hyperlink"/>
            <w:b/>
            <w:noProof/>
          </w:rPr>
          <w:t>Przypadek przeszacowania dochodów</w:t>
        </w:r>
        <w:r>
          <w:rPr>
            <w:noProof/>
            <w:webHidden/>
          </w:rPr>
          <w:tab/>
        </w:r>
        <w:r>
          <w:rPr>
            <w:noProof/>
            <w:webHidden/>
          </w:rPr>
          <w:fldChar w:fldCharType="begin"/>
        </w:r>
        <w:r>
          <w:rPr>
            <w:noProof/>
            <w:webHidden/>
          </w:rPr>
          <w:instrText xml:space="preserve"> PAGEREF _Toc518508049 \h </w:instrText>
        </w:r>
        <w:r>
          <w:rPr>
            <w:noProof/>
            <w:webHidden/>
          </w:rPr>
        </w:r>
        <w:r>
          <w:rPr>
            <w:noProof/>
            <w:webHidden/>
          </w:rPr>
          <w:fldChar w:fldCharType="separate"/>
        </w:r>
        <w:r>
          <w:rPr>
            <w:noProof/>
            <w:webHidden/>
          </w:rPr>
          <w:t>15</w:t>
        </w:r>
        <w:r>
          <w:rPr>
            <w:noProof/>
            <w:webHidden/>
          </w:rPr>
          <w:fldChar w:fldCharType="end"/>
        </w:r>
      </w:hyperlink>
    </w:p>
    <w:p w:rsidR="00967C81" w:rsidRDefault="00967C8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508050" w:history="1">
        <w:r w:rsidRPr="002F610F">
          <w:rPr>
            <w:rStyle w:val="Hyperlink"/>
            <w:noProof/>
            <w:lang w:eastAsia="pl-PL"/>
          </w:rPr>
          <w:t>4.4.</w:t>
        </w:r>
        <w:r>
          <w:rPr>
            <w:rFonts w:asciiTheme="minorHAnsi" w:eastAsiaTheme="minorEastAsia" w:hAnsiTheme="minorHAnsi" w:cstheme="minorBidi"/>
            <w:noProof/>
            <w:sz w:val="22"/>
            <w:szCs w:val="22"/>
            <w:lang w:eastAsia="pl-PL"/>
          </w:rPr>
          <w:tab/>
        </w:r>
        <w:r w:rsidRPr="002F610F">
          <w:rPr>
            <w:rStyle w:val="Hyperlink"/>
            <w:noProof/>
            <w:lang w:eastAsia="pl-PL"/>
          </w:rPr>
          <w:t>Analiza szeregu decyzji</w:t>
        </w:r>
        <w:r>
          <w:rPr>
            <w:noProof/>
            <w:webHidden/>
          </w:rPr>
          <w:tab/>
        </w:r>
        <w:r>
          <w:rPr>
            <w:noProof/>
            <w:webHidden/>
          </w:rPr>
          <w:fldChar w:fldCharType="begin"/>
        </w:r>
        <w:r>
          <w:rPr>
            <w:noProof/>
            <w:webHidden/>
          </w:rPr>
          <w:instrText xml:space="preserve"> PAGEREF _Toc518508050 \h </w:instrText>
        </w:r>
        <w:r>
          <w:rPr>
            <w:noProof/>
            <w:webHidden/>
          </w:rPr>
        </w:r>
        <w:r>
          <w:rPr>
            <w:noProof/>
            <w:webHidden/>
          </w:rPr>
          <w:fldChar w:fldCharType="separate"/>
        </w:r>
        <w:r>
          <w:rPr>
            <w:noProof/>
            <w:webHidden/>
          </w:rPr>
          <w:t>17</w:t>
        </w:r>
        <w:r>
          <w:rPr>
            <w:noProof/>
            <w:webHidden/>
          </w:rPr>
          <w:fldChar w:fldCharType="end"/>
        </w:r>
      </w:hyperlink>
    </w:p>
    <w:p w:rsidR="00967C81" w:rsidRDefault="00967C81">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508051" w:history="1">
        <w:r w:rsidRPr="002F610F">
          <w:rPr>
            <w:rStyle w:val="Hyperlink"/>
            <w:b/>
            <w:noProof/>
          </w:rPr>
          <w:t>4.4.1.</w:t>
        </w:r>
        <w:r>
          <w:rPr>
            <w:rFonts w:asciiTheme="minorHAnsi" w:eastAsiaTheme="minorEastAsia" w:hAnsiTheme="minorHAnsi" w:cstheme="minorBidi"/>
            <w:noProof/>
            <w:sz w:val="22"/>
            <w:szCs w:val="22"/>
            <w:lang w:eastAsia="pl-PL"/>
          </w:rPr>
          <w:tab/>
        </w:r>
        <w:r w:rsidRPr="002F610F">
          <w:rPr>
            <w:rStyle w:val="Hyperlink"/>
            <w:b/>
            <w:noProof/>
          </w:rPr>
          <w:t>Przypadek niedoszacowania dochodów</w:t>
        </w:r>
        <w:r>
          <w:rPr>
            <w:noProof/>
            <w:webHidden/>
          </w:rPr>
          <w:tab/>
        </w:r>
        <w:r>
          <w:rPr>
            <w:noProof/>
            <w:webHidden/>
          </w:rPr>
          <w:fldChar w:fldCharType="begin"/>
        </w:r>
        <w:r>
          <w:rPr>
            <w:noProof/>
            <w:webHidden/>
          </w:rPr>
          <w:instrText xml:space="preserve"> PAGEREF _Toc518508051 \h </w:instrText>
        </w:r>
        <w:r>
          <w:rPr>
            <w:noProof/>
            <w:webHidden/>
          </w:rPr>
        </w:r>
        <w:r>
          <w:rPr>
            <w:noProof/>
            <w:webHidden/>
          </w:rPr>
          <w:fldChar w:fldCharType="separate"/>
        </w:r>
        <w:r>
          <w:rPr>
            <w:noProof/>
            <w:webHidden/>
          </w:rPr>
          <w:t>19</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52" w:history="1">
        <w:r w:rsidRPr="002F610F">
          <w:rPr>
            <w:rStyle w:val="Hyperlink"/>
            <w:noProof/>
          </w:rPr>
          <w:t>Spis tabel</w:t>
        </w:r>
        <w:r>
          <w:rPr>
            <w:noProof/>
            <w:webHidden/>
          </w:rPr>
          <w:tab/>
        </w:r>
        <w:r>
          <w:rPr>
            <w:noProof/>
            <w:webHidden/>
          </w:rPr>
          <w:fldChar w:fldCharType="begin"/>
        </w:r>
        <w:r>
          <w:rPr>
            <w:noProof/>
            <w:webHidden/>
          </w:rPr>
          <w:instrText xml:space="preserve"> PAGEREF _Toc518508052 \h </w:instrText>
        </w:r>
        <w:r>
          <w:rPr>
            <w:noProof/>
            <w:webHidden/>
          </w:rPr>
        </w:r>
        <w:r>
          <w:rPr>
            <w:noProof/>
            <w:webHidden/>
          </w:rPr>
          <w:fldChar w:fldCharType="separate"/>
        </w:r>
        <w:r>
          <w:rPr>
            <w:noProof/>
            <w:webHidden/>
          </w:rPr>
          <w:t>20</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53" w:history="1">
        <w:r w:rsidRPr="002F610F">
          <w:rPr>
            <w:rStyle w:val="Hyperlink"/>
            <w:noProof/>
          </w:rPr>
          <w:t>Spis rysunków</w:t>
        </w:r>
        <w:r>
          <w:rPr>
            <w:noProof/>
            <w:webHidden/>
          </w:rPr>
          <w:tab/>
        </w:r>
        <w:r>
          <w:rPr>
            <w:noProof/>
            <w:webHidden/>
          </w:rPr>
          <w:fldChar w:fldCharType="begin"/>
        </w:r>
        <w:r>
          <w:rPr>
            <w:noProof/>
            <w:webHidden/>
          </w:rPr>
          <w:instrText xml:space="preserve"> PAGEREF _Toc518508053 \h </w:instrText>
        </w:r>
        <w:r>
          <w:rPr>
            <w:noProof/>
            <w:webHidden/>
          </w:rPr>
        </w:r>
        <w:r>
          <w:rPr>
            <w:noProof/>
            <w:webHidden/>
          </w:rPr>
          <w:fldChar w:fldCharType="separate"/>
        </w:r>
        <w:r>
          <w:rPr>
            <w:noProof/>
            <w:webHidden/>
          </w:rPr>
          <w:t>21</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54" w:history="1">
        <w:r w:rsidRPr="002F610F">
          <w:rPr>
            <w:rStyle w:val="Hyperlink"/>
            <w:noProof/>
          </w:rPr>
          <w:t>Zakończenie</w:t>
        </w:r>
        <w:r>
          <w:rPr>
            <w:noProof/>
            <w:webHidden/>
          </w:rPr>
          <w:tab/>
        </w:r>
        <w:r>
          <w:rPr>
            <w:noProof/>
            <w:webHidden/>
          </w:rPr>
          <w:fldChar w:fldCharType="begin"/>
        </w:r>
        <w:r>
          <w:rPr>
            <w:noProof/>
            <w:webHidden/>
          </w:rPr>
          <w:instrText xml:space="preserve"> PAGEREF _Toc518508054 \h </w:instrText>
        </w:r>
        <w:r>
          <w:rPr>
            <w:noProof/>
            <w:webHidden/>
          </w:rPr>
        </w:r>
        <w:r>
          <w:rPr>
            <w:noProof/>
            <w:webHidden/>
          </w:rPr>
          <w:fldChar w:fldCharType="separate"/>
        </w:r>
        <w:r>
          <w:rPr>
            <w:noProof/>
            <w:webHidden/>
          </w:rPr>
          <w:t>22</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55" w:history="1">
        <w:r w:rsidRPr="002F610F">
          <w:rPr>
            <w:rStyle w:val="Hyperlink"/>
            <w:noProof/>
          </w:rPr>
          <w:t>Bibliografia</w:t>
        </w:r>
        <w:r>
          <w:rPr>
            <w:noProof/>
            <w:webHidden/>
          </w:rPr>
          <w:tab/>
        </w:r>
        <w:r>
          <w:rPr>
            <w:noProof/>
            <w:webHidden/>
          </w:rPr>
          <w:fldChar w:fldCharType="begin"/>
        </w:r>
        <w:r>
          <w:rPr>
            <w:noProof/>
            <w:webHidden/>
          </w:rPr>
          <w:instrText xml:space="preserve"> PAGEREF _Toc518508055 \h </w:instrText>
        </w:r>
        <w:r>
          <w:rPr>
            <w:noProof/>
            <w:webHidden/>
          </w:rPr>
        </w:r>
        <w:r>
          <w:rPr>
            <w:noProof/>
            <w:webHidden/>
          </w:rPr>
          <w:fldChar w:fldCharType="separate"/>
        </w:r>
        <w:r>
          <w:rPr>
            <w:noProof/>
            <w:webHidden/>
          </w:rPr>
          <w:t>23</w:t>
        </w:r>
        <w:r>
          <w:rPr>
            <w:noProof/>
            <w:webHidden/>
          </w:rPr>
          <w:fldChar w:fldCharType="end"/>
        </w:r>
      </w:hyperlink>
    </w:p>
    <w:p w:rsidR="00967C81" w:rsidRDefault="00967C81">
      <w:pPr>
        <w:pStyle w:val="TOC1"/>
        <w:rPr>
          <w:rFonts w:asciiTheme="minorHAnsi" w:eastAsiaTheme="minorEastAsia" w:hAnsiTheme="minorHAnsi" w:cstheme="minorBidi"/>
          <w:noProof/>
          <w:sz w:val="22"/>
          <w:szCs w:val="22"/>
          <w:lang w:eastAsia="pl-PL"/>
        </w:rPr>
      </w:pPr>
      <w:hyperlink w:anchor="_Toc518508056" w:history="1">
        <w:r w:rsidRPr="002F610F">
          <w:rPr>
            <w:rStyle w:val="Hyperlink"/>
            <w:noProof/>
          </w:rPr>
          <w:t>Streszczenie</w:t>
        </w:r>
        <w:r>
          <w:rPr>
            <w:noProof/>
            <w:webHidden/>
          </w:rPr>
          <w:tab/>
        </w:r>
        <w:r>
          <w:rPr>
            <w:noProof/>
            <w:webHidden/>
          </w:rPr>
          <w:fldChar w:fldCharType="begin"/>
        </w:r>
        <w:r>
          <w:rPr>
            <w:noProof/>
            <w:webHidden/>
          </w:rPr>
          <w:instrText xml:space="preserve"> PAGEREF _Toc518508056 \h </w:instrText>
        </w:r>
        <w:r>
          <w:rPr>
            <w:noProof/>
            <w:webHidden/>
          </w:rPr>
        </w:r>
        <w:r>
          <w:rPr>
            <w:noProof/>
            <w:webHidden/>
          </w:rPr>
          <w:fldChar w:fldCharType="separate"/>
        </w:r>
        <w:r>
          <w:rPr>
            <w:noProof/>
            <w:webHidden/>
          </w:rPr>
          <w:t>24</w:t>
        </w:r>
        <w:r>
          <w:rPr>
            <w:noProof/>
            <w:webHidden/>
          </w:rPr>
          <w:fldChar w:fldCharType="end"/>
        </w:r>
      </w:hyperlink>
    </w:p>
    <w:p w:rsidR="00B4671D" w:rsidRDefault="001147C6" w:rsidP="0099698D">
      <w:pPr>
        <w:pStyle w:val="Heading1"/>
      </w:pPr>
      <w:r w:rsidRPr="000D0396">
        <w:rPr>
          <w:b w:val="0"/>
          <w:noProof/>
        </w:rPr>
        <w:fldChar w:fldCharType="end"/>
      </w:r>
      <w:r>
        <w:br w:type="page"/>
      </w:r>
      <w:bookmarkStart w:id="0" w:name="_Toc518508035"/>
      <w:r w:rsidR="00FB749F" w:rsidRPr="00BD127B">
        <w:lastRenderedPageBreak/>
        <w:t>Wstęp</w:t>
      </w:r>
      <w:bookmarkEnd w:id="0"/>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1" w:name="_Toc518508036"/>
      <w:r>
        <w:t>Podatki</w:t>
      </w:r>
      <w:bookmarkEnd w:id="1"/>
    </w:p>
    <w:p w:rsidR="001F417E" w:rsidRDefault="001F417E" w:rsidP="00B74A2F">
      <w:pPr>
        <w:pStyle w:val="Heading2"/>
        <w:numPr>
          <w:ilvl w:val="1"/>
          <w:numId w:val="4"/>
        </w:numPr>
      </w:pPr>
      <w:bookmarkStart w:id="2" w:name="_Toc518508037"/>
      <w:r>
        <w:t>&lt;tytuł podrozdziału&gt;</w:t>
      </w:r>
      <w:bookmarkEnd w:id="2"/>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3" w:name="_Toc518508038"/>
      <w:r w:rsidR="001F417E">
        <w:lastRenderedPageBreak/>
        <w:t>Teoria gier</w:t>
      </w:r>
      <w:bookmarkEnd w:id="3"/>
    </w:p>
    <w:p w:rsidR="006E4D7F" w:rsidRDefault="001F417E" w:rsidP="00B74A2F">
      <w:pPr>
        <w:pStyle w:val="Heading2"/>
        <w:numPr>
          <w:ilvl w:val="1"/>
          <w:numId w:val="4"/>
        </w:numPr>
      </w:pPr>
      <w:bookmarkStart w:id="4" w:name="_Toc518508039"/>
      <w:r w:rsidRPr="001F417E">
        <w:t>&lt;tytuł podrozdziału&gt;</w:t>
      </w:r>
      <w:bookmarkEnd w:id="4"/>
    </w:p>
    <w:p w:rsidR="001D7D5C" w:rsidRPr="00BD127B" w:rsidRDefault="001D7D5C" w:rsidP="001F417E">
      <w:pPr>
        <w:pStyle w:val="Heading1"/>
        <w:numPr>
          <w:ilvl w:val="0"/>
          <w:numId w:val="4"/>
        </w:numPr>
      </w:pPr>
      <w:r>
        <w:br w:type="page"/>
      </w:r>
      <w:bookmarkStart w:id="5" w:name="_Toc518508040"/>
      <w:r w:rsidR="001F417E">
        <w:lastRenderedPageBreak/>
        <w:t>Zastosowanie teorii gier w podatkach</w:t>
      </w:r>
      <w:bookmarkEnd w:id="5"/>
    </w:p>
    <w:p w:rsidR="001D7D5C" w:rsidRDefault="001F417E" w:rsidP="00B74A2F">
      <w:pPr>
        <w:pStyle w:val="Heading2"/>
        <w:numPr>
          <w:ilvl w:val="1"/>
          <w:numId w:val="4"/>
        </w:numPr>
      </w:pPr>
      <w:bookmarkStart w:id="6" w:name="_Toc518508041"/>
      <w:r>
        <w:t>Unikanie podatku dochodowego przez osoby fizyczne</w:t>
      </w:r>
      <w:bookmarkEnd w:id="6"/>
    </w:p>
    <w:p w:rsidR="00BF097B" w:rsidRDefault="00E52E94" w:rsidP="00D31D3C">
      <w:hyperlink r:id="rId12" w:history="1">
        <w:r w:rsidR="00D31D3C" w:rsidRPr="007E63A3">
          <w:rPr>
            <w:rStyle w:val="Hyperlink"/>
          </w:rPr>
          <w:t>http://www3.nccu.edu.tw/~klueng/tax%20paper/1.pdf</w:t>
        </w:r>
      </w:hyperlink>
    </w:p>
    <w:p w:rsidR="00BF097B" w:rsidRDefault="00E52E94" w:rsidP="00D31D3C">
      <w:hyperlink r:id="rId13" w:history="1">
        <w:r w:rsidR="00BF097B" w:rsidRPr="007E63A3">
          <w:rPr>
            <w:rStyle w:val="Hyperlink"/>
          </w:rPr>
          <w:t>https://kie.vse.cz/wp-content/uploads/Torgler-2003.pdf</w:t>
        </w:r>
      </w:hyperlink>
    </w:p>
    <w:p w:rsidR="007F3349" w:rsidRDefault="00E52E94" w:rsidP="00D31D3C">
      <w:hyperlink r:id="rId14" w:history="1">
        <w:r w:rsidR="007F3349" w:rsidRPr="007F3349">
          <w:rPr>
            <w:rStyle w:val="Hyperlink"/>
          </w:rPr>
          <w:t>artykuły\alm1992.pdf</w:t>
        </w:r>
      </w:hyperlink>
    </w:p>
    <w:p w:rsidR="004861BD" w:rsidRDefault="00E52E94" w:rsidP="00D31D3C">
      <w:hyperlink r:id="rId15" w:history="1">
        <w:r w:rsidR="004861BD"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7" w:name="_Toc518508042"/>
      <w:r>
        <w:lastRenderedPageBreak/>
        <w:t>Korupcja w fiskusie</w:t>
      </w:r>
      <w:bookmarkEnd w:id="7"/>
    </w:p>
    <w:p w:rsidR="00D31D3C" w:rsidRDefault="00E52E94" w:rsidP="00D31D3C">
      <w:hyperlink r:id="rId16" w:history="1">
        <w:r w:rsidR="00D31D3C" w:rsidRPr="007E63A3">
          <w:rPr>
            <w:rStyle w:val="Hyperlink"/>
          </w:rPr>
          <w:t>https://mpra.ub.uni-muenchen.de/66423/1/MPRA_paper_66423.pdf</w:t>
        </w:r>
      </w:hyperlink>
    </w:p>
    <w:p w:rsidR="00011DCF" w:rsidRDefault="00E52E94" w:rsidP="00D31D3C">
      <w:hyperlink r:id="rId17" w:history="1">
        <w:r w:rsidR="00011DCF" w:rsidRPr="00011DCF">
          <w:rPr>
            <w:rStyle w:val="Hyperlink"/>
          </w:rPr>
          <w:t>artykuły\corruption.pdf</w:t>
        </w:r>
      </w:hyperlink>
    </w:p>
    <w:p w:rsidR="00BF097B" w:rsidRDefault="00E52E94" w:rsidP="00D31D3C">
      <w:hyperlink r:id="rId18" w:history="1">
        <w:r w:rsidR="00BF097B" w:rsidRPr="007E63A3">
          <w:rPr>
            <w:rStyle w:val="Hyperlink"/>
          </w:rPr>
          <w:t>http://www.acarindex.com/dosyalar/makale/acarindex-1423909977.pdf</w:t>
        </w:r>
      </w:hyperlink>
    </w:p>
    <w:p w:rsidR="00BF097B" w:rsidRDefault="00BF097B" w:rsidP="00D31D3C"/>
    <w:p w:rsidR="003E385A" w:rsidRDefault="003E385A" w:rsidP="001F417E">
      <w:pPr>
        <w:pStyle w:val="Heading3"/>
        <w:numPr>
          <w:ilvl w:val="1"/>
          <w:numId w:val="4"/>
        </w:numPr>
      </w:pPr>
      <w:r>
        <w:br w:type="page"/>
      </w:r>
      <w:bookmarkStart w:id="8" w:name="_Toc518508043"/>
      <w:r>
        <w:lastRenderedPageBreak/>
        <w:t>Optymaln</w:t>
      </w:r>
      <w:r w:rsidR="004861BD">
        <w:t>a polityka podatkowa</w:t>
      </w:r>
      <w:bookmarkEnd w:id="8"/>
    </w:p>
    <w:p w:rsidR="003E385A" w:rsidRDefault="003E385A" w:rsidP="003E385A"/>
    <w:p w:rsidR="003E385A" w:rsidRDefault="00E52E94" w:rsidP="003E385A">
      <w:hyperlink r:id="rId19" w:history="1">
        <w:r w:rsidR="003E385A" w:rsidRPr="007E63A3">
          <w:rPr>
            <w:rStyle w:val="Hyperlink"/>
          </w:rPr>
          <w:t>https://pdfs.semanticscholar.org/eea7/a4361aa331e868d8fcee9cf780ecea2a29fd.pdf</w:t>
        </w:r>
      </w:hyperlink>
    </w:p>
    <w:p w:rsidR="003E385A" w:rsidRDefault="00E52E94" w:rsidP="003E385A">
      <w:hyperlink r:id="rId20" w:history="1">
        <w:r w:rsidR="004861BD" w:rsidRPr="007E63A3">
          <w:rPr>
            <w:rStyle w:val="Hyperlink"/>
          </w:rPr>
          <w:t>http://www.pmf.ni.ac.rs/pmf/publikacije/filomat/2016/30-15/30-15-5.pdf</w:t>
        </w:r>
      </w:hyperlink>
    </w:p>
    <w:p w:rsidR="004861BD" w:rsidRDefault="00E52E94" w:rsidP="003E385A">
      <w:hyperlink r:id="rId21" w:history="1">
        <w:r w:rsidR="004861BD" w:rsidRPr="004861BD">
          <w:rPr>
            <w:rStyle w:val="Hyperlink"/>
          </w:rPr>
          <w:t>artykuły\greenberg1984.pdf</w:t>
        </w:r>
      </w:hyperlink>
    </w:p>
    <w:p w:rsidR="003E385A" w:rsidRDefault="00E52E94" w:rsidP="003E385A">
      <w:hyperlink r:id="rId22" w:history="1">
        <w:r w:rsidR="004861BD"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9" w:name="_Toc518508044"/>
      <w:bookmarkStart w:id="10" w:name="_GoBack"/>
      <w:bookmarkEnd w:id="10"/>
      <w:r>
        <w:lastRenderedPageBreak/>
        <w:t>Analiza polskiego systemu podatkowego</w:t>
      </w:r>
      <w:bookmarkEnd w:id="9"/>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1" w:name="_Toc518508045"/>
      <w:r w:rsidRPr="0081533B">
        <w:t>Strategie podatnika</w:t>
      </w:r>
      <w:bookmarkEnd w:id="11"/>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81533B">
      <w:pPr>
        <w:numPr>
          <w:ilvl w:val="0"/>
          <w:numId w:val="16"/>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2" w:name="_Toc518508046"/>
      <w:r>
        <w:rPr>
          <w:lang w:eastAsia="pl-PL"/>
        </w:rPr>
        <w:t xml:space="preserve">Strategie </w:t>
      </w:r>
      <w:r w:rsidR="00AE664F">
        <w:rPr>
          <w:lang w:eastAsia="pl-PL"/>
        </w:rPr>
        <w:t>urzędu</w:t>
      </w:r>
      <w:bookmarkEnd w:id="12"/>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3" w:name="_Toc518508047"/>
      <w:r>
        <w:rPr>
          <w:lang w:eastAsia="pl-PL"/>
        </w:rPr>
        <w:t>Podstawowy model skłonności do unikania podatku</w:t>
      </w:r>
      <w:bookmarkEnd w:id="13"/>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E52E94"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E52E94"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E52E94"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w:t>
      </w:r>
      <w:proofErr w:type="spellStart"/>
      <w:r w:rsidR="002402BC">
        <w:rPr>
          <w:lang w:eastAsia="pl-PL"/>
        </w:rPr>
        <w:t>expected</w:t>
      </w:r>
      <w:proofErr w:type="spellEnd"/>
      <w:r w:rsidR="002402BC">
        <w:rPr>
          <w:lang w:eastAsia="pl-PL"/>
        </w:rPr>
        <w:t xml:space="preserve">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4" w:name="_Toc518034647"/>
      <w:bookmarkStart w:id="15" w:name="_Ref518032970"/>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581231">
        <w:rPr>
          <w:noProof/>
        </w:rPr>
        <w:t>1</w:t>
      </w:r>
      <w:bookmarkEnd w:id="14"/>
      <w:r w:rsidR="005B24C6">
        <w:rPr>
          <w:noProof/>
        </w:rPr>
        <w:fldChar w:fldCharType="end"/>
      </w:r>
      <w:bookmarkEnd w:id="15"/>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6" w:name="_Toc518508048"/>
      <w:r w:rsidRPr="00D0625A">
        <w:rPr>
          <w:b/>
        </w:rPr>
        <w:t xml:space="preserve">Przypadek </w:t>
      </w:r>
      <w:r w:rsidR="000D0396">
        <w:rPr>
          <w:b/>
        </w:rPr>
        <w:t>niedoszacowania dochodów</w:t>
      </w:r>
      <w:bookmarkEnd w:id="16"/>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E52E94"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E52E94"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E52E94"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7" w:name="_Toc518043871"/>
      <w:bookmarkStart w:id="18" w:name="_Ref518037686"/>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9D1B75">
        <w:rPr>
          <w:noProof/>
        </w:rPr>
        <w:t>1</w:t>
      </w:r>
      <w:bookmarkEnd w:id="17"/>
      <w:r w:rsidR="005B24C6">
        <w:rPr>
          <w:noProof/>
        </w:rPr>
        <w:fldChar w:fldCharType="end"/>
      </w:r>
      <w:bookmarkEnd w:id="18"/>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E52E94"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E52E94"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E52E94"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E52E94"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E52E94"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E52E94"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E52E94"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E52E94"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E52E94"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E52E94"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E52E94"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384893" w:rsidRDefault="00F83CDB" w:rsidP="00384893">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E52E94"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E52E94"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942487">
          <w:headerReference w:type="even" r:id="rId24"/>
          <w:headerReference w:type="default" r:id="rId25"/>
          <w:footerReference w:type="default" r:id="rId26"/>
          <w:headerReference w:type="first" r:id="rId27"/>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pPr>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Pr>
          <w:noProof/>
        </w:rPr>
        <w:t>2</w:t>
      </w:r>
      <w:r w:rsidR="00E57AAE">
        <w:rPr>
          <w:noProof/>
        </w:rPr>
        <w:fldChar w:fldCharType="end"/>
      </w:r>
      <w:r w:rsidR="007974EE">
        <w:rPr>
          <w:noProof/>
        </w:rPr>
        <w:drawing>
          <wp:inline distT="0" distB="0" distL="0" distR="0">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28">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E52E94"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5B24C6">
      <w:pPr>
        <w:pStyle w:val="Heading3"/>
        <w:numPr>
          <w:ilvl w:val="2"/>
          <w:numId w:val="4"/>
        </w:numPr>
        <w:rPr>
          <w:b/>
        </w:rPr>
      </w:pPr>
      <w:bookmarkStart w:id="19" w:name="_Toc518508049"/>
      <w:r w:rsidRPr="000D0396">
        <w:rPr>
          <w:b/>
        </w:rPr>
        <w:t xml:space="preserve">Przypadek </w:t>
      </w:r>
      <w:r w:rsidR="000D0396" w:rsidRPr="000D0396">
        <w:rPr>
          <w:b/>
        </w:rPr>
        <w:t>przeszacowania dochodów</w:t>
      </w:r>
      <w:bookmarkEnd w:id="19"/>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E52E94"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E52E94"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E52E94"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E52E94" w:rsidP="007B7BC2">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E52E94" w:rsidP="000A5BA6">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t xml:space="preserve">Tabela </w:t>
      </w:r>
      <w:r>
        <w:rPr>
          <w:noProof/>
        </w:rPr>
        <w:t>2</w:t>
      </w:r>
      <w:r>
        <w:fldChar w:fldCharType="end"/>
      </w:r>
      <w:r>
        <w:t xml:space="preserve"> przedstawia zmodyfikowaną macierz wypłat obu graczy.</w:t>
      </w:r>
    </w:p>
    <w:p w:rsidR="009A26A9" w:rsidRDefault="009A26A9" w:rsidP="009A26A9">
      <w:pPr>
        <w:pStyle w:val="Caption"/>
      </w:pPr>
      <w:bookmarkStart w:id="20" w:name="_Ref518206626"/>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9D1B75">
        <w:rPr>
          <w:noProof/>
        </w:rPr>
        <w:t>2</w:t>
      </w:r>
      <w:r w:rsidR="00E57AAE">
        <w:rPr>
          <w:noProof/>
        </w:rPr>
        <w:fldChar w:fldCharType="end"/>
      </w:r>
      <w:bookmarkEnd w:id="20"/>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E52E94"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E52E94"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E52E94"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E52E94"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E52E94"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E52E94"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E52E94"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E52E94"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E52E94"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w:t>
      </w:r>
      <w:proofErr w:type="spellStart"/>
      <w:r>
        <w:t>Nasha</w:t>
      </w:r>
      <w:proofErr w:type="spellEnd"/>
      <w:r>
        <w:t xml:space="preserve">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Pr="00E42E81" w:rsidRDefault="00D20E51" w:rsidP="0021524D">
      <w:pPr>
        <w:pStyle w:val="Heading2"/>
        <w:numPr>
          <w:ilvl w:val="1"/>
          <w:numId w:val="4"/>
        </w:numPr>
        <w:rPr>
          <w:lang w:eastAsia="pl-PL"/>
        </w:rPr>
      </w:pPr>
      <w:bookmarkStart w:id="21" w:name="_Toc518508050"/>
      <w:r>
        <w:rPr>
          <w:lang w:eastAsia="pl-PL"/>
        </w:rPr>
        <w:t>Analiza szeregu decyzji</w:t>
      </w:r>
      <w:bookmarkEnd w:id="21"/>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proofErr w:type="gramStart"/>
      <w:r w:rsidR="009D1B75">
        <w:t>podatnika jako,</w:t>
      </w:r>
      <w:proofErr w:type="gramEnd"/>
      <w:r w:rsidR="009D1B75">
        <w:t xml:space="preserve"> że jego zachowanie wobec systemu podatkowego jest najbardziej warte uwagi. Macierz wypłat podatnika przedstawia się następująco:</w:t>
      </w:r>
    </w:p>
    <w:p w:rsidR="009D1B75" w:rsidRDefault="009D1B75" w:rsidP="009D1B75">
      <w:pPr>
        <w:pStyle w:val="Caption"/>
      </w:pPr>
      <w:r>
        <w:t xml:space="preserve">Tabela </w:t>
      </w:r>
      <w:r>
        <w:fldChar w:fldCharType="begin"/>
      </w:r>
      <w:r>
        <w:instrText xml:space="preserve"> SEQ Tabela \* ARABIC </w:instrText>
      </w:r>
      <w:r>
        <w:fldChar w:fldCharType="separate"/>
      </w:r>
      <w:r>
        <w:rPr>
          <w:noProof/>
        </w:rPr>
        <w:t>3</w:t>
      </w:r>
      <w:r>
        <w:fldChar w:fldCharType="end"/>
      </w:r>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9D1B75">
      <w:pPr>
        <w:pStyle w:val="ListParagraph"/>
        <w:numPr>
          <w:ilvl w:val="0"/>
          <w:numId w:val="32"/>
        </w:numPr>
        <w:jc w:val="both"/>
      </w:pPr>
      <w:r>
        <w:t>(</w:t>
      </w:r>
      <w:proofErr w:type="gramStart"/>
      <w:r>
        <w:t>A,E</w:t>
      </w:r>
      <w:proofErr w:type="gramEnd"/>
      <w:r>
        <w:t xml:space="preserve">) – Najgorsza sytuacja podatnika, gdy oprócz wymogu zapłaty całego podatku pojawiają się </w:t>
      </w:r>
      <w:proofErr w:type="spellStart"/>
      <w:r>
        <w:t>koszta</w:t>
      </w:r>
      <w:proofErr w:type="spellEnd"/>
      <w:r>
        <w:t xml:space="preserve"> kontroli oraz odsetki za nieuiszczone opłaty podatkowe.</w:t>
      </w:r>
    </w:p>
    <w:p w:rsidR="009D1B75" w:rsidRDefault="009D1B75" w:rsidP="009D1B75">
      <w:pPr>
        <w:pStyle w:val="ListParagraph"/>
        <w:numPr>
          <w:ilvl w:val="0"/>
          <w:numId w:val="32"/>
        </w:numPr>
        <w:jc w:val="both"/>
      </w:pPr>
      <w:r>
        <w:t>(A, NE) – W tym wypadku podatnik płaci pełny podatek i mimo to nadal musi być ofiarą kontroli.</w:t>
      </w:r>
    </w:p>
    <w:p w:rsidR="009D1B75" w:rsidRDefault="009D1B75" w:rsidP="009D1B75">
      <w:pPr>
        <w:pStyle w:val="ListParagraph"/>
        <w:numPr>
          <w:ilvl w:val="0"/>
          <w:numId w:val="32"/>
        </w:numPr>
        <w:jc w:val="both"/>
      </w:pPr>
      <w:r>
        <w:t xml:space="preserve">(NA, NE) – Przedsiębiorstwo nie ponosi żadnych dodatkowych </w:t>
      </w:r>
      <w:proofErr w:type="gramStart"/>
      <w:r>
        <w:t>kosztów</w:t>
      </w:r>
      <w:proofErr w:type="gramEnd"/>
      <w:r>
        <w:t xml:space="preserve"> ale nie uzyskuje także maksymalnych możliwych zysków</w:t>
      </w:r>
      <w:r w:rsidR="008E6B08">
        <w:t>.</w:t>
      </w:r>
    </w:p>
    <w:p w:rsidR="008E6B08" w:rsidRDefault="008E6B08" w:rsidP="009D1B75">
      <w:pPr>
        <w:pStyle w:val="ListParagraph"/>
        <w:numPr>
          <w:ilvl w:val="0"/>
          <w:numId w:val="32"/>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8E6B08">
      <w:pPr>
        <w:pStyle w:val="ListParagraph"/>
        <w:numPr>
          <w:ilvl w:val="0"/>
          <w:numId w:val="33"/>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8E6B08">
      <w:pPr>
        <w:pStyle w:val="ListParagraph"/>
        <w:numPr>
          <w:ilvl w:val="0"/>
          <w:numId w:val="33"/>
        </w:numPr>
        <w:jc w:val="both"/>
      </w:pPr>
      <w:r>
        <w:t xml:space="preserve">Dokonaj kontroli podatnika, który deklaruje dochody </w:t>
      </w:r>
      <w:r>
        <w:t>mniejsze</w:t>
      </w:r>
      <w:r>
        <w:t xml:space="preserv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8E6B08">
      <w:pPr>
        <w:pStyle w:val="ListParagraph"/>
        <w:numPr>
          <w:ilvl w:val="0"/>
          <w:numId w:val="33"/>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8E6B08">
      <w:pPr>
        <w:pStyle w:val="ListParagraph"/>
        <w:numPr>
          <w:ilvl w:val="0"/>
          <w:numId w:val="34"/>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A00A04"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t[2p+3</m:t>
          </m:r>
          <m:d>
            <m:dPr>
              <m:ctrlPr>
                <w:rPr>
                  <w:rFonts w:ascii="Cambria Math" w:hAnsi="Cambria Math"/>
                  <w:i/>
                </w:rPr>
              </m:ctrlPr>
            </m:dPr>
            <m:e>
              <m:r>
                <w:rPr>
                  <w:rFonts w:ascii="Cambria Math" w:hAnsi="Cambria Math"/>
                </w:rPr>
                <m:t>1-p</m:t>
              </m:r>
            </m:e>
          </m:d>
          <m:r>
            <w:rPr>
              <w:rFonts w:ascii="Cambria Math" w:hAnsi="Cambria Math"/>
            </w:rPr>
            <m:t>]</m:t>
          </m:r>
        </m:oMath>
      </m:oMathPara>
    </w:p>
    <w:p w:rsidR="00A00A04" w:rsidRDefault="00A00A04" w:rsidP="00A00A04">
      <w:pPr>
        <w:pStyle w:val="ListParagraph"/>
        <w:numPr>
          <w:ilvl w:val="0"/>
          <w:numId w:val="34"/>
        </w:numPr>
        <w:jc w:val="both"/>
      </w:pPr>
      <w:r>
        <w:t>Zawsze</w:t>
      </w:r>
      <w:r>
        <w:t xml:space="preserve"> uchylaj się od podatku. </w:t>
      </w:r>
    </w:p>
    <w:p w:rsidR="00CD4238" w:rsidRPr="00CD4238" w:rsidRDefault="00CD4238"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m:t>
          </m:r>
          <m:r>
            <w:rPr>
              <w:rFonts w:ascii="Cambria Math" w:hAnsi="Cambria Math"/>
            </w:rPr>
            <m:t>4(1-</m:t>
          </m:r>
          <m:r>
            <w:rPr>
              <w:rFonts w:ascii="Cambria Math" w:hAnsi="Cambria Math"/>
            </w:rPr>
            <m:t>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CD4238">
      <w:pPr>
        <w:pStyle w:val="ListParagraph"/>
        <w:numPr>
          <w:ilvl w:val="0"/>
          <w:numId w:val="34"/>
        </w:numPr>
        <w:jc w:val="both"/>
      </w:pPr>
      <w:r>
        <w:t>Uchylaj się od podatku do momentu kontroli. Potem nigdy nie unikaj.</w:t>
      </w:r>
      <w:r w:rsidRPr="00CD4238">
        <w:t xml:space="preserve"> </w:t>
      </w:r>
    </w:p>
    <w:p w:rsidR="00CD4238" w:rsidRPr="00CD4238" w:rsidRDefault="00CD4238"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m:t>
          </m:r>
          <m:r>
            <w:rPr>
              <w:rFonts w:ascii="Cambria Math" w:hAnsi="Cambria Math"/>
            </w:rPr>
            <m:t>4(1-</m:t>
          </m:r>
          <m:r>
            <w:rPr>
              <w:rFonts w:ascii="Cambria Math" w:hAnsi="Cambria Math"/>
            </w:rPr>
            <m:t>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Tak jak poprzednio,</w:t>
      </w:r>
      <w:r>
        <w:rPr>
          <w:lang w:eastAsia="pl-PL"/>
        </w:rPr>
        <w:t xml:space="preserve">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21524D" w:rsidRPr="0021524D" w:rsidRDefault="0021524D" w:rsidP="0021524D">
      <w:pPr>
        <w:pStyle w:val="Heading3"/>
        <w:numPr>
          <w:ilvl w:val="2"/>
          <w:numId w:val="4"/>
        </w:numPr>
        <w:rPr>
          <w:b/>
        </w:rPr>
      </w:pPr>
      <w:bookmarkStart w:id="22" w:name="_Toc518508051"/>
      <w:r w:rsidRPr="000D0396">
        <w:rPr>
          <w:b/>
        </w:rPr>
        <w:t xml:space="preserve">Przypadek </w:t>
      </w:r>
      <w:r>
        <w:rPr>
          <w:b/>
        </w:rPr>
        <w:t>niedo</w:t>
      </w:r>
      <w:r w:rsidRPr="000D0396">
        <w:rPr>
          <w:b/>
        </w:rPr>
        <w:t>szacowania dochodów</w:t>
      </w:r>
      <w:bookmarkEnd w:id="22"/>
    </w:p>
    <w:p w:rsidR="0021524D" w:rsidRDefault="0021524D" w:rsidP="0021524D">
      <w:pPr>
        <w:pStyle w:val="ListParagraph"/>
        <w:ind w:left="60"/>
        <w:jc w:val="both"/>
      </w:pPr>
    </w:p>
    <w:p w:rsidR="00CD4238" w:rsidRDefault="00CD4238" w:rsidP="00CD4238">
      <w:pPr>
        <w:pStyle w:val="ListParagraph"/>
        <w:ind w:left="780"/>
        <w:jc w:val="both"/>
      </w:pPr>
    </w:p>
    <w:p w:rsidR="00A00A04" w:rsidRDefault="00A00A04" w:rsidP="00A00A04">
      <w:pPr>
        <w:pStyle w:val="ListParagraph"/>
        <w:ind w:left="780"/>
        <w:jc w:val="both"/>
      </w:pPr>
    </w:p>
    <w:p w:rsidR="00A00A04" w:rsidRDefault="00A00A04" w:rsidP="008E6B08">
      <w:pPr>
        <w:pStyle w:val="ListParagraph"/>
        <w:ind w:left="780"/>
        <w:jc w:val="both"/>
      </w:pPr>
    </w:p>
    <w:p w:rsidR="001147C6" w:rsidRDefault="006E4D7F" w:rsidP="001147C6">
      <w:pPr>
        <w:pStyle w:val="Heading1"/>
      </w:pPr>
      <w:r w:rsidRPr="0081533B">
        <w:br w:type="page"/>
      </w:r>
      <w:bookmarkStart w:id="23" w:name="_Toc518508052"/>
      <w:r w:rsidR="001147C6" w:rsidRPr="00BD127B">
        <w:lastRenderedPageBreak/>
        <w:t>Spis tabel</w:t>
      </w:r>
      <w:bookmarkEnd w:id="23"/>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4" w:name="_Toc518508053"/>
      <w:r w:rsidRPr="00BD127B">
        <w:lastRenderedPageBreak/>
        <w:t>Spis rysunków</w:t>
      </w:r>
      <w:bookmarkEnd w:id="24"/>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5" w:name="_Toc518508054"/>
      <w:r w:rsidR="00BD127B" w:rsidRPr="000829E0">
        <w:lastRenderedPageBreak/>
        <w:t>Zakończenie</w:t>
      </w:r>
      <w:bookmarkEnd w:id="25"/>
    </w:p>
    <w:p w:rsidR="00BD127B" w:rsidRPr="000829E0" w:rsidRDefault="006E4D7F" w:rsidP="001147C6">
      <w:pPr>
        <w:pStyle w:val="Heading1"/>
      </w:pPr>
      <w:r>
        <w:br w:type="page"/>
      </w:r>
      <w:bookmarkStart w:id="26" w:name="_Toc518508055"/>
      <w:r w:rsidR="00BD127B" w:rsidRPr="000829E0">
        <w:lastRenderedPageBreak/>
        <w:t>Bibliografia</w:t>
      </w:r>
      <w:bookmarkEnd w:id="26"/>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27" w:name="_Toc518508056"/>
      <w:r w:rsidR="000829E0" w:rsidRPr="000829E0">
        <w:lastRenderedPageBreak/>
        <w:t>Streszczenie</w:t>
      </w:r>
      <w:bookmarkEnd w:id="27"/>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D9309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439" w:rsidRDefault="00440439" w:rsidP="00B4671D">
      <w:r>
        <w:separator/>
      </w:r>
    </w:p>
  </w:endnote>
  <w:endnote w:type="continuationSeparator" w:id="0">
    <w:p w:rsidR="00440439" w:rsidRDefault="00440439"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94" w:rsidRDefault="00E52E94">
    <w:pPr>
      <w:pStyle w:val="Footer"/>
      <w:jc w:val="right"/>
    </w:pPr>
    <w:r>
      <w:fldChar w:fldCharType="begin"/>
    </w:r>
    <w:r>
      <w:instrText>PAGE   \* MERGEFORMAT</w:instrText>
    </w:r>
    <w:r>
      <w:fldChar w:fldCharType="separate"/>
    </w:r>
    <w:r>
      <w:rPr>
        <w:noProof/>
      </w:rPr>
      <w:t>9</w:t>
    </w:r>
    <w:r>
      <w:fldChar w:fldCharType="end"/>
    </w:r>
  </w:p>
  <w:p w:rsidR="00E52E94" w:rsidRDefault="00E52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439" w:rsidRDefault="00440439" w:rsidP="00B4671D">
      <w:r>
        <w:separator/>
      </w:r>
    </w:p>
  </w:footnote>
  <w:footnote w:type="continuationSeparator" w:id="0">
    <w:p w:rsidR="00440439" w:rsidRDefault="00440439" w:rsidP="00B4671D">
      <w:r>
        <w:continuationSeparator/>
      </w:r>
    </w:p>
  </w:footnote>
  <w:footnote w:id="1">
    <w:p w:rsidR="00E52E94" w:rsidRPr="00BD127B" w:rsidRDefault="00E52E94">
      <w:pPr>
        <w:pStyle w:val="FootnoteText"/>
      </w:pPr>
      <w:r>
        <w:rPr>
          <w:rStyle w:val="FootnoteReference"/>
        </w:rPr>
        <w:footnoteRef/>
      </w:r>
      <w:r>
        <w:t xml:space="preserve"> J. Kowalski, </w:t>
      </w:r>
      <w:r>
        <w:rPr>
          <w:i/>
        </w:rPr>
        <w:t>Tytuł publikacji</w:t>
      </w:r>
      <w:r>
        <w:t>, Wydawnictwo, Miejsce i rok wydania,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94" w:rsidRDefault="00E52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94" w:rsidRDefault="00E52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94" w:rsidRDefault="00E52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B1A7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0812DB"/>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3" w15:restartNumberingAfterBreak="0">
    <w:nsid w:val="62C273BC"/>
    <w:multiLevelType w:val="hybridMultilevel"/>
    <w:tmpl w:val="8896720E"/>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5"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3"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5"/>
  </w:num>
  <w:num w:numId="3">
    <w:abstractNumId w:val="21"/>
  </w:num>
  <w:num w:numId="4">
    <w:abstractNumId w:val="26"/>
  </w:num>
  <w:num w:numId="5">
    <w:abstractNumId w:val="4"/>
  </w:num>
  <w:num w:numId="6">
    <w:abstractNumId w:val="11"/>
  </w:num>
  <w:num w:numId="7">
    <w:abstractNumId w:val="14"/>
  </w:num>
  <w:num w:numId="8">
    <w:abstractNumId w:val="3"/>
  </w:num>
  <w:num w:numId="9">
    <w:abstractNumId w:val="9"/>
  </w:num>
  <w:num w:numId="10">
    <w:abstractNumId w:val="28"/>
  </w:num>
  <w:num w:numId="11">
    <w:abstractNumId w:val="20"/>
  </w:num>
  <w:num w:numId="12">
    <w:abstractNumId w:val="0"/>
  </w:num>
  <w:num w:numId="13">
    <w:abstractNumId w:val="29"/>
  </w:num>
  <w:num w:numId="14">
    <w:abstractNumId w:val="22"/>
  </w:num>
  <w:num w:numId="15">
    <w:abstractNumId w:val="1"/>
  </w:num>
  <w:num w:numId="16">
    <w:abstractNumId w:val="2"/>
  </w:num>
  <w:num w:numId="17">
    <w:abstractNumId w:val="19"/>
  </w:num>
  <w:num w:numId="18">
    <w:abstractNumId w:val="25"/>
  </w:num>
  <w:num w:numId="19">
    <w:abstractNumId w:val="13"/>
  </w:num>
  <w:num w:numId="20">
    <w:abstractNumId w:val="6"/>
  </w:num>
  <w:num w:numId="21">
    <w:abstractNumId w:val="5"/>
  </w:num>
  <w:num w:numId="22">
    <w:abstractNumId w:val="27"/>
  </w:num>
  <w:num w:numId="23">
    <w:abstractNumId w:val="8"/>
  </w:num>
  <w:num w:numId="24">
    <w:abstractNumId w:val="18"/>
  </w:num>
  <w:num w:numId="25">
    <w:abstractNumId w:val="31"/>
  </w:num>
  <w:num w:numId="26">
    <w:abstractNumId w:val="16"/>
  </w:num>
  <w:num w:numId="27">
    <w:abstractNumId w:val="33"/>
  </w:num>
  <w:num w:numId="28">
    <w:abstractNumId w:val="10"/>
  </w:num>
  <w:num w:numId="29">
    <w:abstractNumId w:val="7"/>
  </w:num>
  <w:num w:numId="30">
    <w:abstractNumId w:val="34"/>
  </w:num>
  <w:num w:numId="31">
    <w:abstractNumId w:val="12"/>
  </w:num>
  <w:num w:numId="32">
    <w:abstractNumId w:val="17"/>
  </w:num>
  <w:num w:numId="33">
    <w:abstractNumId w:val="24"/>
  </w:num>
  <w:num w:numId="34">
    <w:abstractNumId w:val="3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510BF"/>
    <w:rsid w:val="00065955"/>
    <w:rsid w:val="000668FA"/>
    <w:rsid w:val="000829E0"/>
    <w:rsid w:val="000A5BA6"/>
    <w:rsid w:val="000C5027"/>
    <w:rsid w:val="000D0396"/>
    <w:rsid w:val="000D1276"/>
    <w:rsid w:val="000D4EE7"/>
    <w:rsid w:val="001147C6"/>
    <w:rsid w:val="00146934"/>
    <w:rsid w:val="00156C24"/>
    <w:rsid w:val="0017061C"/>
    <w:rsid w:val="00172547"/>
    <w:rsid w:val="001C73BC"/>
    <w:rsid w:val="001D7D5C"/>
    <w:rsid w:val="001E0D3E"/>
    <w:rsid w:val="001F417E"/>
    <w:rsid w:val="002136B2"/>
    <w:rsid w:val="0021524D"/>
    <w:rsid w:val="0022496C"/>
    <w:rsid w:val="002402BC"/>
    <w:rsid w:val="002944C7"/>
    <w:rsid w:val="00341635"/>
    <w:rsid w:val="003454BA"/>
    <w:rsid w:val="00384893"/>
    <w:rsid w:val="003A7574"/>
    <w:rsid w:val="003C685C"/>
    <w:rsid w:val="003D370C"/>
    <w:rsid w:val="003E385A"/>
    <w:rsid w:val="0043064E"/>
    <w:rsid w:val="00440439"/>
    <w:rsid w:val="004861BD"/>
    <w:rsid w:val="004A014D"/>
    <w:rsid w:val="004E3C27"/>
    <w:rsid w:val="004E5C25"/>
    <w:rsid w:val="00505483"/>
    <w:rsid w:val="00505C01"/>
    <w:rsid w:val="005069A9"/>
    <w:rsid w:val="00520C33"/>
    <w:rsid w:val="005331C0"/>
    <w:rsid w:val="00581231"/>
    <w:rsid w:val="00591520"/>
    <w:rsid w:val="005A5225"/>
    <w:rsid w:val="005B24C6"/>
    <w:rsid w:val="005F0CDC"/>
    <w:rsid w:val="005F5556"/>
    <w:rsid w:val="00655DC4"/>
    <w:rsid w:val="006961BE"/>
    <w:rsid w:val="006B64E5"/>
    <w:rsid w:val="006E4D7F"/>
    <w:rsid w:val="00722F88"/>
    <w:rsid w:val="00730B8E"/>
    <w:rsid w:val="00755938"/>
    <w:rsid w:val="0078378D"/>
    <w:rsid w:val="007974EE"/>
    <w:rsid w:val="007B7BC2"/>
    <w:rsid w:val="007C5599"/>
    <w:rsid w:val="007F3349"/>
    <w:rsid w:val="0081392F"/>
    <w:rsid w:val="0081533B"/>
    <w:rsid w:val="00816B49"/>
    <w:rsid w:val="008A34D7"/>
    <w:rsid w:val="008B2A68"/>
    <w:rsid w:val="008B4D4B"/>
    <w:rsid w:val="008D4DF8"/>
    <w:rsid w:val="008E6B08"/>
    <w:rsid w:val="008F326F"/>
    <w:rsid w:val="0093338E"/>
    <w:rsid w:val="00942487"/>
    <w:rsid w:val="00967C81"/>
    <w:rsid w:val="00977BCA"/>
    <w:rsid w:val="0099698D"/>
    <w:rsid w:val="009A26A9"/>
    <w:rsid w:val="009D1B75"/>
    <w:rsid w:val="00A00A04"/>
    <w:rsid w:val="00A070DB"/>
    <w:rsid w:val="00A170D2"/>
    <w:rsid w:val="00A62B95"/>
    <w:rsid w:val="00A9190E"/>
    <w:rsid w:val="00A92835"/>
    <w:rsid w:val="00AC2320"/>
    <w:rsid w:val="00AE664F"/>
    <w:rsid w:val="00B4671D"/>
    <w:rsid w:val="00B552D0"/>
    <w:rsid w:val="00B74A2F"/>
    <w:rsid w:val="00B77442"/>
    <w:rsid w:val="00BD127B"/>
    <w:rsid w:val="00BF097B"/>
    <w:rsid w:val="00BF3880"/>
    <w:rsid w:val="00C112D9"/>
    <w:rsid w:val="00C70D91"/>
    <w:rsid w:val="00CA33DF"/>
    <w:rsid w:val="00CB5913"/>
    <w:rsid w:val="00CD4238"/>
    <w:rsid w:val="00CF4694"/>
    <w:rsid w:val="00D0625A"/>
    <w:rsid w:val="00D16D15"/>
    <w:rsid w:val="00D20E51"/>
    <w:rsid w:val="00D24317"/>
    <w:rsid w:val="00D31D3C"/>
    <w:rsid w:val="00D754F1"/>
    <w:rsid w:val="00D93094"/>
    <w:rsid w:val="00DD3837"/>
    <w:rsid w:val="00DE020A"/>
    <w:rsid w:val="00DF11EE"/>
    <w:rsid w:val="00DF593A"/>
    <w:rsid w:val="00E04339"/>
    <w:rsid w:val="00E42E81"/>
    <w:rsid w:val="00E52E94"/>
    <w:rsid w:val="00E57AAE"/>
    <w:rsid w:val="00E74F35"/>
    <w:rsid w:val="00E87D70"/>
    <w:rsid w:val="00E93C1C"/>
    <w:rsid w:val="00E945EC"/>
    <w:rsid w:val="00ED4669"/>
    <w:rsid w:val="00EE0E8D"/>
    <w:rsid w:val="00EE3046"/>
    <w:rsid w:val="00EF0C2E"/>
    <w:rsid w:val="00F72480"/>
    <w:rsid w:val="00F74677"/>
    <w:rsid w:val="00F83CDB"/>
    <w:rsid w:val="00F873F2"/>
    <w:rsid w:val="00FA50A7"/>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C357B"/>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70C747E-F33F-407A-BD69-E4A61E7A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26</Pages>
  <Words>3595</Words>
  <Characters>21574</Characters>
  <Application>Microsoft Office Word</Application>
  <DocSecurity>0</DocSecurity>
  <Lines>179</Lines>
  <Paragraphs>50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25119</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23</cp:revision>
  <dcterms:created xsi:type="dcterms:W3CDTF">2018-06-29T10:58:00Z</dcterms:created>
  <dcterms:modified xsi:type="dcterms:W3CDTF">2018-07-04T20:52:00Z</dcterms:modified>
</cp:coreProperties>
</file>