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DD7BE" w14:textId="338173D9" w:rsidR="007960BB" w:rsidRPr="008A198F" w:rsidRDefault="00F16B85" w:rsidP="008A198F">
      <w:pPr>
        <w:jc w:val="center"/>
        <w:rPr>
          <w:b/>
        </w:rPr>
      </w:pPr>
      <w:r>
        <w:rPr>
          <w:b/>
        </w:rPr>
        <w:t>Paradoks Triffina (Młynarskiego)</w:t>
      </w:r>
      <w:r w:rsidR="00997B00">
        <w:rPr>
          <w:b/>
        </w:rPr>
        <w:t xml:space="preserve"> – Adam Kasperowicz</w:t>
      </w:r>
    </w:p>
    <w:p w14:paraId="501430C9" w14:textId="694D57B1" w:rsidR="00F16B85" w:rsidRDefault="008425CE" w:rsidP="00F16B85">
      <w:pPr>
        <w:spacing w:after="0"/>
        <w:jc w:val="both"/>
      </w:pPr>
      <w:r>
        <w:tab/>
      </w:r>
      <w:r w:rsidRPr="00F16B85">
        <w:t>W roku 19</w:t>
      </w:r>
      <w:r w:rsidR="00F16B85" w:rsidRPr="00F16B85">
        <w:t>29</w:t>
      </w:r>
      <w:r w:rsidRPr="00F16B85">
        <w:t xml:space="preserve"> </w:t>
      </w:r>
      <w:r w:rsidR="00F16B85" w:rsidRPr="00F16B85">
        <w:t>polski ekonomista Feliks Młynarski spostrzegł f</w:t>
      </w:r>
      <w:r w:rsidR="00F16B85">
        <w:t>undamentalne źródło niestabilności w międzynarodowym systemie monetarnym opartym na złocie. Państwa będące źródłem waluty rezerwowej będą akumulować waluty zagraniczne</w:t>
      </w:r>
      <w:r w:rsidR="00DA770A">
        <w:t>. Wraz ze wzrostem ilości walut</w:t>
      </w:r>
      <w:r w:rsidR="006E166F">
        <w:t xml:space="preserve"> zagranicznych</w:t>
      </w:r>
      <w:r w:rsidR="00DA770A">
        <w:t>, maleć będzie ich pokrycie w złocie. W pewnym momencie, stosunek ten nabierze rozmiarów, które zaczną wzbudzać wątpliwości zagranicznych inwestorów co do wymienialności ich walut</w:t>
      </w:r>
      <w:sdt>
        <w:sdtPr>
          <w:id w:val="-270705080"/>
          <w:citation/>
        </w:sdtPr>
        <w:sdtEndPr/>
        <w:sdtContent>
          <w:r w:rsidR="00DA770A">
            <w:fldChar w:fldCharType="begin"/>
          </w:r>
          <w:r w:rsidR="00DA770A">
            <w:instrText xml:space="preserve"> CITATION Fel29 \l 1045 </w:instrText>
          </w:r>
          <w:r w:rsidR="00DA770A">
            <w:fldChar w:fldCharType="separate"/>
          </w:r>
          <w:r w:rsidR="006E166F">
            <w:rPr>
              <w:noProof/>
            </w:rPr>
            <w:t xml:space="preserve"> (Młynarski, 1929)</w:t>
          </w:r>
          <w:r w:rsidR="00DA770A">
            <w:fldChar w:fldCharType="end"/>
          </w:r>
        </w:sdtContent>
      </w:sdt>
      <w:r w:rsidR="00DA770A">
        <w:t>.</w:t>
      </w:r>
    </w:p>
    <w:p w14:paraId="31138205" w14:textId="1849388A" w:rsidR="00DA770A" w:rsidRDefault="00DA770A" w:rsidP="00C660A6">
      <w:pPr>
        <w:spacing w:after="0"/>
        <w:jc w:val="both"/>
      </w:pPr>
      <w:r>
        <w:tab/>
        <w:t xml:space="preserve">Lata </w:t>
      </w:r>
      <w:r w:rsidR="000B340D">
        <w:t xml:space="preserve">sześćdziesiąte dwudziestego wieku były świadkiem ponownego odkrycia tej zależności. Amerykański ekonomista Robert </w:t>
      </w:r>
      <w:proofErr w:type="spellStart"/>
      <w:r w:rsidR="000B340D">
        <w:t>Triffin</w:t>
      </w:r>
      <w:proofErr w:type="spellEnd"/>
      <w:r w:rsidR="000B340D">
        <w:t xml:space="preserve"> spostrzegł problem w systemie z </w:t>
      </w:r>
      <w:proofErr w:type="spellStart"/>
      <w:r w:rsidR="000B340D">
        <w:t>Bretton</w:t>
      </w:r>
      <w:proofErr w:type="spellEnd"/>
      <w:r w:rsidR="000B340D">
        <w:t xml:space="preserve"> </w:t>
      </w:r>
      <w:proofErr w:type="spellStart"/>
      <w:r w:rsidR="000B340D">
        <w:t>Woods</w:t>
      </w:r>
      <w:proofErr w:type="spellEnd"/>
      <w:r w:rsidR="000B340D">
        <w:t>. Kraj, którego waluta stanie się globalną walutą rezerwową musi zapewnić ponadprzeciętną podaż swojej waluty. Jest to wymagane by sprostać ponadprzeciętnemu światowemu popytowi na tą walutę.</w:t>
      </w:r>
      <w:r w:rsidR="005017EC">
        <w:t xml:space="preserve"> </w:t>
      </w:r>
      <w:r w:rsidR="000B340D">
        <w:t>Jako konsekwencja bilans płatniczy kraju waluty rezerwowej musi wykazywać deficyt</w:t>
      </w:r>
      <w:r w:rsidR="005017EC">
        <w:t>. Tym samym, dany kraj staje się narodem wiecznie zadłużonym</w:t>
      </w:r>
      <w:r w:rsidR="006E166F">
        <w:t>, co po pewnym czasie musi skutkować utratą pozycji waluty rezerwowej</w:t>
      </w:r>
      <w:sdt>
        <w:sdtPr>
          <w:id w:val="-1846927023"/>
          <w:citation/>
        </w:sdtPr>
        <w:sdtEndPr/>
        <w:sdtContent>
          <w:r w:rsidR="005017EC">
            <w:fldChar w:fldCharType="begin"/>
          </w:r>
          <w:r w:rsidR="005017EC">
            <w:instrText xml:space="preserve"> CITATION Rob60 \l 1045 </w:instrText>
          </w:r>
          <w:r w:rsidR="005017EC">
            <w:fldChar w:fldCharType="separate"/>
          </w:r>
          <w:r w:rsidR="006E166F">
            <w:rPr>
              <w:noProof/>
            </w:rPr>
            <w:t xml:space="preserve"> (Triffin, 1960)</w:t>
          </w:r>
          <w:r w:rsidR="005017EC">
            <w:fldChar w:fldCharType="end"/>
          </w:r>
        </w:sdtContent>
      </w:sdt>
      <w:r w:rsidR="005017EC">
        <w:t xml:space="preserve">. </w:t>
      </w:r>
      <w:proofErr w:type="spellStart"/>
      <w:r w:rsidR="005017EC">
        <w:t>Triffin</w:t>
      </w:r>
      <w:proofErr w:type="spellEnd"/>
      <w:r w:rsidR="005017EC">
        <w:t xml:space="preserve"> opisywał </w:t>
      </w:r>
      <w:r w:rsidR="006E166F">
        <w:t xml:space="preserve">tą </w:t>
      </w:r>
      <w:r w:rsidR="005017EC">
        <w:t>zależność na przykładzie Stanów Zjednoczonych.</w:t>
      </w:r>
    </w:p>
    <w:p w14:paraId="499BA63B" w14:textId="72578049" w:rsidR="005017EC" w:rsidRDefault="005017EC" w:rsidP="00C660A6">
      <w:pPr>
        <w:spacing w:after="0"/>
        <w:jc w:val="both"/>
      </w:pPr>
      <w:r>
        <w:tab/>
      </w:r>
      <w:r w:rsidRPr="005017EC">
        <w:t xml:space="preserve">Systemy z </w:t>
      </w:r>
      <w:proofErr w:type="spellStart"/>
      <w:r w:rsidRPr="005017EC">
        <w:t>Bretton</w:t>
      </w:r>
      <w:proofErr w:type="spellEnd"/>
      <w:r w:rsidRPr="005017EC">
        <w:t xml:space="preserve"> </w:t>
      </w:r>
      <w:proofErr w:type="spellStart"/>
      <w:r w:rsidRPr="005017EC">
        <w:t>Woods</w:t>
      </w:r>
      <w:proofErr w:type="spellEnd"/>
      <w:r w:rsidRPr="005017EC">
        <w:t xml:space="preserve"> przes</w:t>
      </w:r>
      <w:r>
        <w:t xml:space="preserve">tał już dawno obowiązywać jednak dolar jest nadal uznawany za światową walutę rezerwową. </w:t>
      </w:r>
      <w:r w:rsidR="00207C45">
        <w:t xml:space="preserve">Paradoks Triffina nie spełnił się dla dolara od tylu lat, gdyż znalezione zostało rozwiązanie. </w:t>
      </w:r>
      <w:r w:rsidR="001149D1">
        <w:t xml:space="preserve">Oprócz ogólnej stabilności i potęgi ekonomicznej Stanów Zjednoczonych </w:t>
      </w:r>
      <w:r w:rsidR="00207C45">
        <w:t>dolar utrzymuje swoją światową pozycję dzięki</w:t>
      </w:r>
      <w:r w:rsidR="001149D1">
        <w:t xml:space="preserve"> zadłużeni</w:t>
      </w:r>
      <w:r w:rsidR="00207C45">
        <w:t>u</w:t>
      </w:r>
      <w:r w:rsidR="001149D1">
        <w:t>. Gdy państwa na całym świecie rozpoczęły akumulować dolara, zaczęły one równocześnie akumulować amerykańskie obligacje, gdzie osadzane były dolary. Ponadprzeciętna podaż dolara była zaletą dla obu stron. Stany czerpały korzyści z bardzo tanich importów, zaś państwa eksportujące czerpały korzyści ze zwiększonej produkcji.</w:t>
      </w:r>
      <w:r w:rsidR="00FF44E7">
        <w:t xml:space="preserve"> Wzrost gospodarczy wszystkich państw, powodował wykup większej ilości amerykańskich obligacji a tym samym większe zadłużenie Stanów Zjednoczonych.</w:t>
      </w:r>
      <w:r w:rsidR="002A5A3D">
        <w:t xml:space="preserve"> Dolar nie zostawał wyparty przez inne waluty w rezerwach USA, gdyż większość sprzedanych dolarów wracał</w:t>
      </w:r>
      <w:r w:rsidR="009B10C5">
        <w:t>a</w:t>
      </w:r>
      <w:r w:rsidR="002A5A3D">
        <w:t xml:space="preserve"> do kraju w postaci obligacji.</w:t>
      </w:r>
    </w:p>
    <w:p w14:paraId="478BFBFE" w14:textId="309D1E8A" w:rsidR="009B10C5" w:rsidRDefault="00FF44E7" w:rsidP="00C660A6">
      <w:pPr>
        <w:spacing w:after="0"/>
        <w:jc w:val="both"/>
      </w:pPr>
      <w:r>
        <w:tab/>
        <w:t xml:space="preserve">Ten stan nie mógł jednak trwać wiecznie. </w:t>
      </w:r>
      <w:r w:rsidR="002A5A3D">
        <w:t xml:space="preserve">Każda dodatkowa obligacja </w:t>
      </w:r>
      <w:r w:rsidR="009B10C5">
        <w:t>t</w:t>
      </w:r>
      <w:r w:rsidR="002A5A3D">
        <w:t xml:space="preserve">o dług do spłaty. Coraz </w:t>
      </w:r>
      <w:r>
        <w:t>częściej zadawane jest pytanie, jak Stany poradzą sobie ze swoim zadłużeniem na poziomie ponad 100%</w:t>
      </w:r>
      <w:r w:rsidR="00207C45">
        <w:t xml:space="preserve"> PKB</w:t>
      </w:r>
      <w:r>
        <w:t xml:space="preserve"> </w:t>
      </w:r>
      <w:sdt>
        <w:sdtPr>
          <w:id w:val="-1190834708"/>
          <w:citation/>
        </w:sdtPr>
        <w:sdtEndPr/>
        <w:sdtContent>
          <w:r>
            <w:fldChar w:fldCharType="begin"/>
          </w:r>
          <w:r>
            <w:instrText xml:space="preserve">CITATION Tra \l 1045 </w:instrText>
          </w:r>
          <w:r>
            <w:fldChar w:fldCharType="separate"/>
          </w:r>
          <w:r w:rsidR="006E166F">
            <w:rPr>
              <w:noProof/>
            </w:rPr>
            <w:t>(Tradingeconomics, 2017)</w:t>
          </w:r>
          <w:r>
            <w:fldChar w:fldCharType="end"/>
          </w:r>
        </w:sdtContent>
      </w:sdt>
      <w:r w:rsidR="00207C45">
        <w:t xml:space="preserve">. </w:t>
      </w:r>
      <w:r w:rsidR="002A5A3D">
        <w:t xml:space="preserve"> </w:t>
      </w:r>
      <w:r w:rsidR="009B10C5">
        <w:t>Powagę sytuacji pokazał kryzys z 2008 roku, gdzie drobne zaburzenie światowej struktury zadłużenia zmusił FED do „wydrukowania” około 4 bilionów dolarów. Skalę tego czynu widać na rysunku 1.</w:t>
      </w:r>
    </w:p>
    <w:p w14:paraId="061427A4" w14:textId="68E9D9E5" w:rsidR="009B10C5" w:rsidRDefault="009B10C5" w:rsidP="009B10C5">
      <w:pPr>
        <w:pStyle w:val="Caption"/>
      </w:pPr>
      <w:bookmarkStart w:id="0" w:name="_Ref532660087"/>
      <w:r>
        <w:t xml:space="preserve">Rysunek </w:t>
      </w:r>
      <w:r w:rsidR="00E827DD">
        <w:rPr>
          <w:noProof/>
        </w:rPr>
        <w:fldChar w:fldCharType="begin"/>
      </w:r>
      <w:r w:rsidR="00E827DD">
        <w:rPr>
          <w:noProof/>
        </w:rPr>
        <w:instrText xml:space="preserve"> SEQ Rysunek \* ARABIC </w:instrText>
      </w:r>
      <w:r w:rsidR="00E827DD">
        <w:rPr>
          <w:noProof/>
        </w:rPr>
        <w:fldChar w:fldCharType="separate"/>
      </w:r>
      <w:r w:rsidR="00E827DD">
        <w:rPr>
          <w:noProof/>
        </w:rPr>
        <w:t>1</w:t>
      </w:r>
      <w:r w:rsidR="00E827DD">
        <w:rPr>
          <w:noProof/>
        </w:rPr>
        <w:fldChar w:fldCharType="end"/>
      </w:r>
      <w:r>
        <w:rPr>
          <w:noProof/>
        </w:rPr>
        <w:drawing>
          <wp:anchor distT="0" distB="0" distL="114300" distR="114300" simplePos="0" relativeHeight="251658240" behindDoc="0" locked="0" layoutInCell="1" allowOverlap="1" wp14:anchorId="539CE977" wp14:editId="48A4EE0F">
            <wp:simplePos x="0" y="0"/>
            <wp:positionH relativeFrom="column">
              <wp:posOffset>357505</wp:posOffset>
            </wp:positionH>
            <wp:positionV relativeFrom="paragraph">
              <wp:posOffset>231775</wp:posOffset>
            </wp:positionV>
            <wp:extent cx="4762500" cy="2362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debt-as-assets.png"/>
                    <pic:cNvPicPr/>
                  </pic:nvPicPr>
                  <pic:blipFill>
                    <a:blip r:embed="rId5">
                      <a:extLst>
                        <a:ext uri="{28A0092B-C50C-407E-A947-70E740481C1C}">
                          <a14:useLocalDpi xmlns:a14="http://schemas.microsoft.com/office/drawing/2010/main" val="0"/>
                        </a:ext>
                      </a:extLst>
                    </a:blip>
                    <a:stretch>
                      <a:fillRect/>
                    </a:stretch>
                  </pic:blipFill>
                  <pic:spPr>
                    <a:xfrm>
                      <a:off x="0" y="0"/>
                      <a:ext cx="4762500" cy="2362200"/>
                    </a:xfrm>
                    <a:prstGeom prst="rect">
                      <a:avLst/>
                    </a:prstGeom>
                  </pic:spPr>
                </pic:pic>
              </a:graphicData>
            </a:graphic>
            <wp14:sizeRelH relativeFrom="page">
              <wp14:pctWidth>0</wp14:pctWidth>
            </wp14:sizeRelH>
            <wp14:sizeRelV relativeFrom="page">
              <wp14:pctHeight>0</wp14:pctHeight>
            </wp14:sizeRelV>
          </wp:anchor>
        </w:drawing>
      </w:r>
      <w:bookmarkEnd w:id="0"/>
      <w:r>
        <w:t xml:space="preserve"> </w:t>
      </w:r>
      <w:sdt>
        <w:sdtPr>
          <w:id w:val="-458877947"/>
          <w:citation/>
        </w:sdtPr>
        <w:sdtEndPr/>
        <w:sdtContent>
          <w:r>
            <w:fldChar w:fldCharType="begin"/>
          </w:r>
          <w:r>
            <w:instrText xml:space="preserve"> CITATION Glo18 \l 1045 </w:instrText>
          </w:r>
          <w:r>
            <w:fldChar w:fldCharType="separate"/>
          </w:r>
          <w:r w:rsidR="006E166F">
            <w:rPr>
              <w:noProof/>
            </w:rPr>
            <w:t>((FRED), 2018)</w:t>
          </w:r>
          <w:r>
            <w:fldChar w:fldCharType="end"/>
          </w:r>
        </w:sdtContent>
      </w:sdt>
      <w:r>
        <w:br w:type="page"/>
      </w:r>
    </w:p>
    <w:p w14:paraId="222A668E" w14:textId="30FA6826" w:rsidR="009B10C5" w:rsidRDefault="009B10C5" w:rsidP="009B10C5">
      <w:pPr>
        <w:spacing w:after="0"/>
        <w:jc w:val="both"/>
      </w:pPr>
      <w:r>
        <w:lastRenderedPageBreak/>
        <w:tab/>
        <w:t xml:space="preserve">Chociaż </w:t>
      </w:r>
      <w:r w:rsidR="00D20D2C">
        <w:t>wykup amerykańskich</w:t>
      </w:r>
      <w:r>
        <w:t xml:space="preserve"> </w:t>
      </w:r>
      <w:r w:rsidR="00D20D2C">
        <w:t xml:space="preserve">papierów dłużnych wydaje się na pierwszy rzut oka rozwiązaniem paradoksu Triffina, widoczne jest, że po dekadach takiego działania cały świat znalazł się na skraju potężnego kryzysu finansowego. Zadłużenie USA nie jest problemem tylko tego </w:t>
      </w:r>
      <w:proofErr w:type="gramStart"/>
      <w:r w:rsidR="00A8454A">
        <w:t>kraju</w:t>
      </w:r>
      <w:proofErr w:type="gramEnd"/>
      <w:r w:rsidR="00D20D2C">
        <w:t xml:space="preserve"> ale każdego kraju należącego do międzynarodowego systemu finansowego. Upadłość dużej ilości długów powiązanych ze Stanami mogłaby wywołać reakcję łańcuchową, która </w:t>
      </w:r>
      <w:r w:rsidR="00A8454A">
        <w:t xml:space="preserve">wywróciła by cały obecny system do góry nogami i </w:t>
      </w:r>
      <w:r w:rsidR="00D20D2C">
        <w:t>pozbawiłaby pozycji dolara jako waluty rezerwowej</w:t>
      </w:r>
      <w:r w:rsidR="00A8454A">
        <w:t>.</w:t>
      </w:r>
      <w:r w:rsidR="00D26551">
        <w:t xml:space="preserve"> Ostatecznie, zauważyć można, że prawdziwym znaczeniem paradoksu Triffina, jest to, że chociaż status waluty rezerwowej może przynosić wiele bonusów przez długi okres czasu, ostatecznie musi nastać moment poważnego kryzysu </w:t>
      </w:r>
      <w:sdt>
        <w:sdtPr>
          <w:id w:val="1959062346"/>
          <w:citation/>
        </w:sdtPr>
        <w:sdtEndPr/>
        <w:sdtContent>
          <w:r w:rsidR="00D26551">
            <w:fldChar w:fldCharType="begin"/>
          </w:r>
          <w:r w:rsidR="00D26551">
            <w:instrText xml:space="preserve"> CITATION Zer18 \l 1045 </w:instrText>
          </w:r>
          <w:r w:rsidR="00D26551">
            <w:fldChar w:fldCharType="separate"/>
          </w:r>
          <w:r w:rsidR="006E166F">
            <w:rPr>
              <w:noProof/>
            </w:rPr>
            <w:t>(ZeroHedge, 18)</w:t>
          </w:r>
          <w:r w:rsidR="00D26551">
            <w:fldChar w:fldCharType="end"/>
          </w:r>
        </w:sdtContent>
      </w:sdt>
      <w:r w:rsidR="00D26551">
        <w:t>.</w:t>
      </w:r>
    </w:p>
    <w:p w14:paraId="08FE5FFF" w14:textId="10295E4B" w:rsidR="00D26551" w:rsidRDefault="00D26551" w:rsidP="009B10C5">
      <w:pPr>
        <w:spacing w:after="0"/>
        <w:jc w:val="both"/>
      </w:pPr>
      <w:r>
        <w:tab/>
        <w:t xml:space="preserve">Warto jest spojrzeć na aktualne wydarzenia na świecie przez pryzmat paradoksu Triffina. Obecne zarzewia wojny walutowej między Chinami a USA </w:t>
      </w:r>
      <w:r w:rsidR="008D74B1">
        <w:t xml:space="preserve">pokazują jak skomplikowanym tematem jest deficyt handlowy. W tym przypadku, deficyt handlowy przestał być źródłem tanich importów dla Stanów a stał się strachem przed możliwym uzależnieniem ekonomicznym od chińskich eksportów. Nakładanie taryf przez </w:t>
      </w:r>
      <w:proofErr w:type="spellStart"/>
      <w:r w:rsidR="008D74B1">
        <w:t>Trumpa</w:t>
      </w:r>
      <w:proofErr w:type="spellEnd"/>
      <w:r w:rsidR="008D74B1">
        <w:t>, może pomóc w wyrównaniu bilansu płatniczego, lecz jednocześnie podważona zostanie pozycja dolara jako światowej waluty rezerwowej</w:t>
      </w:r>
      <w:sdt>
        <w:sdtPr>
          <w:id w:val="1695803050"/>
          <w:citation/>
        </w:sdtPr>
        <w:sdtEndPr/>
        <w:sdtContent>
          <w:r w:rsidR="008D74B1">
            <w:fldChar w:fldCharType="begin"/>
          </w:r>
          <w:r w:rsidR="008D74B1">
            <w:instrText xml:space="preserve"> CITATION For17 \l 1045 </w:instrText>
          </w:r>
          <w:r w:rsidR="008D74B1">
            <w:fldChar w:fldCharType="separate"/>
          </w:r>
          <w:r w:rsidR="006E166F">
            <w:rPr>
              <w:noProof/>
            </w:rPr>
            <w:t xml:space="preserve"> (Forbes, 17)</w:t>
          </w:r>
          <w:r w:rsidR="008D74B1">
            <w:fldChar w:fldCharType="end"/>
          </w:r>
        </w:sdtContent>
      </w:sdt>
      <w:r w:rsidR="008D74B1">
        <w:t>. Tym samym, prowadząc do utraty zalet waluty rezerwowej jakie Stany czerpią</w:t>
      </w:r>
      <w:r w:rsidR="00AA6C99">
        <w:t>,</w:t>
      </w:r>
      <w:r w:rsidR="008D74B1">
        <w:t xml:space="preserve"> na przykład</w:t>
      </w:r>
      <w:r w:rsidR="00AA6C99">
        <w:t>,</w:t>
      </w:r>
      <w:bookmarkStart w:id="1" w:name="_GoBack"/>
      <w:bookmarkEnd w:id="1"/>
      <w:r w:rsidR="008D74B1">
        <w:t xml:space="preserve"> w handlu z Europą.</w:t>
      </w:r>
    </w:p>
    <w:p w14:paraId="2B218D78" w14:textId="7D6D5B33" w:rsidR="006E166F" w:rsidRDefault="008D74B1" w:rsidP="00722BEB">
      <w:pPr>
        <w:spacing w:after="0"/>
        <w:jc w:val="both"/>
      </w:pPr>
      <w:r>
        <w:tab/>
        <w:t xml:space="preserve">Podsumowując, paradoks Triffina uświadamia, że status waluty rezerwowej </w:t>
      </w:r>
      <w:r w:rsidR="00FC27B7">
        <w:t xml:space="preserve">wiąże się z bardzo dużym kosztem, jakim jest, bardzo prawdopodobny kryzys gospodarczy związany z masywnymi deficytami handlowymi. Ważnym spostrzeżeniem jest również to, że w otwartym międzynarodowym systemie finansowym zawsze istnieć będzie kraj, który będzie obdarzany ponadprzeciętnym zaufaniem reszty państw i jego waluta stanie się walutą rezerwową. Tym samym, paradoks Triffina jest pewnego rodzaju klątwą. Jedynym rozwiązaniem tego problemu na zawsze było by powstanie waluty globalnej. Sam IMF wskazywał </w:t>
      </w:r>
      <w:proofErr w:type="spellStart"/>
      <w:r w:rsidR="00FC27B7">
        <w:t>Bitcoin’a</w:t>
      </w:r>
      <w:proofErr w:type="spellEnd"/>
      <w:r w:rsidR="00FC27B7">
        <w:t xml:space="preserve"> jako możliwe rozwiązanie </w:t>
      </w:r>
      <w:sdt>
        <w:sdtPr>
          <w:id w:val="-297069739"/>
          <w:citation/>
        </w:sdtPr>
        <w:sdtEndPr/>
        <w:sdtContent>
          <w:r w:rsidR="00FC27B7">
            <w:fldChar w:fldCharType="begin"/>
          </w:r>
          <w:r w:rsidR="00FC27B7">
            <w:instrText xml:space="preserve"> CITATION IMF18 \l 1045 </w:instrText>
          </w:r>
          <w:r w:rsidR="00FC27B7">
            <w:fldChar w:fldCharType="separate"/>
          </w:r>
          <w:r w:rsidR="006E166F">
            <w:rPr>
              <w:noProof/>
            </w:rPr>
            <w:t>(IMF, 2018)</w:t>
          </w:r>
          <w:r w:rsidR="00FC27B7">
            <w:fldChar w:fldCharType="end"/>
          </w:r>
        </w:sdtContent>
      </w:sdt>
      <w:r w:rsidR="00FC27B7">
        <w:t xml:space="preserve">. Niektórzy wymieniają SDR jako obecnie najbliższy odpowiednik waluty globalnej. Jednakże, wszystkie te rozwiązania wiążą się z wieloma wadami, które sprawiają, że </w:t>
      </w:r>
      <w:r w:rsidR="00722BEB">
        <w:t>bogata paleta walut a tym samym paradoks Triffina będą obecne na rynkach finansowych jeszcze przez wiele lat.</w:t>
      </w:r>
    </w:p>
    <w:p w14:paraId="5CA15374" w14:textId="77777777" w:rsidR="006E166F" w:rsidRDefault="006E166F">
      <w:pPr>
        <w:spacing w:line="259" w:lineRule="auto"/>
      </w:pPr>
      <w:r>
        <w:br w:type="page"/>
      </w:r>
    </w:p>
    <w:sdt>
      <w:sdtPr>
        <w:id w:val="120580297"/>
        <w:docPartObj>
          <w:docPartGallery w:val="Bibliographies"/>
          <w:docPartUnique/>
        </w:docPartObj>
      </w:sdtPr>
      <w:sdtEndPr>
        <w:rPr>
          <w:rFonts w:eastAsiaTheme="minorHAnsi" w:cstheme="minorBidi"/>
          <w:sz w:val="22"/>
          <w:szCs w:val="22"/>
          <w:lang w:val="pl-PL"/>
        </w:rPr>
      </w:sdtEndPr>
      <w:sdtContent>
        <w:p w14:paraId="3685C0B4" w14:textId="7EDCC73A" w:rsidR="006E166F" w:rsidRDefault="006E166F">
          <w:pPr>
            <w:pStyle w:val="Heading1"/>
          </w:pPr>
          <w:proofErr w:type="spellStart"/>
          <w:r>
            <w:t>Bibliografia</w:t>
          </w:r>
          <w:proofErr w:type="spellEnd"/>
        </w:p>
        <w:sdt>
          <w:sdtPr>
            <w:id w:val="111145805"/>
            <w:bibliography/>
          </w:sdtPr>
          <w:sdtContent>
            <w:p w14:paraId="2A2BDFCB" w14:textId="77777777" w:rsidR="006E166F" w:rsidRDefault="006E166F" w:rsidP="006E166F">
              <w:pPr>
                <w:pStyle w:val="Bibliography"/>
                <w:ind w:left="720" w:hanging="720"/>
                <w:rPr>
                  <w:noProof/>
                  <w:sz w:val="24"/>
                  <w:szCs w:val="24"/>
                  <w:lang w:val="en-US"/>
                </w:rPr>
              </w:pPr>
              <w:r>
                <w:fldChar w:fldCharType="begin"/>
              </w:r>
              <w:r w:rsidRPr="006E166F">
                <w:rPr>
                  <w:lang w:val="en-US"/>
                </w:rPr>
                <w:instrText xml:space="preserve"> BIBLIOGRAPHY </w:instrText>
              </w:r>
              <w:r>
                <w:fldChar w:fldCharType="separate"/>
              </w:r>
              <w:r>
                <w:rPr>
                  <w:noProof/>
                  <w:lang w:val="en-US"/>
                </w:rPr>
                <w:t>(FRED), G. T. (2018, 4 18). Retrieved from https://www.zerohedge.com/news/2018-04-18/triffin-warned-us</w:t>
              </w:r>
            </w:p>
            <w:p w14:paraId="70353567" w14:textId="77777777" w:rsidR="006E166F" w:rsidRDefault="006E166F" w:rsidP="006E166F">
              <w:pPr>
                <w:pStyle w:val="Bibliography"/>
                <w:ind w:left="720" w:hanging="720"/>
                <w:rPr>
                  <w:noProof/>
                  <w:lang w:val="en-US"/>
                </w:rPr>
              </w:pPr>
              <w:r>
                <w:rPr>
                  <w:noProof/>
                  <w:lang w:val="en-US"/>
                </w:rPr>
                <w:t>Forbes. (17, 2 3). Retrieved from https://www.forbes.com/sites/charleswallace1/2017/02/03/trumps-tough-talk-means-a-new-role-for-the-dollar/#7bd249b7193c</w:t>
              </w:r>
            </w:p>
            <w:p w14:paraId="444E9546" w14:textId="77777777" w:rsidR="006E166F" w:rsidRDefault="006E166F" w:rsidP="006E166F">
              <w:pPr>
                <w:pStyle w:val="Bibliography"/>
                <w:ind w:left="720" w:hanging="720"/>
                <w:rPr>
                  <w:noProof/>
                  <w:lang w:val="en-US"/>
                </w:rPr>
              </w:pPr>
              <w:r>
                <w:rPr>
                  <w:noProof/>
                  <w:lang w:val="en-US"/>
                </w:rPr>
                <w:t>IMF. (2018, 6). Retrieved from https://www.imf.org/external/pubs/ft/fandd/2018/06/pdf/fd0618.pdf</w:t>
              </w:r>
            </w:p>
            <w:p w14:paraId="15C164CA" w14:textId="77777777" w:rsidR="006E166F" w:rsidRDefault="006E166F" w:rsidP="006E166F">
              <w:pPr>
                <w:pStyle w:val="Bibliography"/>
                <w:ind w:left="720" w:hanging="720"/>
                <w:rPr>
                  <w:noProof/>
                  <w:lang w:val="en-US"/>
                </w:rPr>
              </w:pPr>
              <w:r>
                <w:rPr>
                  <w:noProof/>
                  <w:lang w:val="en-US"/>
                </w:rPr>
                <w:t>Młynarski, F. (1929). Retrieved from https://en.wikipedia.org/wiki/Feliks_M%C5%82ynarski</w:t>
              </w:r>
            </w:p>
            <w:p w14:paraId="3744625D" w14:textId="77777777" w:rsidR="006E166F" w:rsidRDefault="006E166F" w:rsidP="006E166F">
              <w:pPr>
                <w:pStyle w:val="Bibliography"/>
                <w:ind w:left="720" w:hanging="720"/>
                <w:rPr>
                  <w:noProof/>
                  <w:lang w:val="en-US"/>
                </w:rPr>
              </w:pPr>
              <w:r>
                <w:rPr>
                  <w:noProof/>
                  <w:lang w:val="en-US"/>
                </w:rPr>
                <w:t>Tradingeconomics. (2017). Retrieved from https://tradingeconomics.com/united-states/government-debt-to-gdp</w:t>
              </w:r>
            </w:p>
            <w:p w14:paraId="557E607A" w14:textId="77777777" w:rsidR="006E166F" w:rsidRDefault="006E166F" w:rsidP="006E166F">
              <w:pPr>
                <w:pStyle w:val="Bibliography"/>
                <w:ind w:left="720" w:hanging="720"/>
                <w:rPr>
                  <w:noProof/>
                  <w:lang w:val="en-US"/>
                </w:rPr>
              </w:pPr>
              <w:r>
                <w:rPr>
                  <w:noProof/>
                  <w:lang w:val="en-US"/>
                </w:rPr>
                <w:t>Triffin, R. (1960). Retrieved from http://lexicon.ft.com/Term?term=Triffin-dilemma</w:t>
              </w:r>
            </w:p>
            <w:p w14:paraId="6C48083A" w14:textId="77777777" w:rsidR="006E166F" w:rsidRDefault="006E166F" w:rsidP="006E166F">
              <w:pPr>
                <w:pStyle w:val="Bibliography"/>
                <w:ind w:left="720" w:hanging="720"/>
                <w:rPr>
                  <w:noProof/>
                  <w:lang w:val="en-US"/>
                </w:rPr>
              </w:pPr>
              <w:r>
                <w:rPr>
                  <w:noProof/>
                  <w:lang w:val="en-US"/>
                </w:rPr>
                <w:t>ZeroHedge. (18, 4 18). Retrieved from https://www.zerohedge.com/news/2018-04-18/triffin-warned-us</w:t>
              </w:r>
            </w:p>
            <w:p w14:paraId="443E855E" w14:textId="3CB4A754" w:rsidR="006E166F" w:rsidRDefault="006E166F" w:rsidP="006E166F">
              <w:r>
                <w:rPr>
                  <w:b/>
                  <w:bCs/>
                  <w:noProof/>
                </w:rPr>
                <w:fldChar w:fldCharType="end"/>
              </w:r>
            </w:p>
          </w:sdtContent>
        </w:sdt>
      </w:sdtContent>
    </w:sdt>
    <w:p w14:paraId="5CB668C7" w14:textId="77777777" w:rsidR="009B10C5" w:rsidRPr="00F16B85" w:rsidRDefault="009B10C5" w:rsidP="00722BEB">
      <w:pPr>
        <w:spacing w:after="0"/>
        <w:jc w:val="both"/>
      </w:pPr>
    </w:p>
    <w:p w14:paraId="267B324D" w14:textId="77777777" w:rsidR="00FF44E7" w:rsidRDefault="00FF44E7" w:rsidP="00C660A6">
      <w:pPr>
        <w:spacing w:after="0"/>
        <w:jc w:val="both"/>
      </w:pPr>
    </w:p>
    <w:p w14:paraId="4601DE45" w14:textId="314CB6D9" w:rsidR="009B10C5" w:rsidRPr="005017EC" w:rsidRDefault="009B10C5" w:rsidP="00C660A6">
      <w:pPr>
        <w:spacing w:after="0"/>
        <w:jc w:val="both"/>
      </w:pPr>
    </w:p>
    <w:sectPr w:rsidR="009B10C5" w:rsidRPr="005017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0BB"/>
    <w:rsid w:val="000B340D"/>
    <w:rsid w:val="00105991"/>
    <w:rsid w:val="001149D1"/>
    <w:rsid w:val="00114E53"/>
    <w:rsid w:val="00207C45"/>
    <w:rsid w:val="002A5A3D"/>
    <w:rsid w:val="00303E04"/>
    <w:rsid w:val="00335B06"/>
    <w:rsid w:val="004E13DF"/>
    <w:rsid w:val="005017EC"/>
    <w:rsid w:val="00520782"/>
    <w:rsid w:val="00561240"/>
    <w:rsid w:val="00613EBC"/>
    <w:rsid w:val="00636B3C"/>
    <w:rsid w:val="006B1AAF"/>
    <w:rsid w:val="006E166F"/>
    <w:rsid w:val="00722BEB"/>
    <w:rsid w:val="007960BB"/>
    <w:rsid w:val="0083369B"/>
    <w:rsid w:val="008425CE"/>
    <w:rsid w:val="00854020"/>
    <w:rsid w:val="008A198F"/>
    <w:rsid w:val="008D5E2A"/>
    <w:rsid w:val="008D74B1"/>
    <w:rsid w:val="00996BC5"/>
    <w:rsid w:val="00997B00"/>
    <w:rsid w:val="009B10C5"/>
    <w:rsid w:val="00A8454A"/>
    <w:rsid w:val="00A972C2"/>
    <w:rsid w:val="00AA6C99"/>
    <w:rsid w:val="00BD65B6"/>
    <w:rsid w:val="00BF1C82"/>
    <w:rsid w:val="00C660A6"/>
    <w:rsid w:val="00CC29F1"/>
    <w:rsid w:val="00D20D2C"/>
    <w:rsid w:val="00D26551"/>
    <w:rsid w:val="00DA770A"/>
    <w:rsid w:val="00E66E9E"/>
    <w:rsid w:val="00E827DD"/>
    <w:rsid w:val="00F16B85"/>
    <w:rsid w:val="00FC27B7"/>
    <w:rsid w:val="00FF3CD6"/>
    <w:rsid w:val="00FF44E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3F605"/>
  <w15:chartTrackingRefBased/>
  <w15:docId w15:val="{28420F44-DE89-4B44-B04F-62DB68EF2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25CE"/>
    <w:pPr>
      <w:spacing w:line="360" w:lineRule="auto"/>
    </w:pPr>
    <w:rPr>
      <w:rFonts w:ascii="Times New Roman" w:hAnsi="Times New Roman"/>
    </w:rPr>
  </w:style>
  <w:style w:type="paragraph" w:styleId="Heading1">
    <w:name w:val="heading 1"/>
    <w:basedOn w:val="Normal"/>
    <w:next w:val="Normal"/>
    <w:link w:val="Heading1Char"/>
    <w:uiPriority w:val="9"/>
    <w:qFormat/>
    <w:rsid w:val="004E13DF"/>
    <w:pPr>
      <w:keepNext/>
      <w:keepLines/>
      <w:spacing w:before="240" w:after="0" w:line="259" w:lineRule="auto"/>
      <w:outlineLvl w:val="0"/>
    </w:pPr>
    <w:rPr>
      <w:rFonts w:eastAsiaTheme="majorEastAsia" w:cstheme="majorBidi"/>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3DF"/>
    <w:rPr>
      <w:rFonts w:ascii="Times New Roman" w:eastAsiaTheme="majorEastAsia" w:hAnsi="Times New Roman" w:cstheme="majorBidi"/>
      <w:sz w:val="32"/>
      <w:szCs w:val="32"/>
      <w:lang w:val="en-US"/>
    </w:rPr>
  </w:style>
  <w:style w:type="paragraph" w:styleId="Bibliography">
    <w:name w:val="Bibliography"/>
    <w:basedOn w:val="Normal"/>
    <w:next w:val="Normal"/>
    <w:uiPriority w:val="37"/>
    <w:unhideWhenUsed/>
    <w:rsid w:val="004E13DF"/>
  </w:style>
  <w:style w:type="character" w:styleId="Emphasis">
    <w:name w:val="Emphasis"/>
    <w:basedOn w:val="DefaultParagraphFont"/>
    <w:uiPriority w:val="20"/>
    <w:qFormat/>
    <w:rsid w:val="00F16B85"/>
    <w:rPr>
      <w:i/>
      <w:iCs/>
    </w:rPr>
  </w:style>
  <w:style w:type="character" w:styleId="Hyperlink">
    <w:name w:val="Hyperlink"/>
    <w:basedOn w:val="DefaultParagraphFont"/>
    <w:uiPriority w:val="99"/>
    <w:semiHidden/>
    <w:unhideWhenUsed/>
    <w:rsid w:val="00F16B85"/>
    <w:rPr>
      <w:color w:val="0000FF"/>
      <w:u w:val="single"/>
    </w:rPr>
  </w:style>
  <w:style w:type="paragraph" w:styleId="Caption">
    <w:name w:val="caption"/>
    <w:basedOn w:val="Normal"/>
    <w:next w:val="Normal"/>
    <w:uiPriority w:val="35"/>
    <w:unhideWhenUsed/>
    <w:qFormat/>
    <w:rsid w:val="009B10C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47685">
      <w:bodyDiv w:val="1"/>
      <w:marLeft w:val="0"/>
      <w:marRight w:val="0"/>
      <w:marTop w:val="0"/>
      <w:marBottom w:val="0"/>
      <w:divBdr>
        <w:top w:val="none" w:sz="0" w:space="0" w:color="auto"/>
        <w:left w:val="none" w:sz="0" w:space="0" w:color="auto"/>
        <w:bottom w:val="none" w:sz="0" w:space="0" w:color="auto"/>
        <w:right w:val="none" w:sz="0" w:space="0" w:color="auto"/>
      </w:divBdr>
    </w:div>
    <w:div w:id="53939242">
      <w:bodyDiv w:val="1"/>
      <w:marLeft w:val="0"/>
      <w:marRight w:val="0"/>
      <w:marTop w:val="0"/>
      <w:marBottom w:val="0"/>
      <w:divBdr>
        <w:top w:val="none" w:sz="0" w:space="0" w:color="auto"/>
        <w:left w:val="none" w:sz="0" w:space="0" w:color="auto"/>
        <w:bottom w:val="none" w:sz="0" w:space="0" w:color="auto"/>
        <w:right w:val="none" w:sz="0" w:space="0" w:color="auto"/>
      </w:divBdr>
    </w:div>
    <w:div w:id="74862546">
      <w:bodyDiv w:val="1"/>
      <w:marLeft w:val="0"/>
      <w:marRight w:val="0"/>
      <w:marTop w:val="0"/>
      <w:marBottom w:val="0"/>
      <w:divBdr>
        <w:top w:val="none" w:sz="0" w:space="0" w:color="auto"/>
        <w:left w:val="none" w:sz="0" w:space="0" w:color="auto"/>
        <w:bottom w:val="none" w:sz="0" w:space="0" w:color="auto"/>
        <w:right w:val="none" w:sz="0" w:space="0" w:color="auto"/>
      </w:divBdr>
    </w:div>
    <w:div w:id="78525920">
      <w:bodyDiv w:val="1"/>
      <w:marLeft w:val="0"/>
      <w:marRight w:val="0"/>
      <w:marTop w:val="0"/>
      <w:marBottom w:val="0"/>
      <w:divBdr>
        <w:top w:val="none" w:sz="0" w:space="0" w:color="auto"/>
        <w:left w:val="none" w:sz="0" w:space="0" w:color="auto"/>
        <w:bottom w:val="none" w:sz="0" w:space="0" w:color="auto"/>
        <w:right w:val="none" w:sz="0" w:space="0" w:color="auto"/>
      </w:divBdr>
    </w:div>
    <w:div w:id="101455971">
      <w:bodyDiv w:val="1"/>
      <w:marLeft w:val="0"/>
      <w:marRight w:val="0"/>
      <w:marTop w:val="0"/>
      <w:marBottom w:val="0"/>
      <w:divBdr>
        <w:top w:val="none" w:sz="0" w:space="0" w:color="auto"/>
        <w:left w:val="none" w:sz="0" w:space="0" w:color="auto"/>
        <w:bottom w:val="none" w:sz="0" w:space="0" w:color="auto"/>
        <w:right w:val="none" w:sz="0" w:space="0" w:color="auto"/>
      </w:divBdr>
    </w:div>
    <w:div w:id="145099272">
      <w:bodyDiv w:val="1"/>
      <w:marLeft w:val="0"/>
      <w:marRight w:val="0"/>
      <w:marTop w:val="0"/>
      <w:marBottom w:val="0"/>
      <w:divBdr>
        <w:top w:val="none" w:sz="0" w:space="0" w:color="auto"/>
        <w:left w:val="none" w:sz="0" w:space="0" w:color="auto"/>
        <w:bottom w:val="none" w:sz="0" w:space="0" w:color="auto"/>
        <w:right w:val="none" w:sz="0" w:space="0" w:color="auto"/>
      </w:divBdr>
    </w:div>
    <w:div w:id="205919054">
      <w:bodyDiv w:val="1"/>
      <w:marLeft w:val="0"/>
      <w:marRight w:val="0"/>
      <w:marTop w:val="0"/>
      <w:marBottom w:val="0"/>
      <w:divBdr>
        <w:top w:val="none" w:sz="0" w:space="0" w:color="auto"/>
        <w:left w:val="none" w:sz="0" w:space="0" w:color="auto"/>
        <w:bottom w:val="none" w:sz="0" w:space="0" w:color="auto"/>
        <w:right w:val="none" w:sz="0" w:space="0" w:color="auto"/>
      </w:divBdr>
    </w:div>
    <w:div w:id="253367421">
      <w:bodyDiv w:val="1"/>
      <w:marLeft w:val="0"/>
      <w:marRight w:val="0"/>
      <w:marTop w:val="0"/>
      <w:marBottom w:val="0"/>
      <w:divBdr>
        <w:top w:val="none" w:sz="0" w:space="0" w:color="auto"/>
        <w:left w:val="none" w:sz="0" w:space="0" w:color="auto"/>
        <w:bottom w:val="none" w:sz="0" w:space="0" w:color="auto"/>
        <w:right w:val="none" w:sz="0" w:space="0" w:color="auto"/>
      </w:divBdr>
    </w:div>
    <w:div w:id="376243129">
      <w:bodyDiv w:val="1"/>
      <w:marLeft w:val="0"/>
      <w:marRight w:val="0"/>
      <w:marTop w:val="0"/>
      <w:marBottom w:val="0"/>
      <w:divBdr>
        <w:top w:val="none" w:sz="0" w:space="0" w:color="auto"/>
        <w:left w:val="none" w:sz="0" w:space="0" w:color="auto"/>
        <w:bottom w:val="none" w:sz="0" w:space="0" w:color="auto"/>
        <w:right w:val="none" w:sz="0" w:space="0" w:color="auto"/>
      </w:divBdr>
    </w:div>
    <w:div w:id="575211434">
      <w:bodyDiv w:val="1"/>
      <w:marLeft w:val="0"/>
      <w:marRight w:val="0"/>
      <w:marTop w:val="0"/>
      <w:marBottom w:val="0"/>
      <w:divBdr>
        <w:top w:val="none" w:sz="0" w:space="0" w:color="auto"/>
        <w:left w:val="none" w:sz="0" w:space="0" w:color="auto"/>
        <w:bottom w:val="none" w:sz="0" w:space="0" w:color="auto"/>
        <w:right w:val="none" w:sz="0" w:space="0" w:color="auto"/>
      </w:divBdr>
    </w:div>
    <w:div w:id="667903734">
      <w:bodyDiv w:val="1"/>
      <w:marLeft w:val="0"/>
      <w:marRight w:val="0"/>
      <w:marTop w:val="0"/>
      <w:marBottom w:val="0"/>
      <w:divBdr>
        <w:top w:val="none" w:sz="0" w:space="0" w:color="auto"/>
        <w:left w:val="none" w:sz="0" w:space="0" w:color="auto"/>
        <w:bottom w:val="none" w:sz="0" w:space="0" w:color="auto"/>
        <w:right w:val="none" w:sz="0" w:space="0" w:color="auto"/>
      </w:divBdr>
    </w:div>
    <w:div w:id="679544491">
      <w:bodyDiv w:val="1"/>
      <w:marLeft w:val="0"/>
      <w:marRight w:val="0"/>
      <w:marTop w:val="0"/>
      <w:marBottom w:val="0"/>
      <w:divBdr>
        <w:top w:val="none" w:sz="0" w:space="0" w:color="auto"/>
        <w:left w:val="none" w:sz="0" w:space="0" w:color="auto"/>
        <w:bottom w:val="none" w:sz="0" w:space="0" w:color="auto"/>
        <w:right w:val="none" w:sz="0" w:space="0" w:color="auto"/>
      </w:divBdr>
    </w:div>
    <w:div w:id="696856491">
      <w:bodyDiv w:val="1"/>
      <w:marLeft w:val="0"/>
      <w:marRight w:val="0"/>
      <w:marTop w:val="0"/>
      <w:marBottom w:val="0"/>
      <w:divBdr>
        <w:top w:val="none" w:sz="0" w:space="0" w:color="auto"/>
        <w:left w:val="none" w:sz="0" w:space="0" w:color="auto"/>
        <w:bottom w:val="none" w:sz="0" w:space="0" w:color="auto"/>
        <w:right w:val="none" w:sz="0" w:space="0" w:color="auto"/>
      </w:divBdr>
    </w:div>
    <w:div w:id="701127730">
      <w:bodyDiv w:val="1"/>
      <w:marLeft w:val="0"/>
      <w:marRight w:val="0"/>
      <w:marTop w:val="0"/>
      <w:marBottom w:val="0"/>
      <w:divBdr>
        <w:top w:val="none" w:sz="0" w:space="0" w:color="auto"/>
        <w:left w:val="none" w:sz="0" w:space="0" w:color="auto"/>
        <w:bottom w:val="none" w:sz="0" w:space="0" w:color="auto"/>
        <w:right w:val="none" w:sz="0" w:space="0" w:color="auto"/>
      </w:divBdr>
    </w:div>
    <w:div w:id="744378412">
      <w:bodyDiv w:val="1"/>
      <w:marLeft w:val="0"/>
      <w:marRight w:val="0"/>
      <w:marTop w:val="0"/>
      <w:marBottom w:val="0"/>
      <w:divBdr>
        <w:top w:val="none" w:sz="0" w:space="0" w:color="auto"/>
        <w:left w:val="none" w:sz="0" w:space="0" w:color="auto"/>
        <w:bottom w:val="none" w:sz="0" w:space="0" w:color="auto"/>
        <w:right w:val="none" w:sz="0" w:space="0" w:color="auto"/>
      </w:divBdr>
    </w:div>
    <w:div w:id="764308683">
      <w:bodyDiv w:val="1"/>
      <w:marLeft w:val="0"/>
      <w:marRight w:val="0"/>
      <w:marTop w:val="0"/>
      <w:marBottom w:val="0"/>
      <w:divBdr>
        <w:top w:val="none" w:sz="0" w:space="0" w:color="auto"/>
        <w:left w:val="none" w:sz="0" w:space="0" w:color="auto"/>
        <w:bottom w:val="none" w:sz="0" w:space="0" w:color="auto"/>
        <w:right w:val="none" w:sz="0" w:space="0" w:color="auto"/>
      </w:divBdr>
    </w:div>
    <w:div w:id="782041353">
      <w:bodyDiv w:val="1"/>
      <w:marLeft w:val="0"/>
      <w:marRight w:val="0"/>
      <w:marTop w:val="0"/>
      <w:marBottom w:val="0"/>
      <w:divBdr>
        <w:top w:val="none" w:sz="0" w:space="0" w:color="auto"/>
        <w:left w:val="none" w:sz="0" w:space="0" w:color="auto"/>
        <w:bottom w:val="none" w:sz="0" w:space="0" w:color="auto"/>
        <w:right w:val="none" w:sz="0" w:space="0" w:color="auto"/>
      </w:divBdr>
    </w:div>
    <w:div w:id="876232787">
      <w:bodyDiv w:val="1"/>
      <w:marLeft w:val="0"/>
      <w:marRight w:val="0"/>
      <w:marTop w:val="0"/>
      <w:marBottom w:val="0"/>
      <w:divBdr>
        <w:top w:val="none" w:sz="0" w:space="0" w:color="auto"/>
        <w:left w:val="none" w:sz="0" w:space="0" w:color="auto"/>
        <w:bottom w:val="none" w:sz="0" w:space="0" w:color="auto"/>
        <w:right w:val="none" w:sz="0" w:space="0" w:color="auto"/>
      </w:divBdr>
    </w:div>
    <w:div w:id="973022486">
      <w:bodyDiv w:val="1"/>
      <w:marLeft w:val="0"/>
      <w:marRight w:val="0"/>
      <w:marTop w:val="0"/>
      <w:marBottom w:val="0"/>
      <w:divBdr>
        <w:top w:val="none" w:sz="0" w:space="0" w:color="auto"/>
        <w:left w:val="none" w:sz="0" w:space="0" w:color="auto"/>
        <w:bottom w:val="none" w:sz="0" w:space="0" w:color="auto"/>
        <w:right w:val="none" w:sz="0" w:space="0" w:color="auto"/>
      </w:divBdr>
    </w:div>
    <w:div w:id="974411492">
      <w:bodyDiv w:val="1"/>
      <w:marLeft w:val="0"/>
      <w:marRight w:val="0"/>
      <w:marTop w:val="0"/>
      <w:marBottom w:val="0"/>
      <w:divBdr>
        <w:top w:val="none" w:sz="0" w:space="0" w:color="auto"/>
        <w:left w:val="none" w:sz="0" w:space="0" w:color="auto"/>
        <w:bottom w:val="none" w:sz="0" w:space="0" w:color="auto"/>
        <w:right w:val="none" w:sz="0" w:space="0" w:color="auto"/>
      </w:divBdr>
    </w:div>
    <w:div w:id="989092853">
      <w:bodyDiv w:val="1"/>
      <w:marLeft w:val="0"/>
      <w:marRight w:val="0"/>
      <w:marTop w:val="0"/>
      <w:marBottom w:val="0"/>
      <w:divBdr>
        <w:top w:val="none" w:sz="0" w:space="0" w:color="auto"/>
        <w:left w:val="none" w:sz="0" w:space="0" w:color="auto"/>
        <w:bottom w:val="none" w:sz="0" w:space="0" w:color="auto"/>
        <w:right w:val="none" w:sz="0" w:space="0" w:color="auto"/>
      </w:divBdr>
    </w:div>
    <w:div w:id="1040201487">
      <w:bodyDiv w:val="1"/>
      <w:marLeft w:val="0"/>
      <w:marRight w:val="0"/>
      <w:marTop w:val="0"/>
      <w:marBottom w:val="0"/>
      <w:divBdr>
        <w:top w:val="none" w:sz="0" w:space="0" w:color="auto"/>
        <w:left w:val="none" w:sz="0" w:space="0" w:color="auto"/>
        <w:bottom w:val="none" w:sz="0" w:space="0" w:color="auto"/>
        <w:right w:val="none" w:sz="0" w:space="0" w:color="auto"/>
      </w:divBdr>
    </w:div>
    <w:div w:id="1071393481">
      <w:bodyDiv w:val="1"/>
      <w:marLeft w:val="0"/>
      <w:marRight w:val="0"/>
      <w:marTop w:val="0"/>
      <w:marBottom w:val="0"/>
      <w:divBdr>
        <w:top w:val="none" w:sz="0" w:space="0" w:color="auto"/>
        <w:left w:val="none" w:sz="0" w:space="0" w:color="auto"/>
        <w:bottom w:val="none" w:sz="0" w:space="0" w:color="auto"/>
        <w:right w:val="none" w:sz="0" w:space="0" w:color="auto"/>
      </w:divBdr>
    </w:div>
    <w:div w:id="1077434752">
      <w:bodyDiv w:val="1"/>
      <w:marLeft w:val="0"/>
      <w:marRight w:val="0"/>
      <w:marTop w:val="0"/>
      <w:marBottom w:val="0"/>
      <w:divBdr>
        <w:top w:val="none" w:sz="0" w:space="0" w:color="auto"/>
        <w:left w:val="none" w:sz="0" w:space="0" w:color="auto"/>
        <w:bottom w:val="none" w:sz="0" w:space="0" w:color="auto"/>
        <w:right w:val="none" w:sz="0" w:space="0" w:color="auto"/>
      </w:divBdr>
    </w:div>
    <w:div w:id="1132400581">
      <w:bodyDiv w:val="1"/>
      <w:marLeft w:val="0"/>
      <w:marRight w:val="0"/>
      <w:marTop w:val="0"/>
      <w:marBottom w:val="0"/>
      <w:divBdr>
        <w:top w:val="none" w:sz="0" w:space="0" w:color="auto"/>
        <w:left w:val="none" w:sz="0" w:space="0" w:color="auto"/>
        <w:bottom w:val="none" w:sz="0" w:space="0" w:color="auto"/>
        <w:right w:val="none" w:sz="0" w:space="0" w:color="auto"/>
      </w:divBdr>
    </w:div>
    <w:div w:id="1237009942">
      <w:bodyDiv w:val="1"/>
      <w:marLeft w:val="0"/>
      <w:marRight w:val="0"/>
      <w:marTop w:val="0"/>
      <w:marBottom w:val="0"/>
      <w:divBdr>
        <w:top w:val="none" w:sz="0" w:space="0" w:color="auto"/>
        <w:left w:val="none" w:sz="0" w:space="0" w:color="auto"/>
        <w:bottom w:val="none" w:sz="0" w:space="0" w:color="auto"/>
        <w:right w:val="none" w:sz="0" w:space="0" w:color="auto"/>
      </w:divBdr>
    </w:div>
    <w:div w:id="1264461114">
      <w:bodyDiv w:val="1"/>
      <w:marLeft w:val="0"/>
      <w:marRight w:val="0"/>
      <w:marTop w:val="0"/>
      <w:marBottom w:val="0"/>
      <w:divBdr>
        <w:top w:val="none" w:sz="0" w:space="0" w:color="auto"/>
        <w:left w:val="none" w:sz="0" w:space="0" w:color="auto"/>
        <w:bottom w:val="none" w:sz="0" w:space="0" w:color="auto"/>
        <w:right w:val="none" w:sz="0" w:space="0" w:color="auto"/>
      </w:divBdr>
    </w:div>
    <w:div w:id="1324310567">
      <w:bodyDiv w:val="1"/>
      <w:marLeft w:val="0"/>
      <w:marRight w:val="0"/>
      <w:marTop w:val="0"/>
      <w:marBottom w:val="0"/>
      <w:divBdr>
        <w:top w:val="none" w:sz="0" w:space="0" w:color="auto"/>
        <w:left w:val="none" w:sz="0" w:space="0" w:color="auto"/>
        <w:bottom w:val="none" w:sz="0" w:space="0" w:color="auto"/>
        <w:right w:val="none" w:sz="0" w:space="0" w:color="auto"/>
      </w:divBdr>
    </w:div>
    <w:div w:id="1367872617">
      <w:bodyDiv w:val="1"/>
      <w:marLeft w:val="0"/>
      <w:marRight w:val="0"/>
      <w:marTop w:val="0"/>
      <w:marBottom w:val="0"/>
      <w:divBdr>
        <w:top w:val="none" w:sz="0" w:space="0" w:color="auto"/>
        <w:left w:val="none" w:sz="0" w:space="0" w:color="auto"/>
        <w:bottom w:val="none" w:sz="0" w:space="0" w:color="auto"/>
        <w:right w:val="none" w:sz="0" w:space="0" w:color="auto"/>
      </w:divBdr>
    </w:div>
    <w:div w:id="1413117881">
      <w:bodyDiv w:val="1"/>
      <w:marLeft w:val="0"/>
      <w:marRight w:val="0"/>
      <w:marTop w:val="0"/>
      <w:marBottom w:val="0"/>
      <w:divBdr>
        <w:top w:val="none" w:sz="0" w:space="0" w:color="auto"/>
        <w:left w:val="none" w:sz="0" w:space="0" w:color="auto"/>
        <w:bottom w:val="none" w:sz="0" w:space="0" w:color="auto"/>
        <w:right w:val="none" w:sz="0" w:space="0" w:color="auto"/>
      </w:divBdr>
    </w:div>
    <w:div w:id="1423379396">
      <w:bodyDiv w:val="1"/>
      <w:marLeft w:val="0"/>
      <w:marRight w:val="0"/>
      <w:marTop w:val="0"/>
      <w:marBottom w:val="0"/>
      <w:divBdr>
        <w:top w:val="none" w:sz="0" w:space="0" w:color="auto"/>
        <w:left w:val="none" w:sz="0" w:space="0" w:color="auto"/>
        <w:bottom w:val="none" w:sz="0" w:space="0" w:color="auto"/>
        <w:right w:val="none" w:sz="0" w:space="0" w:color="auto"/>
      </w:divBdr>
    </w:div>
    <w:div w:id="1464690483">
      <w:bodyDiv w:val="1"/>
      <w:marLeft w:val="0"/>
      <w:marRight w:val="0"/>
      <w:marTop w:val="0"/>
      <w:marBottom w:val="0"/>
      <w:divBdr>
        <w:top w:val="none" w:sz="0" w:space="0" w:color="auto"/>
        <w:left w:val="none" w:sz="0" w:space="0" w:color="auto"/>
        <w:bottom w:val="none" w:sz="0" w:space="0" w:color="auto"/>
        <w:right w:val="none" w:sz="0" w:space="0" w:color="auto"/>
      </w:divBdr>
    </w:div>
    <w:div w:id="1825854346">
      <w:bodyDiv w:val="1"/>
      <w:marLeft w:val="0"/>
      <w:marRight w:val="0"/>
      <w:marTop w:val="0"/>
      <w:marBottom w:val="0"/>
      <w:divBdr>
        <w:top w:val="none" w:sz="0" w:space="0" w:color="auto"/>
        <w:left w:val="none" w:sz="0" w:space="0" w:color="auto"/>
        <w:bottom w:val="none" w:sz="0" w:space="0" w:color="auto"/>
        <w:right w:val="none" w:sz="0" w:space="0" w:color="auto"/>
      </w:divBdr>
    </w:div>
    <w:div w:id="2009936641">
      <w:bodyDiv w:val="1"/>
      <w:marLeft w:val="0"/>
      <w:marRight w:val="0"/>
      <w:marTop w:val="0"/>
      <w:marBottom w:val="0"/>
      <w:divBdr>
        <w:top w:val="none" w:sz="0" w:space="0" w:color="auto"/>
        <w:left w:val="none" w:sz="0" w:space="0" w:color="auto"/>
        <w:bottom w:val="none" w:sz="0" w:space="0" w:color="auto"/>
        <w:right w:val="none" w:sz="0" w:space="0" w:color="auto"/>
      </w:divBdr>
    </w:div>
    <w:div w:id="2021738405">
      <w:bodyDiv w:val="1"/>
      <w:marLeft w:val="0"/>
      <w:marRight w:val="0"/>
      <w:marTop w:val="0"/>
      <w:marBottom w:val="0"/>
      <w:divBdr>
        <w:top w:val="none" w:sz="0" w:space="0" w:color="auto"/>
        <w:left w:val="none" w:sz="0" w:space="0" w:color="auto"/>
        <w:bottom w:val="none" w:sz="0" w:space="0" w:color="auto"/>
        <w:right w:val="none" w:sz="0" w:space="0" w:color="auto"/>
      </w:divBdr>
    </w:div>
    <w:div w:id="2050647782">
      <w:bodyDiv w:val="1"/>
      <w:marLeft w:val="0"/>
      <w:marRight w:val="0"/>
      <w:marTop w:val="0"/>
      <w:marBottom w:val="0"/>
      <w:divBdr>
        <w:top w:val="none" w:sz="0" w:space="0" w:color="auto"/>
        <w:left w:val="none" w:sz="0" w:space="0" w:color="auto"/>
        <w:bottom w:val="none" w:sz="0" w:space="0" w:color="auto"/>
        <w:right w:val="none" w:sz="0" w:space="0" w:color="auto"/>
      </w:divBdr>
    </w:div>
    <w:div w:id="2120447808">
      <w:bodyDiv w:val="1"/>
      <w:marLeft w:val="0"/>
      <w:marRight w:val="0"/>
      <w:marTop w:val="0"/>
      <w:marBottom w:val="0"/>
      <w:divBdr>
        <w:top w:val="none" w:sz="0" w:space="0" w:color="auto"/>
        <w:left w:val="none" w:sz="0" w:space="0" w:color="auto"/>
        <w:bottom w:val="none" w:sz="0" w:space="0" w:color="auto"/>
        <w:right w:val="none" w:sz="0" w:space="0" w:color="auto"/>
      </w:divBdr>
    </w:div>
    <w:div w:id="2123070187">
      <w:bodyDiv w:val="1"/>
      <w:marLeft w:val="0"/>
      <w:marRight w:val="0"/>
      <w:marTop w:val="0"/>
      <w:marBottom w:val="0"/>
      <w:divBdr>
        <w:top w:val="none" w:sz="0" w:space="0" w:color="auto"/>
        <w:left w:val="none" w:sz="0" w:space="0" w:color="auto"/>
        <w:bottom w:val="none" w:sz="0" w:space="0" w:color="auto"/>
        <w:right w:val="none" w:sz="0" w:space="0" w:color="auto"/>
      </w:divBdr>
    </w:div>
    <w:div w:id="214029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Fel29</b:Tag>
    <b:SourceType>InternetSite</b:SourceType>
    <b:Guid>{8772070A-B56C-4907-8533-81EAA49FC171}</b:Guid>
    <b:Author>
      <b:Author>
        <b:NameList>
          <b:Person>
            <b:Last>Młynarski</b:Last>
            <b:First>Feliks</b:First>
          </b:Person>
        </b:NameList>
      </b:Author>
    </b:Author>
    <b:Year>1929</b:Year>
    <b:URL>https://en.wikipedia.org/wiki/Feliks_M%C5%82ynarski</b:URL>
    <b:RefOrder>1</b:RefOrder>
  </b:Source>
  <b:Source>
    <b:Tag>Rob60</b:Tag>
    <b:SourceType>InternetSite</b:SourceType>
    <b:Guid>{A21EE534-A13E-4595-8C67-8715EC85D2F1}</b:Guid>
    <b:Author>
      <b:Author>
        <b:NameList>
          <b:Person>
            <b:Last>Triffin</b:Last>
            <b:First>Robert</b:First>
          </b:Person>
        </b:NameList>
      </b:Author>
    </b:Author>
    <b:Year>1960</b:Year>
    <b:URL>http://lexicon.ft.com/Term?term=Triffin-dilemma</b:URL>
    <b:RefOrder>2</b:RefOrder>
  </b:Source>
  <b:Source>
    <b:Tag>Tra</b:Tag>
    <b:SourceType>InternetSite</b:SourceType>
    <b:Guid>{3C381FD4-8203-4749-9F42-2C6AEF03DDE8}</b:Guid>
    <b:Author>
      <b:Author>
        <b:NameList>
          <b:Person>
            <b:Last>Tradingeconomics</b:Last>
          </b:Person>
        </b:NameList>
      </b:Author>
    </b:Author>
    <b:URL>https://tradingeconomics.com/united-states/government-debt-to-gdp</b:URL>
    <b:Year>2017</b:Year>
    <b:RefOrder>3</b:RefOrder>
  </b:Source>
  <b:Source>
    <b:Tag>Glo18</b:Tag>
    <b:SourceType>InternetSite</b:SourceType>
    <b:Guid>{F89BFC6F-B696-4848-B3E9-087F27D1222A}</b:Guid>
    <b:Author>
      <b:Author>
        <b:NameList>
          <b:Person>
            <b:Last>(FRED)</b:Last>
            <b:First>Global</b:First>
            <b:Middle>Technical Analysis and St. Louis Federal Reserve</b:Middle>
          </b:Person>
        </b:NameList>
      </b:Author>
    </b:Author>
    <b:Year>2018</b:Year>
    <b:Month>4</b:Month>
    <b:Day>18</b:Day>
    <b:URL>https://www.zerohedge.com/news/2018-04-18/triffin-warned-us</b:URL>
    <b:RefOrder>4</b:RefOrder>
  </b:Source>
  <b:Source>
    <b:Tag>Zer18</b:Tag>
    <b:SourceType>InternetSite</b:SourceType>
    <b:Guid>{289BE03B-50C4-40F0-9EA8-E64B4BDE866F}</b:Guid>
    <b:Author>
      <b:Author>
        <b:NameList>
          <b:Person>
            <b:Last>ZeroHedge</b:Last>
          </b:Person>
        </b:NameList>
      </b:Author>
    </b:Author>
    <b:Year>18</b:Year>
    <b:Month>4</b:Month>
    <b:Day>18</b:Day>
    <b:URL>https://www.zerohedge.com/news/2018-04-18/triffin-warned-us</b:URL>
    <b:RefOrder>5</b:RefOrder>
  </b:Source>
  <b:Source>
    <b:Tag>For17</b:Tag>
    <b:SourceType>InternetSite</b:SourceType>
    <b:Guid>{0AFDE6CC-0FF4-4036-B09A-66EDB400A124}</b:Guid>
    <b:Author>
      <b:Author>
        <b:NameList>
          <b:Person>
            <b:Last>Forbes</b:Last>
          </b:Person>
        </b:NameList>
      </b:Author>
    </b:Author>
    <b:Year>17</b:Year>
    <b:Month>2</b:Month>
    <b:Day>3</b:Day>
    <b:URL>https://www.forbes.com/sites/charleswallace1/2017/02/03/trumps-tough-talk-means-a-new-role-for-the-dollar/#7bd249b7193c</b:URL>
    <b:RefOrder>6</b:RefOrder>
  </b:Source>
  <b:Source>
    <b:Tag>IMF18</b:Tag>
    <b:SourceType>InternetSite</b:SourceType>
    <b:Guid>{C95FFDC0-47B9-4605-B64A-6A371D607AEC}</b:Guid>
    <b:Author>
      <b:Author>
        <b:NameList>
          <b:Person>
            <b:Last>IMF</b:Last>
          </b:Person>
        </b:NameList>
      </b:Author>
    </b:Author>
    <b:Year>2018</b:Year>
    <b:Month>6</b:Month>
    <b:URL>https://www.imf.org/external/pubs/ft/fandd/2018/06/pdf/fd0618.pdf</b:URL>
    <b:RefOrder>7</b:RefOrder>
  </b:Source>
</b:Sources>
</file>

<file path=customXml/itemProps1.xml><?xml version="1.0" encoding="utf-8"?>
<ds:datastoreItem xmlns:ds="http://schemas.openxmlformats.org/officeDocument/2006/customXml" ds:itemID="{E7633E0D-2C8E-487E-8F25-3AC6EAC0B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Pages>
  <Words>843</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adas</dc:creator>
  <cp:keywords/>
  <dc:description/>
  <cp:lastModifiedBy>adas</cp:lastModifiedBy>
  <cp:revision>19</cp:revision>
  <cp:lastPrinted>2018-12-16T09:30:00Z</cp:lastPrinted>
  <dcterms:created xsi:type="dcterms:W3CDTF">2018-11-04T10:08:00Z</dcterms:created>
  <dcterms:modified xsi:type="dcterms:W3CDTF">2018-12-16T09:31:00Z</dcterms:modified>
</cp:coreProperties>
</file>