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473B" w14:textId="77777777" w:rsidR="00E702AD" w:rsidRDefault="00E702AD" w:rsidP="006310DD">
      <w:pPr>
        <w:spacing w:line="480" w:lineRule="auto"/>
        <w:jc w:val="center"/>
        <w:rPr>
          <w:rFonts w:ascii="Times New Roman" w:hAnsi="Times New Roman" w:cs="Times New Roman"/>
          <w:b/>
          <w:bCs/>
        </w:rPr>
      </w:pPr>
    </w:p>
    <w:p w14:paraId="352AF7BE" w14:textId="77777777" w:rsidR="00E702AD" w:rsidRDefault="00E702AD" w:rsidP="006310DD">
      <w:pPr>
        <w:spacing w:line="480" w:lineRule="auto"/>
        <w:jc w:val="center"/>
        <w:rPr>
          <w:rFonts w:ascii="Times New Roman" w:hAnsi="Times New Roman" w:cs="Times New Roman"/>
          <w:b/>
          <w:bCs/>
        </w:rPr>
      </w:pPr>
    </w:p>
    <w:p w14:paraId="7D4BC8EC" w14:textId="196790CE" w:rsidR="006310DD" w:rsidRPr="006310DD" w:rsidRDefault="006310DD" w:rsidP="006310DD">
      <w:pPr>
        <w:spacing w:line="480" w:lineRule="auto"/>
        <w:jc w:val="center"/>
        <w:rPr>
          <w:rFonts w:ascii="Times New Roman" w:hAnsi="Times New Roman" w:cs="Times New Roman"/>
          <w:b/>
          <w:bCs/>
        </w:rPr>
      </w:pPr>
      <w:r w:rsidRPr="006310DD">
        <w:rPr>
          <w:rFonts w:ascii="Times New Roman" w:hAnsi="Times New Roman" w:cs="Times New Roman"/>
          <w:b/>
          <w:bCs/>
        </w:rPr>
        <w:t>Predictive Healthcare Analytics: A Data Life Cycle Perspective</w:t>
      </w:r>
    </w:p>
    <w:p w14:paraId="02FA9BDA" w14:textId="133595CB" w:rsidR="006310DD" w:rsidRPr="006310DD" w:rsidRDefault="006310DD" w:rsidP="006310DD">
      <w:pPr>
        <w:spacing w:line="480" w:lineRule="auto"/>
        <w:jc w:val="center"/>
        <w:rPr>
          <w:rFonts w:ascii="Times New Roman" w:hAnsi="Times New Roman" w:cs="Times New Roman"/>
        </w:rPr>
      </w:pPr>
      <w:r w:rsidRPr="006310DD">
        <w:rPr>
          <w:rFonts w:ascii="Times New Roman" w:hAnsi="Times New Roman" w:cs="Times New Roman"/>
        </w:rPr>
        <w:t>Gilbert Morgan</w:t>
      </w:r>
      <w:r w:rsidRPr="006310DD">
        <w:rPr>
          <w:rFonts w:ascii="Times New Roman" w:hAnsi="Times New Roman" w:cs="Times New Roman"/>
        </w:rPr>
        <w:br/>
      </w:r>
      <w:r w:rsidR="004334ED" w:rsidRPr="006310DD">
        <w:rPr>
          <w:rFonts w:ascii="Times New Roman" w:hAnsi="Times New Roman" w:cs="Times New Roman"/>
        </w:rPr>
        <w:t>School of Technology and Engineering</w:t>
      </w:r>
      <w:r w:rsidR="004334ED">
        <w:rPr>
          <w:rFonts w:ascii="Times New Roman" w:hAnsi="Times New Roman" w:cs="Times New Roman"/>
        </w:rPr>
        <w:t xml:space="preserve">, </w:t>
      </w:r>
      <w:r w:rsidRPr="006310DD">
        <w:rPr>
          <w:rFonts w:ascii="Times New Roman" w:hAnsi="Times New Roman" w:cs="Times New Roman"/>
        </w:rPr>
        <w:t>National University</w:t>
      </w:r>
      <w:r w:rsidRPr="006310DD">
        <w:rPr>
          <w:rFonts w:ascii="Times New Roman" w:hAnsi="Times New Roman" w:cs="Times New Roman"/>
        </w:rPr>
        <w:br/>
        <w:t>DDS-8500 v1: Principles of Data Science</w:t>
      </w:r>
      <w:r w:rsidRPr="006310DD">
        <w:rPr>
          <w:rFonts w:ascii="Times New Roman" w:hAnsi="Times New Roman" w:cs="Times New Roman"/>
        </w:rPr>
        <w:br/>
      </w:r>
      <w:r w:rsidR="004334ED">
        <w:rPr>
          <w:rFonts w:ascii="Times New Roman" w:hAnsi="Times New Roman" w:cs="Times New Roman"/>
        </w:rPr>
        <w:t xml:space="preserve">Dr. </w:t>
      </w:r>
      <w:r w:rsidRPr="006310DD">
        <w:rPr>
          <w:rFonts w:ascii="Times New Roman" w:hAnsi="Times New Roman" w:cs="Times New Roman"/>
        </w:rPr>
        <w:t>Javier Leon</w:t>
      </w:r>
      <w:r w:rsidR="004334ED" w:rsidRPr="006310DD">
        <w:rPr>
          <w:rFonts w:ascii="Times New Roman" w:hAnsi="Times New Roman" w:cs="Times New Roman"/>
        </w:rPr>
        <w:t xml:space="preserve"> </w:t>
      </w:r>
      <w:r w:rsidRPr="006310DD">
        <w:rPr>
          <w:rFonts w:ascii="Times New Roman" w:hAnsi="Times New Roman" w:cs="Times New Roman"/>
        </w:rPr>
        <w:br/>
      </w:r>
      <w:r w:rsidR="004334ED">
        <w:rPr>
          <w:rFonts w:ascii="Times New Roman" w:hAnsi="Times New Roman" w:cs="Times New Roman"/>
        </w:rPr>
        <w:t>February 22, 2026</w:t>
      </w:r>
    </w:p>
    <w:p w14:paraId="382CE11F" w14:textId="77777777" w:rsidR="006310DD" w:rsidRDefault="006310DD">
      <w:pPr>
        <w:rPr>
          <w:rFonts w:ascii="Times New Roman" w:hAnsi="Times New Roman" w:cs="Times New Roman"/>
          <w:b/>
          <w:bCs/>
        </w:rPr>
      </w:pPr>
      <w:r>
        <w:rPr>
          <w:rFonts w:ascii="Times New Roman" w:hAnsi="Times New Roman" w:cs="Times New Roman"/>
          <w:b/>
          <w:bCs/>
        </w:rPr>
        <w:br w:type="page"/>
      </w:r>
    </w:p>
    <w:p w14:paraId="3942EFE9" w14:textId="77777777" w:rsidR="00366696" w:rsidRPr="00366696" w:rsidRDefault="00366696" w:rsidP="00E702AD">
      <w:pPr>
        <w:spacing w:line="480" w:lineRule="auto"/>
        <w:jc w:val="center"/>
        <w:rPr>
          <w:rFonts w:ascii="Times New Roman" w:hAnsi="Times New Roman" w:cs="Times New Roman"/>
          <w:b/>
          <w:bCs/>
        </w:rPr>
      </w:pPr>
      <w:r w:rsidRPr="00366696">
        <w:rPr>
          <w:rFonts w:ascii="Times New Roman" w:hAnsi="Times New Roman" w:cs="Times New Roman"/>
          <w:b/>
          <w:bCs/>
        </w:rPr>
        <w:lastRenderedPageBreak/>
        <w:t>Introduction</w:t>
      </w:r>
    </w:p>
    <w:p w14:paraId="792B8F5D" w14:textId="055B2464" w:rsidR="007D74F6" w:rsidRPr="007D74F6" w:rsidRDefault="007D74F6" w:rsidP="007D74F6">
      <w:pPr>
        <w:spacing w:line="480" w:lineRule="auto"/>
        <w:ind w:firstLine="720"/>
        <w:rPr>
          <w:rFonts w:ascii="Times New Roman" w:hAnsi="Times New Roman" w:cs="Times New Roman"/>
        </w:rPr>
      </w:pPr>
      <w:r w:rsidRPr="007D74F6">
        <w:rPr>
          <w:rFonts w:ascii="Times New Roman" w:hAnsi="Times New Roman" w:cs="Times New Roman"/>
        </w:rPr>
        <w:t>In recent years, healthcare organizations have been told that data, AI, and “smart” systems will transform clinical practice. In reality, turning raw data into something clinicians can trust and act on has been much harder than the slogans suggest. Hospitals, clinics, and public health systems now generate enormous volumes of data from electronic health records (EHRs), imaging platforms, and remote monitoring devices, yet many decisions are still made reactively and based on retrospective reports. Predictive healthcare analytics sits in the middle of this gap, offering a way to move from looking backward at what has already happened to anticipating what is likely to happen next.</w:t>
      </w:r>
    </w:p>
    <w:p w14:paraId="6FD73A1B" w14:textId="7BA1E64E" w:rsidR="007D74F6" w:rsidRPr="007D74F6" w:rsidRDefault="007D74F6" w:rsidP="007D74F6">
      <w:pPr>
        <w:spacing w:line="480" w:lineRule="auto"/>
        <w:ind w:firstLine="720"/>
        <w:rPr>
          <w:rFonts w:ascii="Times New Roman" w:hAnsi="Times New Roman" w:cs="Times New Roman"/>
        </w:rPr>
      </w:pPr>
      <w:r w:rsidRPr="007D74F6">
        <w:rPr>
          <w:rFonts w:ascii="Times New Roman" w:hAnsi="Times New Roman" w:cs="Times New Roman"/>
        </w:rPr>
        <w:t xml:space="preserve">As we </w:t>
      </w:r>
      <w:r>
        <w:rPr>
          <w:rFonts w:ascii="Times New Roman" w:hAnsi="Times New Roman" w:cs="Times New Roman"/>
        </w:rPr>
        <w:t>read</w:t>
      </w:r>
      <w:r w:rsidRPr="007D74F6">
        <w:rPr>
          <w:rFonts w:ascii="Times New Roman" w:hAnsi="Times New Roman" w:cs="Times New Roman"/>
        </w:rPr>
        <w:t xml:space="preserve"> in DDS‑8500 when covering the data life cycle, building these systems is not just a matter of choosing a clever algorithm. Recent work shows that practical deployments depend just as much on infrastructure, security, and governance. For example, Badawy et al. (2025) describe a distributed architecture using Apache Kafka and Apache Spark to support real-time prediction for heart disease and diabetes, where issues such as latency and system reliability are just as important as model accuracy. Similarly, Rawas and Samala (2025) focus on adaptive encryption and federated learning in hybrid edge–cloud environments, reminding us that privacy and regulatory constraints shape how predictive models can be trained and deployed in the first place.</w:t>
      </w:r>
    </w:p>
    <w:p w14:paraId="72625B98" w14:textId="1B5B9C9F" w:rsidR="007D74F6" w:rsidRPr="007D74F6" w:rsidRDefault="007D74F6" w:rsidP="007D74F6">
      <w:pPr>
        <w:spacing w:line="480" w:lineRule="auto"/>
        <w:ind w:firstLine="720"/>
        <w:rPr>
          <w:rFonts w:ascii="Times New Roman" w:hAnsi="Times New Roman" w:cs="Times New Roman"/>
        </w:rPr>
      </w:pPr>
      <w:r w:rsidRPr="007D74F6">
        <w:rPr>
          <w:rFonts w:ascii="Times New Roman" w:hAnsi="Times New Roman" w:cs="Times New Roman"/>
        </w:rPr>
        <w:t xml:space="preserve">Advances in modeling add another layer of complexity. Saeed et al. (2024) report a deep learning–based diagnostic system that achieves high accuracy in lung and colon cancer detection, while Naresh and Reddi (2025) explore quantum-enhanced Support Vector Machines designed to handle high-dimensional healthcare data. These examples suggest that the field is moving toward </w:t>
      </w:r>
      <w:r w:rsidRPr="007D74F6">
        <w:rPr>
          <w:rFonts w:ascii="Times New Roman" w:hAnsi="Times New Roman" w:cs="Times New Roman"/>
        </w:rPr>
        <w:lastRenderedPageBreak/>
        <w:t>more computationally intensive and experimentally sophisticated approaches, but they also raise questions about interpretability, scalability, and implementation.</w:t>
      </w:r>
    </w:p>
    <w:p w14:paraId="135EDDB2" w14:textId="77777777" w:rsidR="007D74F6" w:rsidRDefault="007D74F6" w:rsidP="007D74F6">
      <w:pPr>
        <w:spacing w:line="480" w:lineRule="auto"/>
        <w:ind w:firstLine="720"/>
        <w:rPr>
          <w:rFonts w:ascii="Times New Roman" w:hAnsi="Times New Roman" w:cs="Times New Roman"/>
        </w:rPr>
      </w:pPr>
      <w:r w:rsidRPr="007D74F6">
        <w:rPr>
          <w:rFonts w:ascii="Times New Roman" w:hAnsi="Times New Roman" w:cs="Times New Roman"/>
        </w:rPr>
        <w:t>In this paper, I approach predictive healthcare analytics from a data life cycle perspective. Rather than treating modeling as an isolated step, I examine how the business problem, data ingestion, analysis, and communication stages interact in real healthcare contexts. The goal is to highlight both the potential benefits of predictive systems and the practical challenges that arise when trying to integrate them into everyday clinical and operational workflows.</w:t>
      </w:r>
    </w:p>
    <w:p w14:paraId="6C363103" w14:textId="0664FB65" w:rsidR="00366696" w:rsidRPr="00366696" w:rsidRDefault="00366696" w:rsidP="007D74F6">
      <w:pPr>
        <w:spacing w:line="480" w:lineRule="auto"/>
        <w:jc w:val="center"/>
        <w:rPr>
          <w:rFonts w:ascii="Times New Roman" w:hAnsi="Times New Roman" w:cs="Times New Roman"/>
          <w:b/>
          <w:bCs/>
        </w:rPr>
      </w:pPr>
      <w:r w:rsidRPr="00366696">
        <w:rPr>
          <w:rFonts w:ascii="Times New Roman" w:hAnsi="Times New Roman" w:cs="Times New Roman"/>
          <w:b/>
          <w:bCs/>
        </w:rPr>
        <w:t xml:space="preserve">II. Business </w:t>
      </w:r>
      <w:r w:rsidR="0071491B">
        <w:rPr>
          <w:rFonts w:ascii="Times New Roman" w:hAnsi="Times New Roman" w:cs="Times New Roman"/>
          <w:b/>
          <w:bCs/>
        </w:rPr>
        <w:t>Understanding</w:t>
      </w:r>
    </w:p>
    <w:p w14:paraId="760326D0" w14:textId="54E64DAE"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The core business problem driving predictive healthcare analytics is the gap between data generation and actionable clinical insight. Healthcare systems produce vast quantities of structured and unstructured data</w:t>
      </w:r>
      <w:r w:rsidR="00E702AD">
        <w:rPr>
          <w:rFonts w:ascii="Times New Roman" w:hAnsi="Times New Roman" w:cs="Times New Roman"/>
        </w:rPr>
        <w:t xml:space="preserve">, </w:t>
      </w:r>
      <w:r w:rsidRPr="00366696">
        <w:rPr>
          <w:rFonts w:ascii="Times New Roman" w:hAnsi="Times New Roman" w:cs="Times New Roman"/>
        </w:rPr>
        <w:t>from EHRs and imaging systems to wearable sensors</w:t>
      </w:r>
      <w:r w:rsidR="00E702AD">
        <w:rPr>
          <w:rFonts w:ascii="Times New Roman" w:hAnsi="Times New Roman" w:cs="Times New Roman"/>
        </w:rPr>
        <w:t xml:space="preserve">, </w:t>
      </w:r>
      <w:r w:rsidRPr="00366696">
        <w:rPr>
          <w:rFonts w:ascii="Times New Roman" w:hAnsi="Times New Roman" w:cs="Times New Roman"/>
        </w:rPr>
        <w:t>yet many institutions struggle to translate this data into timely predictions.</w:t>
      </w:r>
    </w:p>
    <w:p w14:paraId="71F4FAF6"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Clinically, reactive care models dominate many healthcare environments. Conditions such as cardiovascular disease, diabetes, and cancer benefit significantly from early intervention, yet diagnosis often occurs after symptoms escalate. Saeed et al. (2024) note that earlier detection can substantially reduce mortality risk. The business need is therefore to shift from retrospective diagnosis to proactive prediction.</w:t>
      </w:r>
    </w:p>
    <w:p w14:paraId="5E4CA3E1"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Operationally, healthcare systems must manage staffing, bed capacity, and resource allocation. Predictive models forecasting admissions, readmissions, or disease progression can reduce uncertainty and improve efficiency. Badawy et al. (2025) demonstrate how real-time predictive systems support both clinical and administrative decision-making.</w:t>
      </w:r>
    </w:p>
    <w:p w14:paraId="3D37D9F6" w14:textId="72B9353C"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lastRenderedPageBreak/>
        <w:t>Equally critical is data governance. Healthcare data is highly sensitive, and AI-driven systems introduce vulnerabilities related to storage, transmission, and model training. Rawas and Samala (2025) emphasize the need to align predictive analytics with privacy regulations such as HIPAA and GDPR. Thus, the business problem is not merely building accurate models</w:t>
      </w:r>
      <w:r w:rsidR="00E702AD">
        <w:rPr>
          <w:rFonts w:ascii="Times New Roman" w:hAnsi="Times New Roman" w:cs="Times New Roman"/>
        </w:rPr>
        <w:t xml:space="preserve">; </w:t>
      </w:r>
      <w:r w:rsidRPr="00366696">
        <w:rPr>
          <w:rFonts w:ascii="Times New Roman" w:hAnsi="Times New Roman" w:cs="Times New Roman"/>
        </w:rPr>
        <w:t>it is building scalable, secure, and compliant systems.</w:t>
      </w:r>
    </w:p>
    <w:p w14:paraId="0FF243B7" w14:textId="14EC4F82"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Emerging technologies such as quantum-enhanced modeling (Naresh &amp; Reddi, 2025) further expand possibilities while introducing implementation challenges. Ultimately, the central question becomes: How can healthcare systems design secure, scalable predictive frameworks that improve outcomes while maintaining operational efficiency and regulatory compliance?</w:t>
      </w:r>
    </w:p>
    <w:p w14:paraId="5C1C7588" w14:textId="7C462C4F" w:rsidR="00366696" w:rsidRPr="00366696" w:rsidRDefault="00366696" w:rsidP="006310DD">
      <w:pPr>
        <w:spacing w:line="480" w:lineRule="auto"/>
        <w:jc w:val="center"/>
        <w:rPr>
          <w:rFonts w:ascii="Times New Roman" w:hAnsi="Times New Roman" w:cs="Times New Roman"/>
          <w:b/>
          <w:bCs/>
        </w:rPr>
      </w:pPr>
      <w:r w:rsidRPr="00366696">
        <w:rPr>
          <w:rFonts w:ascii="Times New Roman" w:hAnsi="Times New Roman" w:cs="Times New Roman"/>
          <w:b/>
          <w:bCs/>
        </w:rPr>
        <w:t>III. Data</w:t>
      </w:r>
      <w:r w:rsidR="0071491B">
        <w:rPr>
          <w:rFonts w:ascii="Times New Roman" w:hAnsi="Times New Roman" w:cs="Times New Roman"/>
          <w:b/>
          <w:bCs/>
        </w:rPr>
        <w:t xml:space="preserve"> Mining</w:t>
      </w:r>
    </w:p>
    <w:p w14:paraId="4AD5C922" w14:textId="501FDFF2"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 xml:space="preserve">Data </w:t>
      </w:r>
      <w:r w:rsidR="0071491B">
        <w:rPr>
          <w:rFonts w:ascii="Times New Roman" w:hAnsi="Times New Roman" w:cs="Times New Roman"/>
        </w:rPr>
        <w:t>mining</w:t>
      </w:r>
      <w:r w:rsidRPr="00366696">
        <w:rPr>
          <w:rFonts w:ascii="Times New Roman" w:hAnsi="Times New Roman" w:cs="Times New Roman"/>
        </w:rPr>
        <w:t xml:space="preserve"> marks the entry point of the predictive healthcare data life cycle. It involves collecting, integrating, validating, and preparing diverse healthcare data for analysis. Unlike static research datasets, healthcare data is high-volume, high-velocity, and heterogeneous.</w:t>
      </w:r>
    </w:p>
    <w:p w14:paraId="0691F851"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Data Sources</w:t>
      </w:r>
    </w:p>
    <w:p w14:paraId="28F00289"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Predictive systems ingest data from EHRs, laboratory results, medical imaging, wearable devices, IoT sensors, and administrative records. The integration of real-time monitoring technologies has shifted healthcare analytics from batch processing to streaming environments. Badawy et al. (2025) describe architectures that continuously ingest patient data, enabling near real-time inference.</w:t>
      </w:r>
    </w:p>
    <w:p w14:paraId="1A9E03B6"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Infrastructure</w:t>
      </w:r>
    </w:p>
    <w:p w14:paraId="3B010A99"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lastRenderedPageBreak/>
        <w:t>Distributed frameworks such as Apache Kafka and Apache Spark allow healthcare organizations to manage high-throughput data with low latency. These systems support both offline training and online inference. Scalability and fault tolerance are essential, as ingestion delays directly undermine predictive performance.</w:t>
      </w:r>
    </w:p>
    <w:p w14:paraId="3200733D"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Data Cleaning</w:t>
      </w:r>
    </w:p>
    <w:p w14:paraId="5651B4F7" w14:textId="5753B9ED"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Healthcare data frequently contains missing values, inconsistencies, and noise. Automated preprocessing steps</w:t>
      </w:r>
      <w:r w:rsidR="00E702AD">
        <w:rPr>
          <w:rFonts w:ascii="Times New Roman" w:hAnsi="Times New Roman" w:cs="Times New Roman"/>
        </w:rPr>
        <w:t xml:space="preserve"> </w:t>
      </w:r>
      <w:r w:rsidRPr="00366696">
        <w:rPr>
          <w:rFonts w:ascii="Times New Roman" w:hAnsi="Times New Roman" w:cs="Times New Roman"/>
        </w:rPr>
        <w:t>including</w:t>
      </w:r>
      <w:r w:rsidR="00E702AD">
        <w:rPr>
          <w:rFonts w:ascii="Times New Roman" w:hAnsi="Times New Roman" w:cs="Times New Roman"/>
        </w:rPr>
        <w:t>:</w:t>
      </w:r>
      <w:r w:rsidRPr="00366696">
        <w:rPr>
          <w:rFonts w:ascii="Times New Roman" w:hAnsi="Times New Roman" w:cs="Times New Roman"/>
        </w:rPr>
        <w:t xml:space="preserve"> normalization, duplicate removal, and sensor filtering</w:t>
      </w:r>
      <w:r w:rsidR="00E702AD">
        <w:rPr>
          <w:rFonts w:ascii="Times New Roman" w:hAnsi="Times New Roman" w:cs="Times New Roman"/>
        </w:rPr>
        <w:t xml:space="preserve">; </w:t>
      </w:r>
      <w:r w:rsidRPr="00366696">
        <w:rPr>
          <w:rFonts w:ascii="Times New Roman" w:hAnsi="Times New Roman" w:cs="Times New Roman"/>
        </w:rPr>
        <w:t>are embedded within ingestion pipelines. In imaging systems, preprocessing enhances image clarity before feature extraction (Saeed et al., 2024). Clean input data strengthens model reliability and generalizability.</w:t>
      </w:r>
    </w:p>
    <w:p w14:paraId="17983E5A"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Privacy and Security</w:t>
      </w:r>
    </w:p>
    <w:p w14:paraId="469CB546"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Ingestion must incorporate security controls. Rawas and Samala (2025) propose adaptive encryption and federated learning to secure data during transmission and storage. Hybrid edge-cloud architectures process time-sensitive data locally, reducing exposure risk. In predictive healthcare analytics, ingestion is therefore both a technical and regulatory function.</w:t>
      </w:r>
    </w:p>
    <w:p w14:paraId="14E51ABC" w14:textId="6740B72A"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A robust ingestion strategy ensures predictive models operate on reliable, secure, and timely data</w:t>
      </w:r>
      <w:r w:rsidR="00E702AD">
        <w:rPr>
          <w:rFonts w:ascii="Times New Roman" w:hAnsi="Times New Roman" w:cs="Times New Roman"/>
        </w:rPr>
        <w:t xml:space="preserve">, </w:t>
      </w:r>
      <w:r w:rsidRPr="00366696">
        <w:rPr>
          <w:rFonts w:ascii="Times New Roman" w:hAnsi="Times New Roman" w:cs="Times New Roman"/>
        </w:rPr>
        <w:t>forming the foundation for effective analytics.</w:t>
      </w:r>
    </w:p>
    <w:p w14:paraId="343F6807" w14:textId="77777777" w:rsidR="00366696" w:rsidRPr="00366696" w:rsidRDefault="00366696" w:rsidP="006310DD">
      <w:pPr>
        <w:spacing w:line="480" w:lineRule="auto"/>
        <w:jc w:val="center"/>
        <w:rPr>
          <w:rFonts w:ascii="Times New Roman" w:hAnsi="Times New Roman" w:cs="Times New Roman"/>
          <w:b/>
          <w:bCs/>
        </w:rPr>
      </w:pPr>
      <w:r w:rsidRPr="00366696">
        <w:rPr>
          <w:rFonts w:ascii="Times New Roman" w:hAnsi="Times New Roman" w:cs="Times New Roman"/>
          <w:b/>
          <w:bCs/>
        </w:rPr>
        <w:t>IV. Data Analysis</w:t>
      </w:r>
    </w:p>
    <w:p w14:paraId="7F86A430"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The data analysis stage converts structured healthcare data into predictive insight. It includes data exploration, feature engineering, and predictive modeling.</w:t>
      </w:r>
    </w:p>
    <w:p w14:paraId="6B55C8DC"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Data Exploration</w:t>
      </w:r>
    </w:p>
    <w:p w14:paraId="550790D6"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lastRenderedPageBreak/>
        <w:t>Exploratory analysis identifies patterns, imbalances, correlations, and anomalies. Healthcare data often exhibits class imbalance and heterogeneity. Continuous monitoring in streaming systems supports model recalibration as data patterns shift (Badawy et al., 2025).</w:t>
      </w:r>
    </w:p>
    <w:p w14:paraId="1E4C57C2"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Feature Engineering</w:t>
      </w:r>
    </w:p>
    <w:p w14:paraId="71CF642C"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Feature engineering transforms raw variables into meaningful inputs. Examples include aggregating vitals over time, encoding diagnoses, and extracting structural features from images. In deep learning–based diagnostic systems, convolutional neural networks automatically learn hierarchical features (Saeed et al., 2024). Quantum-enhanced feature mapping approaches further illustrate the importance of representation in predictive accuracy (Naresh &amp; Reddi, 2025).</w:t>
      </w:r>
    </w:p>
    <w:p w14:paraId="3C42DCC1"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Predictive Modeling</w:t>
      </w:r>
    </w:p>
    <w:p w14:paraId="6C1B99D3"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Predictive models estimate outcomes such as disease diagnosis, readmission risk, or cardiovascular events. Common algorithms include logistic regression, random forests, gradient boosting, and deep learning models. Ensemble techniques have demonstrated strong performance in both offline and real-time contexts (Badawy et al., 2025).</w:t>
      </w:r>
    </w:p>
    <w:p w14:paraId="79E918F4"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Model evaluation relies on metrics such as accuracy, precision, recall, and AUC. However, healthcare applications also demand interpretability and fairness. Predictive systems must be continuously monitored to address model drift as patient populations evolve.</w:t>
      </w:r>
    </w:p>
    <w:p w14:paraId="7EA22786" w14:textId="2DD34CD9" w:rsidR="006310DD"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Through structured exploration, feature design, and modeling, healthcare systems transition from descriptive reporting to forward-looking decision support.</w:t>
      </w:r>
    </w:p>
    <w:p w14:paraId="49BDBE08" w14:textId="77777777" w:rsidR="00366696" w:rsidRPr="00366696" w:rsidRDefault="00366696" w:rsidP="006310DD">
      <w:pPr>
        <w:spacing w:line="480" w:lineRule="auto"/>
        <w:jc w:val="center"/>
        <w:rPr>
          <w:rFonts w:ascii="Times New Roman" w:hAnsi="Times New Roman" w:cs="Times New Roman"/>
          <w:b/>
          <w:bCs/>
        </w:rPr>
      </w:pPr>
      <w:r w:rsidRPr="00366696">
        <w:rPr>
          <w:rFonts w:ascii="Times New Roman" w:hAnsi="Times New Roman" w:cs="Times New Roman"/>
          <w:b/>
          <w:bCs/>
        </w:rPr>
        <w:t>V. Data Communication</w:t>
      </w:r>
    </w:p>
    <w:p w14:paraId="0F3005C9"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lastRenderedPageBreak/>
        <w:t>Data communication bridges predictive modeling and real-world clinical action. Even highly accurate models deliver limited value if outputs are unclear or untrusted.</w:t>
      </w:r>
    </w:p>
    <w:p w14:paraId="405AB16F" w14:textId="324D586F" w:rsidR="00366696" w:rsidRPr="00366696" w:rsidRDefault="0071491B" w:rsidP="00366696">
      <w:pPr>
        <w:spacing w:line="480" w:lineRule="auto"/>
        <w:rPr>
          <w:rFonts w:ascii="Times New Roman" w:hAnsi="Times New Roman" w:cs="Times New Roman"/>
          <w:b/>
          <w:bCs/>
        </w:rPr>
      </w:pPr>
      <w:r>
        <w:rPr>
          <w:rFonts w:ascii="Times New Roman" w:hAnsi="Times New Roman" w:cs="Times New Roman"/>
          <w:b/>
          <w:bCs/>
        </w:rPr>
        <w:t xml:space="preserve">Data </w:t>
      </w:r>
      <w:r w:rsidR="00366696" w:rsidRPr="00366696">
        <w:rPr>
          <w:rFonts w:ascii="Times New Roman" w:hAnsi="Times New Roman" w:cs="Times New Roman"/>
          <w:b/>
          <w:bCs/>
        </w:rPr>
        <w:t>Visualization</w:t>
      </w:r>
    </w:p>
    <w:p w14:paraId="7255B8C0" w14:textId="77777777"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Healthcare dashboards display risk scores, alerts, deterioration trends, and performance metrics. Real-time dashboards integrate streaming data with predictive outputs to support immediate decisions (Badawy et al., 2025). In imaging systems, highlighted regions enhance interpretability and clinician confidence (Saeed et al., 2024).</w:t>
      </w:r>
    </w:p>
    <w:p w14:paraId="5D9D9E40"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Interpretability</w:t>
      </w:r>
    </w:p>
    <w:p w14:paraId="02CCEAE0" w14:textId="169195ED"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Clinicians must understand why predictions are generated. Communication tools often include feature importance rankings, confidence levels, and risk categories. As modeling approaches become more advanced</w:t>
      </w:r>
      <w:r w:rsidR="00E702AD">
        <w:rPr>
          <w:rFonts w:ascii="Times New Roman" w:hAnsi="Times New Roman" w:cs="Times New Roman"/>
        </w:rPr>
        <w:t xml:space="preserve">, </w:t>
      </w:r>
      <w:r w:rsidRPr="00366696">
        <w:rPr>
          <w:rFonts w:ascii="Times New Roman" w:hAnsi="Times New Roman" w:cs="Times New Roman"/>
        </w:rPr>
        <w:t>including quantum-enhanced systems</w:t>
      </w:r>
      <w:r w:rsidR="00E702AD">
        <w:rPr>
          <w:rFonts w:ascii="Times New Roman" w:hAnsi="Times New Roman" w:cs="Times New Roman"/>
        </w:rPr>
        <w:t xml:space="preserve">, </w:t>
      </w:r>
      <w:r w:rsidRPr="00366696">
        <w:rPr>
          <w:rFonts w:ascii="Times New Roman" w:hAnsi="Times New Roman" w:cs="Times New Roman"/>
        </w:rPr>
        <w:t>clear communication becomes increasingly important (Naresh &amp; Reddi, 2025).</w:t>
      </w:r>
    </w:p>
    <w:p w14:paraId="0A5B3CE4" w14:textId="77777777" w:rsidR="00366696" w:rsidRPr="00366696" w:rsidRDefault="00366696" w:rsidP="00366696">
      <w:pPr>
        <w:spacing w:line="480" w:lineRule="auto"/>
        <w:rPr>
          <w:rFonts w:ascii="Times New Roman" w:hAnsi="Times New Roman" w:cs="Times New Roman"/>
          <w:b/>
          <w:bCs/>
        </w:rPr>
      </w:pPr>
      <w:r w:rsidRPr="00366696">
        <w:rPr>
          <w:rFonts w:ascii="Times New Roman" w:hAnsi="Times New Roman" w:cs="Times New Roman"/>
          <w:b/>
          <w:bCs/>
        </w:rPr>
        <w:t>Regulatory and Ethical Considerations</w:t>
      </w:r>
    </w:p>
    <w:p w14:paraId="43CA5F2D" w14:textId="1E6F0BDC" w:rsidR="00366696" w:rsidRPr="00366696" w:rsidRDefault="00366696" w:rsidP="00E702AD">
      <w:pPr>
        <w:spacing w:line="480" w:lineRule="auto"/>
        <w:ind w:firstLine="720"/>
        <w:rPr>
          <w:rFonts w:ascii="Times New Roman" w:hAnsi="Times New Roman" w:cs="Times New Roman"/>
        </w:rPr>
      </w:pPr>
      <w:r w:rsidRPr="00366696">
        <w:rPr>
          <w:rFonts w:ascii="Times New Roman" w:hAnsi="Times New Roman" w:cs="Times New Roman"/>
        </w:rPr>
        <w:t>Reporting systems must protect identifiable information and comply with privacy standards. Secure infrastructures ensure communication pipelines are as protected as ingestion stages (Rawas &amp; Samala, 2025). Predictive outputs should support</w:t>
      </w:r>
      <w:r w:rsidR="00E702AD">
        <w:rPr>
          <w:rFonts w:ascii="Times New Roman" w:hAnsi="Times New Roman" w:cs="Times New Roman"/>
        </w:rPr>
        <w:t xml:space="preserve">, </w:t>
      </w:r>
      <w:r w:rsidRPr="00366696">
        <w:rPr>
          <w:rFonts w:ascii="Times New Roman" w:hAnsi="Times New Roman" w:cs="Times New Roman"/>
        </w:rPr>
        <w:t>not replace</w:t>
      </w:r>
      <w:r w:rsidR="00E702AD">
        <w:rPr>
          <w:rFonts w:ascii="Times New Roman" w:hAnsi="Times New Roman" w:cs="Times New Roman"/>
        </w:rPr>
        <w:t xml:space="preserve">, </w:t>
      </w:r>
      <w:r w:rsidRPr="00366696">
        <w:rPr>
          <w:rFonts w:ascii="Times New Roman" w:hAnsi="Times New Roman" w:cs="Times New Roman"/>
        </w:rPr>
        <w:t>clinical judgment, with uncertainty and limitations clearly conveyed.</w:t>
      </w:r>
      <w:r w:rsidR="00E702AD">
        <w:rPr>
          <w:rFonts w:ascii="Times New Roman" w:hAnsi="Times New Roman" w:cs="Times New Roman"/>
        </w:rPr>
        <w:t xml:space="preserve"> </w:t>
      </w:r>
      <w:r w:rsidRPr="00366696">
        <w:rPr>
          <w:rFonts w:ascii="Times New Roman" w:hAnsi="Times New Roman" w:cs="Times New Roman"/>
        </w:rPr>
        <w:t>Effective communication transforms predictive insight into actionable intervention.</w:t>
      </w:r>
    </w:p>
    <w:p w14:paraId="45B213D8" w14:textId="77777777" w:rsidR="00366696" w:rsidRPr="00366696" w:rsidRDefault="00366696" w:rsidP="006310DD">
      <w:pPr>
        <w:spacing w:line="480" w:lineRule="auto"/>
        <w:jc w:val="center"/>
        <w:rPr>
          <w:rFonts w:ascii="Times New Roman" w:hAnsi="Times New Roman" w:cs="Times New Roman"/>
          <w:b/>
          <w:bCs/>
        </w:rPr>
      </w:pPr>
      <w:r w:rsidRPr="00366696">
        <w:rPr>
          <w:rFonts w:ascii="Times New Roman" w:hAnsi="Times New Roman" w:cs="Times New Roman"/>
          <w:b/>
          <w:bCs/>
        </w:rPr>
        <w:t>VI. Impact and Implications</w:t>
      </w:r>
    </w:p>
    <w:p w14:paraId="1328EBE3" w14:textId="77777777" w:rsidR="006310DD" w:rsidRPr="006310DD" w:rsidRDefault="006310DD" w:rsidP="00E702AD">
      <w:pPr>
        <w:spacing w:line="480" w:lineRule="auto"/>
        <w:ind w:firstLine="720"/>
        <w:rPr>
          <w:rFonts w:ascii="Times New Roman" w:hAnsi="Times New Roman" w:cs="Times New Roman"/>
        </w:rPr>
      </w:pPr>
      <w:r w:rsidRPr="006310DD">
        <w:rPr>
          <w:rFonts w:ascii="Times New Roman" w:hAnsi="Times New Roman" w:cs="Times New Roman"/>
        </w:rPr>
        <w:t xml:space="preserve">Predictive healthcare analytics carries meaningful clinical, operational, technological, and societal implications. Clinically, its most immediate impact lies in early detection and risk </w:t>
      </w:r>
      <w:r w:rsidRPr="006310DD">
        <w:rPr>
          <w:rFonts w:ascii="Times New Roman" w:hAnsi="Times New Roman" w:cs="Times New Roman"/>
        </w:rPr>
        <w:lastRenderedPageBreak/>
        <w:t>stratification. Predictive systems for cardiovascular disease, diabetes, and cancer allow clinicians to identify high-risk patients sooner, enabling timely intervention and more personalized treatment strategies (Badawy et al., 2025; Saeed et al., 2024). This proactive approach can reduce complications, hospital readmissions, and overall mortality rates.</w:t>
      </w:r>
    </w:p>
    <w:p w14:paraId="23EE2242" w14:textId="77777777" w:rsidR="006310DD" w:rsidRPr="006310DD" w:rsidRDefault="006310DD" w:rsidP="00E702AD">
      <w:pPr>
        <w:spacing w:line="480" w:lineRule="auto"/>
        <w:ind w:firstLine="720"/>
        <w:rPr>
          <w:rFonts w:ascii="Times New Roman" w:hAnsi="Times New Roman" w:cs="Times New Roman"/>
        </w:rPr>
      </w:pPr>
      <w:r w:rsidRPr="006310DD">
        <w:rPr>
          <w:rFonts w:ascii="Times New Roman" w:hAnsi="Times New Roman" w:cs="Times New Roman"/>
        </w:rPr>
        <w:t>Operationally, predictive analytics enhances efficiency within healthcare systems. Forecasting patient admissions, disease progression, and resource utilization supports better staffing decisions, bed management, and supply chain planning. These improvements contribute to cost reduction while maintaining quality of care.</w:t>
      </w:r>
    </w:p>
    <w:p w14:paraId="01A4F9B3" w14:textId="77777777" w:rsidR="006310DD" w:rsidRPr="006310DD" w:rsidRDefault="006310DD" w:rsidP="00E702AD">
      <w:pPr>
        <w:spacing w:line="480" w:lineRule="auto"/>
        <w:ind w:firstLine="720"/>
        <w:rPr>
          <w:rFonts w:ascii="Times New Roman" w:hAnsi="Times New Roman" w:cs="Times New Roman"/>
        </w:rPr>
      </w:pPr>
      <w:r w:rsidRPr="006310DD">
        <w:rPr>
          <w:rFonts w:ascii="Times New Roman" w:hAnsi="Times New Roman" w:cs="Times New Roman"/>
        </w:rPr>
        <w:t>Technologically, advancements in deep learning architectures and emerging quantum-enhanced models suggest continued expansion in predictive capability (Naresh &amp; Reddi, 2025). As models become more sophisticated, they may handle increasingly complex and high-dimensional medical data. However, these advancements also introduce important ethical considerations, including algorithmic bias, transparency, and equitable access to advanced analytics.</w:t>
      </w:r>
    </w:p>
    <w:p w14:paraId="310BF296" w14:textId="77777777" w:rsidR="006310DD" w:rsidRPr="006310DD" w:rsidRDefault="006310DD" w:rsidP="00E702AD">
      <w:pPr>
        <w:spacing w:line="480" w:lineRule="auto"/>
        <w:ind w:firstLine="720"/>
        <w:rPr>
          <w:rFonts w:ascii="Times New Roman" w:hAnsi="Times New Roman" w:cs="Times New Roman"/>
        </w:rPr>
      </w:pPr>
      <w:r w:rsidRPr="006310DD">
        <w:rPr>
          <w:rFonts w:ascii="Times New Roman" w:hAnsi="Times New Roman" w:cs="Times New Roman"/>
        </w:rPr>
        <w:t>Successful implementation therefore requires secure infrastructure, interdisciplinary collaboration, and continuous evaluation to ensure compliance, fairness, and responsible integration into clinical practice.</w:t>
      </w:r>
    </w:p>
    <w:p w14:paraId="13F005E2" w14:textId="77777777" w:rsidR="00366696" w:rsidRPr="00366696" w:rsidRDefault="00366696" w:rsidP="006310DD">
      <w:pPr>
        <w:spacing w:line="480" w:lineRule="auto"/>
        <w:jc w:val="center"/>
        <w:rPr>
          <w:rFonts w:ascii="Times New Roman" w:hAnsi="Times New Roman" w:cs="Times New Roman"/>
          <w:b/>
          <w:bCs/>
        </w:rPr>
      </w:pPr>
      <w:r w:rsidRPr="00366696">
        <w:rPr>
          <w:rFonts w:ascii="Times New Roman" w:hAnsi="Times New Roman" w:cs="Times New Roman"/>
          <w:b/>
          <w:bCs/>
        </w:rPr>
        <w:t>VII. Conclusion</w:t>
      </w:r>
    </w:p>
    <w:p w14:paraId="47D0212F" w14:textId="4EEA2848" w:rsidR="002C2F7F" w:rsidRPr="002C2F7F" w:rsidRDefault="002C2F7F" w:rsidP="002C2F7F">
      <w:pPr>
        <w:spacing w:line="480" w:lineRule="auto"/>
        <w:ind w:firstLine="720"/>
        <w:rPr>
          <w:rFonts w:ascii="Times New Roman" w:hAnsi="Times New Roman" w:cs="Times New Roman"/>
        </w:rPr>
      </w:pPr>
      <w:r w:rsidRPr="002C2F7F">
        <w:rPr>
          <w:rFonts w:ascii="Times New Roman" w:hAnsi="Times New Roman" w:cs="Times New Roman"/>
        </w:rPr>
        <w:t xml:space="preserve">Taken as a whole, predictive healthcare analytics is best understood as an end‑to‑end process rather than a single model-building exercise. Each stage of the data life cycle—from clarifying the clinical or operational problem, to ingesting and cleaning complex datasets, to selecting and evaluating models, to communicating results—adds its own constraints and </w:t>
      </w:r>
      <w:r w:rsidRPr="002C2F7F">
        <w:rPr>
          <w:rFonts w:ascii="Times New Roman" w:hAnsi="Times New Roman" w:cs="Times New Roman"/>
        </w:rPr>
        <w:lastRenderedPageBreak/>
        <w:t>opportunities. The studies reviewed here suggest that when these stages are designed in isolation, predictive systems may look promising on paper but struggle in real-world healthcare environments.</w:t>
      </w:r>
    </w:p>
    <w:p w14:paraId="0ED20224" w14:textId="0A54C4EE" w:rsidR="002C2F7F" w:rsidRPr="002C2F7F" w:rsidRDefault="002C2F7F" w:rsidP="002C2F7F">
      <w:pPr>
        <w:spacing w:line="480" w:lineRule="auto"/>
        <w:ind w:firstLine="720"/>
        <w:rPr>
          <w:rFonts w:ascii="Times New Roman" w:hAnsi="Times New Roman" w:cs="Times New Roman"/>
        </w:rPr>
      </w:pPr>
      <w:r w:rsidRPr="002C2F7F">
        <w:rPr>
          <w:rFonts w:ascii="Times New Roman" w:hAnsi="Times New Roman" w:cs="Times New Roman"/>
        </w:rPr>
        <w:t>If implemented thoughtfully, however, predictive analytics could help shift care from a reactive posture to a more proactive one. Risk scores for cardiovascular disease, diabetes, or cancer may allow clinicians to identify high‑risk patients earlier and tailor interventions more effectively (Badawy et al., 2025; Saeed et al., 2024). At the same time, forecasting tools for admissions, readmissions, and resource use have the potential to support more efficient staffing and capacity planning. Emerging techniques such as quantum‑enhanced models (Naresh &amp; Reddi, 2025) and privacy‑preserving architectures (Rawas &amp; Samala, 2025) point toward continued innovation, but they also make issues like fairness, transparency, and governance even more important.</w:t>
      </w:r>
    </w:p>
    <w:p w14:paraId="42A5B667" w14:textId="26FCE6B7" w:rsidR="002C2F7F" w:rsidRDefault="002C2F7F" w:rsidP="002C2F7F">
      <w:pPr>
        <w:spacing w:line="480" w:lineRule="auto"/>
        <w:ind w:firstLine="720"/>
        <w:rPr>
          <w:rFonts w:ascii="Times New Roman" w:hAnsi="Times New Roman" w:cs="Times New Roman"/>
        </w:rPr>
      </w:pPr>
      <w:r w:rsidRPr="002C2F7F">
        <w:rPr>
          <w:rFonts w:ascii="Times New Roman" w:hAnsi="Times New Roman" w:cs="Times New Roman"/>
        </w:rPr>
        <w:t xml:space="preserve">Ultimately, the value of predictive healthcare analytics depends on how well technical infrastructure, algorithmic methods, regulatory safeguards, and clinical practice are aligned. In that sense, the data life cycle is not just a conceptual framework from </w:t>
      </w:r>
      <w:r>
        <w:rPr>
          <w:rFonts w:ascii="Times New Roman" w:hAnsi="Times New Roman" w:cs="Times New Roman"/>
        </w:rPr>
        <w:t>these readings</w:t>
      </w:r>
      <w:r w:rsidRPr="002C2F7F">
        <w:rPr>
          <w:rFonts w:ascii="Times New Roman" w:hAnsi="Times New Roman" w:cs="Times New Roman"/>
        </w:rPr>
        <w:t>, but a practical checklist for designing systems that are accurate enough to be useful, secure enough to be trusted, and flexible enough to fit into the complex realities of healthcare delivery.</w:t>
      </w:r>
    </w:p>
    <w:p w14:paraId="1C87C255" w14:textId="4F19FBAF" w:rsidR="002C2F7F" w:rsidRDefault="002C2F7F" w:rsidP="002C2F7F">
      <w:pPr>
        <w:rPr>
          <w:rFonts w:ascii="Times New Roman" w:hAnsi="Times New Roman" w:cs="Times New Roman"/>
        </w:rPr>
      </w:pPr>
      <w:r>
        <w:rPr>
          <w:rFonts w:ascii="Times New Roman" w:hAnsi="Times New Roman" w:cs="Times New Roman"/>
        </w:rPr>
        <w:br w:type="page"/>
      </w:r>
    </w:p>
    <w:p w14:paraId="1171CC0E" w14:textId="15FDBF6F" w:rsidR="006310DD" w:rsidRPr="00E702AD" w:rsidRDefault="006310DD" w:rsidP="002C2F7F">
      <w:pPr>
        <w:spacing w:line="480" w:lineRule="auto"/>
        <w:ind w:firstLine="720"/>
        <w:jc w:val="center"/>
        <w:rPr>
          <w:rFonts w:ascii="Times New Roman" w:hAnsi="Times New Roman" w:cs="Times New Roman"/>
        </w:rPr>
      </w:pPr>
      <w:r w:rsidRPr="006310DD">
        <w:rPr>
          <w:rFonts w:ascii="Times New Roman" w:hAnsi="Times New Roman" w:cs="Times New Roman"/>
          <w:b/>
          <w:bCs/>
        </w:rPr>
        <w:lastRenderedPageBreak/>
        <w:t>References</w:t>
      </w:r>
    </w:p>
    <w:p w14:paraId="55ADF095" w14:textId="77777777" w:rsidR="006310DD" w:rsidRPr="006310DD" w:rsidRDefault="006310DD" w:rsidP="006310DD">
      <w:pPr>
        <w:spacing w:line="480" w:lineRule="auto"/>
        <w:ind w:left="720" w:hanging="720"/>
        <w:rPr>
          <w:rFonts w:ascii="Times New Roman" w:hAnsi="Times New Roman" w:cs="Times New Roman"/>
        </w:rPr>
      </w:pPr>
      <w:r w:rsidRPr="006310DD">
        <w:rPr>
          <w:rFonts w:ascii="Times New Roman" w:hAnsi="Times New Roman" w:cs="Times New Roman"/>
        </w:rPr>
        <w:t xml:space="preserve">Badawy, M., Ramadan, N., &amp; </w:t>
      </w:r>
      <w:proofErr w:type="spellStart"/>
      <w:r w:rsidRPr="006310DD">
        <w:rPr>
          <w:rFonts w:ascii="Times New Roman" w:hAnsi="Times New Roman" w:cs="Times New Roman"/>
        </w:rPr>
        <w:t>Hefny</w:t>
      </w:r>
      <w:proofErr w:type="spellEnd"/>
      <w:r w:rsidRPr="006310DD">
        <w:rPr>
          <w:rFonts w:ascii="Times New Roman" w:hAnsi="Times New Roman" w:cs="Times New Roman"/>
        </w:rPr>
        <w:t xml:space="preserve">, H. A. (2025). </w:t>
      </w:r>
      <w:r w:rsidRPr="006310DD">
        <w:rPr>
          <w:rFonts w:ascii="Times New Roman" w:hAnsi="Times New Roman" w:cs="Times New Roman"/>
          <w:i/>
          <w:iCs/>
        </w:rPr>
        <w:t>Towards intelligent healthcare: A big data and machine learning approach for real-time predictive analytics</w:t>
      </w:r>
      <w:r w:rsidRPr="006310DD">
        <w:rPr>
          <w:rFonts w:ascii="Times New Roman" w:hAnsi="Times New Roman" w:cs="Times New Roman"/>
        </w:rPr>
        <w:t xml:space="preserve">. </w:t>
      </w:r>
      <w:r w:rsidRPr="006310DD">
        <w:rPr>
          <w:rFonts w:ascii="Times New Roman" w:hAnsi="Times New Roman" w:cs="Times New Roman"/>
          <w:b/>
          <w:bCs/>
        </w:rPr>
        <w:t>Biomedical Materials &amp; Devices</w:t>
      </w:r>
      <w:r w:rsidRPr="006310DD">
        <w:rPr>
          <w:rFonts w:ascii="Times New Roman" w:hAnsi="Times New Roman" w:cs="Times New Roman"/>
        </w:rPr>
        <w:t xml:space="preserve">. </w:t>
      </w:r>
      <w:hyperlink r:id="rId7" w:tgtFrame="_new" w:history="1">
        <w:r w:rsidRPr="006310DD">
          <w:rPr>
            <w:rStyle w:val="Hyperlink"/>
            <w:rFonts w:ascii="Times New Roman" w:hAnsi="Times New Roman" w:cs="Times New Roman"/>
          </w:rPr>
          <w:t>https://doi.org/10.1007/s44174-025-00568-y</w:t>
        </w:r>
      </w:hyperlink>
    </w:p>
    <w:p w14:paraId="0CF35727" w14:textId="77777777" w:rsidR="006310DD" w:rsidRPr="006310DD" w:rsidRDefault="006310DD" w:rsidP="006310DD">
      <w:pPr>
        <w:spacing w:line="480" w:lineRule="auto"/>
        <w:ind w:left="720" w:hanging="720"/>
        <w:rPr>
          <w:rFonts w:ascii="Times New Roman" w:hAnsi="Times New Roman" w:cs="Times New Roman"/>
        </w:rPr>
      </w:pPr>
      <w:r w:rsidRPr="006310DD">
        <w:rPr>
          <w:rFonts w:ascii="Times New Roman" w:hAnsi="Times New Roman" w:cs="Times New Roman"/>
        </w:rPr>
        <w:t xml:space="preserve">Gogoi, P., &amp; Valan, J. A. (2026). </w:t>
      </w:r>
      <w:r w:rsidRPr="006310DD">
        <w:rPr>
          <w:rFonts w:ascii="Times New Roman" w:hAnsi="Times New Roman" w:cs="Times New Roman"/>
          <w:i/>
          <w:iCs/>
        </w:rPr>
        <w:t>Homomorphic encryption for secure and scalable predictive healthcare analytics: A review and case study</w:t>
      </w:r>
      <w:r w:rsidRPr="006310DD">
        <w:rPr>
          <w:rFonts w:ascii="Times New Roman" w:hAnsi="Times New Roman" w:cs="Times New Roman"/>
        </w:rPr>
        <w:t xml:space="preserve">. </w:t>
      </w:r>
      <w:r w:rsidRPr="006310DD">
        <w:rPr>
          <w:rFonts w:ascii="Times New Roman" w:hAnsi="Times New Roman" w:cs="Times New Roman"/>
          <w:b/>
          <w:bCs/>
        </w:rPr>
        <w:t>Life Cycle Reliability and Safety Engineering</w:t>
      </w:r>
      <w:r w:rsidRPr="006310DD">
        <w:rPr>
          <w:rFonts w:ascii="Times New Roman" w:hAnsi="Times New Roman" w:cs="Times New Roman"/>
        </w:rPr>
        <w:t xml:space="preserve">. </w:t>
      </w:r>
      <w:hyperlink r:id="rId8" w:tgtFrame="_new" w:history="1">
        <w:r w:rsidRPr="006310DD">
          <w:rPr>
            <w:rStyle w:val="Hyperlink"/>
            <w:rFonts w:ascii="Times New Roman" w:hAnsi="Times New Roman" w:cs="Times New Roman"/>
          </w:rPr>
          <w:t>https://doi.org/10.1007/s41872-025-00389-4</w:t>
        </w:r>
      </w:hyperlink>
    </w:p>
    <w:p w14:paraId="6E633088" w14:textId="77777777" w:rsidR="006310DD" w:rsidRPr="006310DD" w:rsidRDefault="006310DD" w:rsidP="006310DD">
      <w:pPr>
        <w:spacing w:line="480" w:lineRule="auto"/>
        <w:ind w:left="720" w:hanging="720"/>
        <w:rPr>
          <w:rFonts w:ascii="Times New Roman" w:hAnsi="Times New Roman" w:cs="Times New Roman"/>
        </w:rPr>
      </w:pPr>
      <w:r w:rsidRPr="006310DD">
        <w:rPr>
          <w:rFonts w:ascii="Times New Roman" w:hAnsi="Times New Roman" w:cs="Times New Roman"/>
        </w:rPr>
        <w:t xml:space="preserve">Naresh, V. S., &amp; Reddi, S. (2025). </w:t>
      </w:r>
      <w:r w:rsidRPr="006310DD">
        <w:rPr>
          <w:rFonts w:ascii="Times New Roman" w:hAnsi="Times New Roman" w:cs="Times New Roman"/>
          <w:i/>
          <w:iCs/>
        </w:rPr>
        <w:t>Quantum SVM-based predictive analytics: Transforming classification methods in healthcare and beyond</w:t>
      </w:r>
      <w:r w:rsidRPr="006310DD">
        <w:rPr>
          <w:rFonts w:ascii="Times New Roman" w:hAnsi="Times New Roman" w:cs="Times New Roman"/>
        </w:rPr>
        <w:t xml:space="preserve">. </w:t>
      </w:r>
      <w:r w:rsidRPr="006310DD">
        <w:rPr>
          <w:rFonts w:ascii="Times New Roman" w:hAnsi="Times New Roman" w:cs="Times New Roman"/>
          <w:b/>
          <w:bCs/>
        </w:rPr>
        <w:t>Quantum Information Processing, 24</w:t>
      </w:r>
      <w:r w:rsidRPr="006310DD">
        <w:rPr>
          <w:rFonts w:ascii="Times New Roman" w:hAnsi="Times New Roman" w:cs="Times New Roman"/>
        </w:rPr>
        <w:t xml:space="preserve">, 272. </w:t>
      </w:r>
      <w:hyperlink r:id="rId9" w:tgtFrame="_new" w:history="1">
        <w:r w:rsidRPr="006310DD">
          <w:rPr>
            <w:rStyle w:val="Hyperlink"/>
            <w:rFonts w:ascii="Times New Roman" w:hAnsi="Times New Roman" w:cs="Times New Roman"/>
          </w:rPr>
          <w:t>https://doi.org/10.1007/s11128-025-04892-6</w:t>
        </w:r>
      </w:hyperlink>
    </w:p>
    <w:p w14:paraId="6E49C88A" w14:textId="77777777" w:rsidR="006310DD" w:rsidRPr="006310DD" w:rsidRDefault="006310DD" w:rsidP="006310DD">
      <w:pPr>
        <w:spacing w:line="480" w:lineRule="auto"/>
        <w:ind w:left="720" w:hanging="720"/>
        <w:rPr>
          <w:rFonts w:ascii="Times New Roman" w:hAnsi="Times New Roman" w:cs="Times New Roman"/>
        </w:rPr>
      </w:pPr>
      <w:r w:rsidRPr="006310DD">
        <w:rPr>
          <w:rFonts w:ascii="Times New Roman" w:hAnsi="Times New Roman" w:cs="Times New Roman"/>
        </w:rPr>
        <w:t xml:space="preserve">Rawas, S., &amp; Samala, A. D. (2025). </w:t>
      </w:r>
      <w:r w:rsidRPr="006310DD">
        <w:rPr>
          <w:rFonts w:ascii="Times New Roman" w:hAnsi="Times New Roman" w:cs="Times New Roman"/>
          <w:i/>
          <w:iCs/>
        </w:rPr>
        <w:t>Dual layer security framework for privacy preserving AI driven healthcare edge cloud analytics</w:t>
      </w:r>
      <w:r w:rsidRPr="006310DD">
        <w:rPr>
          <w:rFonts w:ascii="Times New Roman" w:hAnsi="Times New Roman" w:cs="Times New Roman"/>
        </w:rPr>
        <w:t xml:space="preserve">. </w:t>
      </w:r>
      <w:r w:rsidRPr="006310DD">
        <w:rPr>
          <w:rFonts w:ascii="Times New Roman" w:hAnsi="Times New Roman" w:cs="Times New Roman"/>
          <w:b/>
          <w:bCs/>
        </w:rPr>
        <w:t>Discover Networks, 1</w:t>
      </w:r>
      <w:r w:rsidRPr="006310DD">
        <w:rPr>
          <w:rFonts w:ascii="Times New Roman" w:hAnsi="Times New Roman" w:cs="Times New Roman"/>
        </w:rPr>
        <w:t xml:space="preserve">, 8. </w:t>
      </w:r>
      <w:hyperlink r:id="rId10" w:tgtFrame="_new" w:history="1">
        <w:r w:rsidRPr="006310DD">
          <w:rPr>
            <w:rStyle w:val="Hyperlink"/>
            <w:rFonts w:ascii="Times New Roman" w:hAnsi="Times New Roman" w:cs="Times New Roman"/>
          </w:rPr>
          <w:t>https://doi.org/10.1007/s44354-025-00010-1</w:t>
        </w:r>
      </w:hyperlink>
    </w:p>
    <w:p w14:paraId="1F9F4F25" w14:textId="77777777" w:rsidR="006310DD" w:rsidRPr="006310DD" w:rsidRDefault="006310DD" w:rsidP="006310DD">
      <w:pPr>
        <w:spacing w:line="480" w:lineRule="auto"/>
        <w:ind w:left="720" w:hanging="720"/>
        <w:rPr>
          <w:rFonts w:ascii="Times New Roman" w:hAnsi="Times New Roman" w:cs="Times New Roman"/>
        </w:rPr>
      </w:pPr>
      <w:r w:rsidRPr="006310DD">
        <w:rPr>
          <w:rFonts w:ascii="Times New Roman" w:hAnsi="Times New Roman" w:cs="Times New Roman"/>
        </w:rPr>
        <w:t xml:space="preserve">Saeed, M. K., Al </w:t>
      </w:r>
      <w:proofErr w:type="spellStart"/>
      <w:r w:rsidRPr="006310DD">
        <w:rPr>
          <w:rFonts w:ascii="Times New Roman" w:hAnsi="Times New Roman" w:cs="Times New Roman"/>
        </w:rPr>
        <w:t>Mazroa</w:t>
      </w:r>
      <w:proofErr w:type="spellEnd"/>
      <w:r w:rsidRPr="006310DD">
        <w:rPr>
          <w:rFonts w:ascii="Times New Roman" w:hAnsi="Times New Roman" w:cs="Times New Roman"/>
        </w:rPr>
        <w:t xml:space="preserve">, A., Alghamdi, B. M., </w:t>
      </w:r>
      <w:proofErr w:type="spellStart"/>
      <w:r w:rsidRPr="006310DD">
        <w:rPr>
          <w:rFonts w:ascii="Times New Roman" w:hAnsi="Times New Roman" w:cs="Times New Roman"/>
        </w:rPr>
        <w:t>ShoieAlallah</w:t>
      </w:r>
      <w:proofErr w:type="spellEnd"/>
      <w:r w:rsidRPr="006310DD">
        <w:rPr>
          <w:rFonts w:ascii="Times New Roman" w:hAnsi="Times New Roman" w:cs="Times New Roman"/>
        </w:rPr>
        <w:t xml:space="preserve">, F., Alshareef, A., &amp; Mahmud, A. (2024). </w:t>
      </w:r>
      <w:r w:rsidRPr="006310DD">
        <w:rPr>
          <w:rFonts w:ascii="Times New Roman" w:hAnsi="Times New Roman" w:cs="Times New Roman"/>
          <w:i/>
          <w:iCs/>
        </w:rPr>
        <w:t>Predictive analytics of complex healthcare systems using deep learning based disease diagnosis model</w:t>
      </w:r>
      <w:r w:rsidRPr="006310DD">
        <w:rPr>
          <w:rFonts w:ascii="Times New Roman" w:hAnsi="Times New Roman" w:cs="Times New Roman"/>
        </w:rPr>
        <w:t xml:space="preserve">. </w:t>
      </w:r>
      <w:r w:rsidRPr="006310DD">
        <w:rPr>
          <w:rFonts w:ascii="Times New Roman" w:hAnsi="Times New Roman" w:cs="Times New Roman"/>
          <w:b/>
          <w:bCs/>
        </w:rPr>
        <w:t>Scientific Reports, 14</w:t>
      </w:r>
      <w:r w:rsidRPr="006310DD">
        <w:rPr>
          <w:rFonts w:ascii="Times New Roman" w:hAnsi="Times New Roman" w:cs="Times New Roman"/>
        </w:rPr>
        <w:t xml:space="preserve">, 27497. </w:t>
      </w:r>
      <w:hyperlink r:id="rId11" w:tgtFrame="_new" w:history="1">
        <w:r w:rsidRPr="006310DD">
          <w:rPr>
            <w:rStyle w:val="Hyperlink"/>
            <w:rFonts w:ascii="Times New Roman" w:hAnsi="Times New Roman" w:cs="Times New Roman"/>
          </w:rPr>
          <w:t>https://doi.org/10.1038/s41598-024-78015-z</w:t>
        </w:r>
      </w:hyperlink>
    </w:p>
    <w:p w14:paraId="44C9929E" w14:textId="77777777" w:rsidR="005D69BC" w:rsidRPr="00366696" w:rsidRDefault="005D69BC" w:rsidP="00366696">
      <w:pPr>
        <w:spacing w:line="480" w:lineRule="auto"/>
        <w:rPr>
          <w:rFonts w:ascii="Times New Roman" w:hAnsi="Times New Roman" w:cs="Times New Roman"/>
        </w:rPr>
      </w:pPr>
    </w:p>
    <w:sectPr w:rsidR="005D69BC" w:rsidRPr="0036669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A90F" w14:textId="77777777" w:rsidR="002F42D5" w:rsidRDefault="002F42D5" w:rsidP="00E702AD">
      <w:pPr>
        <w:spacing w:after="0" w:line="240" w:lineRule="auto"/>
      </w:pPr>
      <w:r>
        <w:separator/>
      </w:r>
    </w:p>
  </w:endnote>
  <w:endnote w:type="continuationSeparator" w:id="0">
    <w:p w14:paraId="4A055A95" w14:textId="77777777" w:rsidR="002F42D5" w:rsidRDefault="002F42D5" w:rsidP="00E70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BE6E" w14:textId="77777777" w:rsidR="002F42D5" w:rsidRDefault="002F42D5" w:rsidP="00E702AD">
      <w:pPr>
        <w:spacing w:after="0" w:line="240" w:lineRule="auto"/>
      </w:pPr>
      <w:r>
        <w:separator/>
      </w:r>
    </w:p>
  </w:footnote>
  <w:footnote w:type="continuationSeparator" w:id="0">
    <w:p w14:paraId="7E5006FB" w14:textId="77777777" w:rsidR="002F42D5" w:rsidRDefault="002F42D5" w:rsidP="00E70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68281"/>
      <w:docPartObj>
        <w:docPartGallery w:val="Page Numbers (Top of Page)"/>
        <w:docPartUnique/>
      </w:docPartObj>
    </w:sdtPr>
    <w:sdtEndPr>
      <w:rPr>
        <w:noProof/>
      </w:rPr>
    </w:sdtEndPr>
    <w:sdtContent>
      <w:p w14:paraId="49096DC5" w14:textId="14AE833C" w:rsidR="00E702AD" w:rsidRDefault="00E702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7C8249" w14:textId="77777777" w:rsidR="00E702AD" w:rsidRDefault="00E702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AA6"/>
    <w:multiLevelType w:val="multilevel"/>
    <w:tmpl w:val="20A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8196A"/>
    <w:multiLevelType w:val="multilevel"/>
    <w:tmpl w:val="4A7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64FB1"/>
    <w:multiLevelType w:val="multilevel"/>
    <w:tmpl w:val="DE7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13CAF"/>
    <w:multiLevelType w:val="multilevel"/>
    <w:tmpl w:val="6B2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B55E0"/>
    <w:multiLevelType w:val="multilevel"/>
    <w:tmpl w:val="8D6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F62CB"/>
    <w:multiLevelType w:val="multilevel"/>
    <w:tmpl w:val="9E1E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4362C"/>
    <w:multiLevelType w:val="multilevel"/>
    <w:tmpl w:val="0D76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7264D"/>
    <w:multiLevelType w:val="multilevel"/>
    <w:tmpl w:val="FDC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11BFA"/>
    <w:multiLevelType w:val="multilevel"/>
    <w:tmpl w:val="18FE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F41D3"/>
    <w:multiLevelType w:val="multilevel"/>
    <w:tmpl w:val="E4E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098781">
    <w:abstractNumId w:val="0"/>
  </w:num>
  <w:num w:numId="2" w16cid:durableId="686908270">
    <w:abstractNumId w:val="8"/>
  </w:num>
  <w:num w:numId="3" w16cid:durableId="1498113982">
    <w:abstractNumId w:val="1"/>
  </w:num>
  <w:num w:numId="4" w16cid:durableId="490563904">
    <w:abstractNumId w:val="6"/>
  </w:num>
  <w:num w:numId="5" w16cid:durableId="1299532187">
    <w:abstractNumId w:val="2"/>
  </w:num>
  <w:num w:numId="6" w16cid:durableId="998534133">
    <w:abstractNumId w:val="4"/>
  </w:num>
  <w:num w:numId="7" w16cid:durableId="370148856">
    <w:abstractNumId w:val="9"/>
  </w:num>
  <w:num w:numId="8" w16cid:durableId="1607690278">
    <w:abstractNumId w:val="5"/>
  </w:num>
  <w:num w:numId="9" w16cid:durableId="564880300">
    <w:abstractNumId w:val="7"/>
  </w:num>
  <w:num w:numId="10" w16cid:durableId="1221792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6A"/>
    <w:rsid w:val="00071D85"/>
    <w:rsid w:val="002C2F7F"/>
    <w:rsid w:val="002F42D5"/>
    <w:rsid w:val="00366696"/>
    <w:rsid w:val="003D656A"/>
    <w:rsid w:val="004334ED"/>
    <w:rsid w:val="005D69BC"/>
    <w:rsid w:val="006310DD"/>
    <w:rsid w:val="0071491B"/>
    <w:rsid w:val="007D74F6"/>
    <w:rsid w:val="0092338F"/>
    <w:rsid w:val="00E70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6800"/>
  <w15:chartTrackingRefBased/>
  <w15:docId w15:val="{C104CFFB-802A-4EA9-A1D4-EC46AD9A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6A"/>
  </w:style>
  <w:style w:type="paragraph" w:styleId="Heading1">
    <w:name w:val="heading 1"/>
    <w:basedOn w:val="Normal"/>
    <w:next w:val="Normal"/>
    <w:link w:val="Heading1Char"/>
    <w:uiPriority w:val="9"/>
    <w:qFormat/>
    <w:rsid w:val="003D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6A"/>
    <w:rPr>
      <w:rFonts w:eastAsiaTheme="majorEastAsia" w:cstheme="majorBidi"/>
      <w:color w:val="272727" w:themeColor="text1" w:themeTint="D8"/>
    </w:rPr>
  </w:style>
  <w:style w:type="paragraph" w:styleId="Title">
    <w:name w:val="Title"/>
    <w:basedOn w:val="Normal"/>
    <w:next w:val="Normal"/>
    <w:link w:val="TitleChar"/>
    <w:uiPriority w:val="10"/>
    <w:qFormat/>
    <w:rsid w:val="003D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6A"/>
    <w:pPr>
      <w:spacing w:before="160"/>
      <w:jc w:val="center"/>
    </w:pPr>
    <w:rPr>
      <w:i/>
      <w:iCs/>
      <w:color w:val="404040" w:themeColor="text1" w:themeTint="BF"/>
    </w:rPr>
  </w:style>
  <w:style w:type="character" w:customStyle="1" w:styleId="QuoteChar">
    <w:name w:val="Quote Char"/>
    <w:basedOn w:val="DefaultParagraphFont"/>
    <w:link w:val="Quote"/>
    <w:uiPriority w:val="29"/>
    <w:rsid w:val="003D656A"/>
    <w:rPr>
      <w:i/>
      <w:iCs/>
      <w:color w:val="404040" w:themeColor="text1" w:themeTint="BF"/>
    </w:rPr>
  </w:style>
  <w:style w:type="paragraph" w:styleId="ListParagraph">
    <w:name w:val="List Paragraph"/>
    <w:basedOn w:val="Normal"/>
    <w:uiPriority w:val="34"/>
    <w:qFormat/>
    <w:rsid w:val="003D656A"/>
    <w:pPr>
      <w:ind w:left="720"/>
      <w:contextualSpacing/>
    </w:pPr>
  </w:style>
  <w:style w:type="character" w:styleId="IntenseEmphasis">
    <w:name w:val="Intense Emphasis"/>
    <w:basedOn w:val="DefaultParagraphFont"/>
    <w:uiPriority w:val="21"/>
    <w:qFormat/>
    <w:rsid w:val="003D656A"/>
    <w:rPr>
      <w:i/>
      <w:iCs/>
      <w:color w:val="0F4761" w:themeColor="accent1" w:themeShade="BF"/>
    </w:rPr>
  </w:style>
  <w:style w:type="paragraph" w:styleId="IntenseQuote">
    <w:name w:val="Intense Quote"/>
    <w:basedOn w:val="Normal"/>
    <w:next w:val="Normal"/>
    <w:link w:val="IntenseQuoteChar"/>
    <w:uiPriority w:val="30"/>
    <w:qFormat/>
    <w:rsid w:val="003D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56A"/>
    <w:rPr>
      <w:i/>
      <w:iCs/>
      <w:color w:val="0F4761" w:themeColor="accent1" w:themeShade="BF"/>
    </w:rPr>
  </w:style>
  <w:style w:type="character" w:styleId="IntenseReference">
    <w:name w:val="Intense Reference"/>
    <w:basedOn w:val="DefaultParagraphFont"/>
    <w:uiPriority w:val="32"/>
    <w:qFormat/>
    <w:rsid w:val="003D656A"/>
    <w:rPr>
      <w:b/>
      <w:bCs/>
      <w:smallCaps/>
      <w:color w:val="0F4761" w:themeColor="accent1" w:themeShade="BF"/>
      <w:spacing w:val="5"/>
    </w:rPr>
  </w:style>
  <w:style w:type="character" w:styleId="Hyperlink">
    <w:name w:val="Hyperlink"/>
    <w:basedOn w:val="DefaultParagraphFont"/>
    <w:uiPriority w:val="99"/>
    <w:unhideWhenUsed/>
    <w:rsid w:val="006310DD"/>
    <w:rPr>
      <w:color w:val="467886" w:themeColor="hyperlink"/>
      <w:u w:val="single"/>
    </w:rPr>
  </w:style>
  <w:style w:type="character" w:styleId="UnresolvedMention">
    <w:name w:val="Unresolved Mention"/>
    <w:basedOn w:val="DefaultParagraphFont"/>
    <w:uiPriority w:val="99"/>
    <w:semiHidden/>
    <w:unhideWhenUsed/>
    <w:rsid w:val="006310DD"/>
    <w:rPr>
      <w:color w:val="605E5C"/>
      <w:shd w:val="clear" w:color="auto" w:fill="E1DFDD"/>
    </w:rPr>
  </w:style>
  <w:style w:type="paragraph" w:styleId="Header">
    <w:name w:val="header"/>
    <w:basedOn w:val="Normal"/>
    <w:link w:val="HeaderChar"/>
    <w:uiPriority w:val="99"/>
    <w:unhideWhenUsed/>
    <w:rsid w:val="00E702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2AD"/>
  </w:style>
  <w:style w:type="paragraph" w:styleId="Footer">
    <w:name w:val="footer"/>
    <w:basedOn w:val="Normal"/>
    <w:link w:val="FooterChar"/>
    <w:uiPriority w:val="99"/>
    <w:unhideWhenUsed/>
    <w:rsid w:val="00E702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1872-025-00389-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s44174-025-00568-y"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598-024-78015-z" TargetMode="External"/><Relationship Id="rId5" Type="http://schemas.openxmlformats.org/officeDocument/2006/relationships/footnotes" Target="footnotes.xml"/><Relationship Id="rId10" Type="http://schemas.openxmlformats.org/officeDocument/2006/relationships/hyperlink" Target="https://doi.org/10.1007/s44354-025-00010-1" TargetMode="External"/><Relationship Id="rId4" Type="http://schemas.openxmlformats.org/officeDocument/2006/relationships/webSettings" Target="webSettings.xml"/><Relationship Id="rId9" Type="http://schemas.openxmlformats.org/officeDocument/2006/relationships/hyperlink" Target="https://doi.org/10.1007/s11128-025-0489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1767</Words>
  <Characters>12692</Characters>
  <Application>Microsoft Office Word</Application>
  <DocSecurity>0</DocSecurity>
  <Lines>198</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Morgan</dc:creator>
  <cp:keywords/>
  <dc:description/>
  <cp:lastModifiedBy>Gilbert Morgan</cp:lastModifiedBy>
  <cp:revision>4</cp:revision>
  <dcterms:created xsi:type="dcterms:W3CDTF">2026-02-23T21:11:00Z</dcterms:created>
  <dcterms:modified xsi:type="dcterms:W3CDTF">2026-02-23T21:37:00Z</dcterms:modified>
</cp:coreProperties>
</file>