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000000"/>
          <w:sz w:val="40"/>
          <w:szCs w:val="40"/>
          <w:u w:val="single"/>
        </w:rPr>
      </w:pPr>
      <w:r w:rsidDel="00000000" w:rsidR="00000000" w:rsidRPr="00000000">
        <w:rPr>
          <w:color w:val="000000"/>
          <w:sz w:val="40"/>
          <w:szCs w:val="40"/>
          <w:u w:val="single"/>
          <w:rtl w:val="0"/>
        </w:rPr>
        <w:t xml:space="preserve">Sprint 2 Architecture Alignment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document is intended to help guide the Sprint 2 discussion and ensure all role leads are aligned on key architectural decisions before expanding their drafts. Confirming these decisions early helps prevent conflicts between sections of the final report.</w:t>
      </w:r>
    </w:p>
    <w:p w:rsidR="00000000" w:rsidDel="00000000" w:rsidP="00000000" w:rsidRDefault="00000000" w:rsidRPr="00000000" w14:paraId="00000003">
      <w:pPr>
        <w:pStyle w:val="Heading2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Key Alignment Questions</w:t>
      </w:r>
    </w:p>
    <w:p w:rsidR="00000000" w:rsidDel="00000000" w:rsidP="00000000" w:rsidRDefault="00000000" w:rsidRPr="00000000" w14:paraId="00000004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What is the final WAN architecture model?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Confirm that the network will follow a hub-and-spoke architecture where the headquarters functions as the hub and branch offices act as spokes. Cloud connectivity will integrate with the hub location.</w:t>
      </w:r>
    </w:p>
    <w:p w:rsidR="00000000" w:rsidDel="00000000" w:rsidP="00000000" w:rsidRDefault="00000000" w:rsidRPr="00000000" w14:paraId="00000006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What core network devices will exist at each office?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Define the baseline infrastructure required at branch offices and headquarters to ensure all design sections reference the same hardware and topology.</w:t>
      </w:r>
    </w:p>
    <w:p w:rsidR="00000000" w:rsidDel="00000000" w:rsidP="00000000" w:rsidRDefault="00000000" w:rsidRPr="00000000" w14:paraId="00000008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What VLAN structure will be standardized across all offices?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Establish VLAN categories so segmentation, access control policies, and network diagrams remain consistent.</w:t>
      </w:r>
    </w:p>
    <w:p w:rsidR="00000000" w:rsidDel="00000000" w:rsidP="00000000" w:rsidRDefault="00000000" w:rsidRPr="00000000" w14:paraId="0000000A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What role will cloud services play in the architecture?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Clarify that cloud infrastructure supports backup storage, disaster recovery replication, monitoring/logging, and secure remote access rather than replacing the entire on‑premises environment.</w:t>
      </w:r>
    </w:p>
    <w:p w:rsidR="00000000" w:rsidDel="00000000" w:rsidP="00000000" w:rsidRDefault="00000000" w:rsidRPr="00000000" w14:paraId="0000000C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 How will network availability be maintained during failures?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Define redundancy strategies such as dual ISP connections at headquarters and dynamic routing for automatic failover.</w:t>
      </w:r>
    </w:p>
    <w:p w:rsidR="00000000" w:rsidDel="00000000" w:rsidP="00000000" w:rsidRDefault="00000000" w:rsidRPr="00000000" w14:paraId="0000000E">
      <w:pPr>
        <w:pStyle w:val="Heading2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How Each Role Uses These Decisions</w:t>
      </w:r>
    </w:p>
    <w:p w:rsidR="00000000" w:rsidDel="00000000" w:rsidP="00000000" w:rsidRDefault="00000000" w:rsidRPr="00000000" w14:paraId="0000000F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Scope &amp; Business Analysis Lead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Ensures business requirements, goals, and assumptions reflect the confirmed architecture decisions.</w:t>
      </w:r>
    </w:p>
    <w:p w:rsidR="00000000" w:rsidDel="00000000" w:rsidP="00000000" w:rsidRDefault="00000000" w:rsidRPr="00000000" w14:paraId="00000011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Network Architecture Lead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Designs the LAN structure, VLAN segmentation, and device placement based on the confirmed architecture model.</w:t>
      </w:r>
    </w:p>
    <w:p w:rsidR="00000000" w:rsidDel="00000000" w:rsidP="00000000" w:rsidRDefault="00000000" w:rsidRPr="00000000" w14:paraId="00000013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WAN &amp; VPN Lead- DYNAMIC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Defines WAN topology, VPN connectivity, routing methods, and redundancy strategy.</w:t>
      </w:r>
    </w:p>
    <w:p w:rsidR="00000000" w:rsidDel="00000000" w:rsidP="00000000" w:rsidRDefault="00000000" w:rsidRPr="00000000" w14:paraId="00000015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Cloud Integration Lead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Defines how cloud services connect to the network and support backup, disaster recovery, and monitoring.</w:t>
      </w:r>
    </w:p>
    <w:p w:rsidR="00000000" w:rsidDel="00000000" w:rsidP="00000000" w:rsidRDefault="00000000" w:rsidRPr="00000000" w14:paraId="00000017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Security &amp; Compliance Lead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Implements security controls such as ACLs, firewall placement, encryption policies, and access management.</w:t>
      </w:r>
    </w:p>
    <w:p w:rsidR="00000000" w:rsidDel="00000000" w:rsidP="00000000" w:rsidRDefault="00000000" w:rsidRPr="00000000" w14:paraId="00000019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Disaster Recovery Lead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Defines backup locations, replication strategy, RPO/RTO targets, and recovery procedures.</w:t>
      </w:r>
    </w:p>
    <w:p w:rsidR="00000000" w:rsidDel="00000000" w:rsidP="00000000" w:rsidRDefault="00000000" w:rsidRPr="00000000" w14:paraId="0000001B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Network Implementation Lead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Builds the Packet Tracer topology reflecting the confirmed architecture, VLAN structure, and routing design.</w:t>
      </w:r>
    </w:p>
    <w:p w:rsidR="00000000" w:rsidDel="00000000" w:rsidP="00000000" w:rsidRDefault="00000000" w:rsidRPr="00000000" w14:paraId="0000001D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Cost &amp; Infrastructure Lead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Uses the finalized device baseline and service selections to build the cost matrix and estimate infrastructure investment.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0" distT="0" distL="0" distR="0">
            <wp:extent cx="5486400" cy="4133850"/>
            <wp:effectExtent b="0" l="0" r="0" t="0"/>
            <wp:docPr id="202571006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UQst99RYpLqGCk6UbKkzmA1tyw==">CgMxLjA4AHIhMWNOckhKSFE3SHc3R1h5Q1pXd0hfZkZCUTVEVlFWNzB0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